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40"/>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74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2740"/>
        <w:spacing w:after="0"/>
        <w:rPr>
          <w:sz w:val="20"/>
          <w:szCs w:val="20"/>
          <w:color w:val="auto"/>
        </w:rPr>
      </w:pPr>
      <w:r>
        <w:rPr>
          <w:rFonts w:ascii="Courier New" w:cs="Courier New" w:eastAsia="Courier New" w:hAnsi="Courier New"/>
          <w:sz w:val="18"/>
          <w:szCs w:val="18"/>
          <w:color w:val="auto"/>
        </w:rPr>
        <w:t>SCHEDULE 13D</w:t>
      </w:r>
    </w:p>
    <w:p>
      <w:pPr>
        <w:jc w:val="center"/>
        <w:ind w:right="2740"/>
        <w:spacing w:after="0" w:line="238" w:lineRule="auto"/>
        <w:rPr>
          <w:sz w:val="20"/>
          <w:szCs w:val="20"/>
          <w:color w:val="auto"/>
        </w:rPr>
      </w:pPr>
      <w:r>
        <w:rPr>
          <w:rFonts w:ascii="Courier New" w:cs="Courier New" w:eastAsia="Courier New" w:hAnsi="Courier New"/>
          <w:sz w:val="18"/>
          <w:szCs w:val="18"/>
          <w:color w:val="auto"/>
        </w:rPr>
        <w:t>(RULE 13D-101)</w:t>
      </w:r>
    </w:p>
    <w:p>
      <w:pPr>
        <w:spacing w:after="0" w:line="207" w:lineRule="exact"/>
        <w:rPr>
          <w:sz w:val="24"/>
          <w:szCs w:val="24"/>
          <w:color w:val="auto"/>
        </w:rPr>
      </w:pPr>
    </w:p>
    <w:p>
      <w:pPr>
        <w:jc w:val="center"/>
        <w:ind w:right="2620"/>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 13D-1(A) AND AMENDMENTS THERETO FILED PURSUANT TO RULE 13D-2(A)</w:t>
      </w: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5)</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ACTEL CORPORATION</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COMMON STOCK, $0.001 PAR VALUE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004934 10 5</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Texas Instruments Incorporated</w:t>
      </w:r>
    </w:p>
    <w:p>
      <w:pPr>
        <w:ind w:left="2540"/>
        <w:spacing w:after="0" w:line="238" w:lineRule="auto"/>
        <w:rPr>
          <w:sz w:val="20"/>
          <w:szCs w:val="20"/>
          <w:color w:val="auto"/>
        </w:rPr>
      </w:pPr>
      <w:r>
        <w:rPr>
          <w:rFonts w:ascii="Courier New" w:cs="Courier New" w:eastAsia="Courier New" w:hAnsi="Courier New"/>
          <w:sz w:val="18"/>
          <w:szCs w:val="18"/>
          <w:color w:val="auto"/>
        </w:rPr>
        <w:t>8505 Forest Lane, Mail Stop 8658</w:t>
      </w:r>
    </w:p>
    <w:p>
      <w:pPr>
        <w:ind w:left="3280"/>
        <w:spacing w:after="0"/>
        <w:rPr>
          <w:sz w:val="20"/>
          <w:szCs w:val="20"/>
          <w:color w:val="auto"/>
        </w:rPr>
      </w:pPr>
      <w:r>
        <w:rPr>
          <w:rFonts w:ascii="Courier New" w:cs="Courier New" w:eastAsia="Courier New" w:hAnsi="Courier New"/>
          <w:sz w:val="18"/>
          <w:szCs w:val="18"/>
          <w:color w:val="auto"/>
        </w:rPr>
        <w:t>Dallas, Texas 75243</w:t>
      </w:r>
    </w:p>
    <w:p>
      <w:pPr>
        <w:ind w:left="2740"/>
        <w:spacing w:after="0" w:line="237" w:lineRule="auto"/>
        <w:rPr>
          <w:sz w:val="20"/>
          <w:szCs w:val="20"/>
          <w:color w:val="auto"/>
        </w:rPr>
      </w:pPr>
      <w:r>
        <w:rPr>
          <w:rFonts w:ascii="Courier New" w:cs="Courier New" w:eastAsia="Courier New" w:hAnsi="Courier New"/>
          <w:sz w:val="18"/>
          <w:szCs w:val="18"/>
          <w:color w:val="auto"/>
        </w:rPr>
        <w:t>Attention: Richard J. Agnich</w:t>
      </w:r>
    </w:p>
    <w:p>
      <w:pPr>
        <w:ind w:left="3480"/>
        <w:spacing w:after="0" w:line="238" w:lineRule="auto"/>
        <w:rPr>
          <w:sz w:val="20"/>
          <w:szCs w:val="20"/>
          <w:color w:val="auto"/>
        </w:rPr>
      </w:pPr>
      <w:r>
        <w:rPr>
          <w:rFonts w:ascii="Courier New" w:cs="Courier New" w:eastAsia="Courier New" w:hAnsi="Courier New"/>
          <w:sz w:val="18"/>
          <w:szCs w:val="18"/>
          <w:color w:val="auto"/>
        </w:rPr>
        <w:t>(972) 480-5050</w:t>
      </w:r>
    </w:p>
    <w:p>
      <w:pPr>
        <w:ind w:left="1900"/>
        <w:spacing w:after="0"/>
        <w:rPr>
          <w:sz w:val="20"/>
          <w:szCs w:val="20"/>
          <w:color w:val="auto"/>
        </w:rPr>
      </w:pPr>
      <w:r>
        <w:rPr>
          <w:rFonts w:ascii="Courier New" w:cs="Courier New" w:eastAsia="Courier New" w:hAnsi="Courier New"/>
          <w:sz w:val="18"/>
          <w:szCs w:val="18"/>
          <w:color w:val="auto"/>
        </w:rPr>
        <w:t>(Name, address and telephone number of person</w:t>
      </w:r>
    </w:p>
    <w:p>
      <w:pPr>
        <w:ind w:left="1700"/>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February 22, 1999</w:t>
      </w:r>
    </w:p>
    <w:p>
      <w:pPr>
        <w:jc w:val="center"/>
        <w:ind w:right="264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2840"/>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that is the subject of this Schedule 13D, and is filing this schedule because of Rule 13d-1(e), (f) or (g), check the following box [ ].</w:t>
      </w:r>
    </w:p>
    <w:p>
      <w:pPr>
        <w:spacing w:after="0" w:line="375"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4 Pages)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DA1:\163200\01\3HXC01!.DOC\77228.0010</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74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1280" w:type="dxa"/>
            <w:vAlign w:val="bottom"/>
          </w:tcPr>
          <w:p>
            <w:pPr>
              <w:spacing w:after="0"/>
              <w:rPr>
                <w:sz w:val="17"/>
                <w:szCs w:val="17"/>
                <w:color w:val="auto"/>
              </w:rPr>
            </w:pPr>
          </w:p>
        </w:tc>
        <w:tc>
          <w:tcPr>
            <w:tcW w:w="4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004934 10 5</w:t>
            </w:r>
          </w:p>
        </w:tc>
        <w:tc>
          <w:tcPr>
            <w:tcW w:w="12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13D</w:t>
            </w:r>
          </w:p>
        </w:tc>
        <w:tc>
          <w:tcPr>
            <w:tcW w:w="4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Page 2</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8"/>
              </w:rPr>
              <w:t>-------------------------------------------------</w:t>
            </w:r>
          </w:p>
        </w:tc>
        <w:tc>
          <w:tcPr>
            <w:tcW w:w="1280" w:type="dxa"/>
            <w:vAlign w:val="bottom"/>
          </w:tcPr>
          <w:p>
            <w:pPr>
              <w:spacing w:after="0"/>
              <w:rPr>
                <w:sz w:val="17"/>
                <w:szCs w:val="17"/>
                <w:color w:val="auto"/>
              </w:rPr>
            </w:pPr>
          </w:p>
        </w:tc>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102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 ----------------------------------------------------------------------------------------------</w:t>
            </w:r>
          </w:p>
        </w:tc>
      </w:tr>
    </w:tbl>
    <w:p>
      <w:pPr>
        <w:spacing w:after="0" w:line="201" w:lineRule="exact"/>
        <w:rPr>
          <w:sz w:val="24"/>
          <w:szCs w:val="24"/>
          <w:color w:val="auto"/>
        </w:rPr>
      </w:pPr>
    </w:p>
    <w:p>
      <w:pPr>
        <w:ind w:left="1060" w:hanging="1052"/>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w:t>
      </w:r>
    </w:p>
    <w:p>
      <w:pPr>
        <w:spacing w:after="0" w:line="202"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TEXAS INSTRUMENTS INCORPORATED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18"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9280"/>
        <w:spacing w:after="0" w:line="238" w:lineRule="auto"/>
        <w:rPr>
          <w:sz w:val="20"/>
          <w:szCs w:val="20"/>
          <w:color w:val="auto"/>
        </w:rPr>
      </w:pPr>
      <w:r>
        <w:rPr>
          <w:rFonts w:ascii="Courier New" w:cs="Courier New" w:eastAsia="Courier New" w:hAnsi="Courier New"/>
          <w:sz w:val="18"/>
          <w:szCs w:val="18"/>
          <w:color w:val="auto"/>
        </w:rPr>
        <w:t>(a) [ ]</w:t>
      </w:r>
    </w:p>
    <w:p>
      <w:pPr>
        <w:ind w:left="9280"/>
        <w:spacing w:after="0"/>
        <w:rPr>
          <w:sz w:val="20"/>
          <w:szCs w:val="20"/>
          <w:color w:val="auto"/>
        </w:rPr>
      </w:pPr>
      <w:r>
        <w:rPr>
          <w:rFonts w:ascii="Courier New" w:cs="Courier New" w:eastAsia="Courier New" w:hAnsi="Courier New"/>
          <w:sz w:val="18"/>
          <w:szCs w:val="18"/>
          <w:color w:val="auto"/>
        </w:rPr>
        <w:t>(b) [ ]</w:t>
      </w:r>
    </w:p>
    <w:p>
      <w:pPr>
        <w:ind w:left="1580"/>
        <w:spacing w:after="0" w:line="237" w:lineRule="auto"/>
        <w:rPr>
          <w:sz w:val="20"/>
          <w:szCs w:val="20"/>
          <w:color w:val="auto"/>
        </w:rPr>
      </w:pPr>
      <w:r>
        <w:rPr>
          <w:rFonts w:ascii="Courier New" w:cs="Courier New" w:eastAsia="Courier New" w:hAnsi="Courier New"/>
          <w:sz w:val="18"/>
          <w:szCs w:val="18"/>
          <w:color w:val="auto"/>
        </w:rPr>
        <w:t>N/A</w:t>
      </w:r>
    </w:p>
    <w:p>
      <w:pPr>
        <w:spacing w:after="0" w:line="5"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1060" w:right="8540" w:hanging="136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4SOURCE OF FUNDS OO</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 IS</w:t>
      </w:r>
    </w:p>
    <w:p>
      <w:pPr>
        <w:ind w:left="1060"/>
        <w:spacing w:after="0"/>
        <w:tabs>
          <w:tab w:leader="none" w:pos="9780" w:val="left"/>
        </w:tabs>
        <w:rPr>
          <w:sz w:val="20"/>
          <w:szCs w:val="20"/>
          <w:color w:val="auto"/>
        </w:rPr>
      </w:pPr>
      <w:r>
        <w:rPr>
          <w:rFonts w:ascii="Courier New" w:cs="Courier New" w:eastAsia="Courier New" w:hAnsi="Courier New"/>
          <w:sz w:val="18"/>
          <w:szCs w:val="18"/>
          <w:color w:val="auto"/>
        </w:rPr>
        <w:t>REQUIRED PURSUANT TO ITEM 2(d) or 2(e)</w:t>
      </w:r>
      <w:r>
        <w:rPr>
          <w:sz w:val="20"/>
          <w:szCs w:val="20"/>
          <w:color w:val="auto"/>
        </w:rPr>
        <w:tab/>
      </w:r>
      <w:r>
        <w:rPr>
          <w:rFonts w:ascii="Courier New" w:cs="Courier New" w:eastAsia="Courier New" w:hAnsi="Courier New"/>
          <w:sz w:val="16"/>
          <w:szCs w:val="16"/>
          <w:color w:val="auto"/>
        </w:rPr>
        <w:t>[ ]</w:t>
      </w:r>
    </w:p>
    <w:p>
      <w:pPr>
        <w:sectPr>
          <w:pgSz w:w="11900" w:h="16838" w:orient="portrait"/>
          <w:cols w:equalWidth="0" w:num="1">
            <w:col w:w="11180"/>
          </w:cols>
          <w:pgMar w:left="240" w:top="244" w:right="479" w:bottom="0" w:gutter="0" w:footer="0" w:header="0"/>
        </w:sectPr>
      </w:pPr>
    </w:p>
    <w:bookmarkStart w:id="1" w:name="page2"/>
    <w:bookmarkEnd w:id="1"/>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4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tbl>
      <w:tblPr>
        <w:tblLayout w:type="fixed"/>
        <w:tblInd w:w="1580" w:type="dxa"/>
        <w:tblCellMar>
          <w:top w:w="0" w:type="dxa"/>
          <w:left w:w="0" w:type="dxa"/>
          <w:bottom w:w="0" w:type="dxa"/>
          <w:right w:w="0" w:type="dxa"/>
        </w:tblCellMar>
      </w:tblPr>
      <w:tr>
        <w:trPr>
          <w:trHeight w:val="203"/>
        </w:trPr>
        <w:tc>
          <w:tcPr>
            <w:tcW w:w="222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74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03"/>
        </w:trPr>
        <w:tc>
          <w:tcPr>
            <w:tcW w:w="2220" w:type="dxa"/>
            <w:vAlign w:val="bottom"/>
          </w:tcPr>
          <w:p>
            <w:pPr>
              <w:jc w:val="center"/>
              <w:ind w:right="8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740" w:type="dxa"/>
            <w:vAlign w:val="bottom"/>
          </w:tcPr>
          <w:p>
            <w:pPr>
              <w:spacing w:after="0"/>
              <w:rPr>
                <w:sz w:val="17"/>
                <w:szCs w:val="17"/>
                <w:color w:val="auto"/>
              </w:rPr>
            </w:pP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1,035,078</w:t>
            </w:r>
          </w:p>
        </w:tc>
      </w:tr>
      <w:tr>
        <w:trPr>
          <w:trHeight w:val="203"/>
        </w:trPr>
        <w:tc>
          <w:tcPr>
            <w:tcW w:w="2220" w:type="dxa"/>
            <w:vAlign w:val="bottom"/>
          </w:tcPr>
          <w:p>
            <w:pPr>
              <w:jc w:val="center"/>
              <w:ind w:right="85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74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03"/>
        </w:trPr>
        <w:tc>
          <w:tcPr>
            <w:tcW w:w="2220" w:type="dxa"/>
            <w:vAlign w:val="bottom"/>
          </w:tcPr>
          <w:p>
            <w:pPr>
              <w:jc w:val="center"/>
              <w:ind w:right="8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7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220" w:type="dxa"/>
            <w:vAlign w:val="bottom"/>
          </w:tcPr>
          <w:p>
            <w:pPr>
              <w:jc w:val="center"/>
              <w:ind w:right="852"/>
              <w:spacing w:after="0" w:line="203" w:lineRule="exact"/>
              <w:rPr>
                <w:sz w:val="20"/>
                <w:szCs w:val="20"/>
                <w:color w:val="auto"/>
              </w:rPr>
            </w:pPr>
            <w:r>
              <w:rPr>
                <w:rFonts w:ascii="Courier New" w:cs="Courier New" w:eastAsia="Courier New" w:hAnsi="Courier New"/>
                <w:sz w:val="18"/>
                <w:szCs w:val="18"/>
                <w:color w:val="auto"/>
              </w:rPr>
              <w:t>EACH</w:t>
            </w:r>
          </w:p>
        </w:tc>
        <w:tc>
          <w:tcPr>
            <w:tcW w:w="17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8</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174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03"/>
        </w:trPr>
        <w:tc>
          <w:tcPr>
            <w:tcW w:w="2220" w:type="dxa"/>
            <w:vAlign w:val="bottom"/>
          </w:tcPr>
          <w:p>
            <w:pPr>
              <w:jc w:val="center"/>
              <w:ind w:right="8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740" w:type="dxa"/>
            <w:vAlign w:val="bottom"/>
          </w:tcPr>
          <w:p>
            <w:pPr>
              <w:spacing w:after="0"/>
              <w:rPr>
                <w:sz w:val="17"/>
                <w:szCs w:val="17"/>
                <w:color w:val="auto"/>
              </w:rPr>
            </w:pP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20" w:type="dxa"/>
            <w:vAlign w:val="bottom"/>
          </w:tcPr>
          <w:p>
            <w:pPr>
              <w:jc w:val="center"/>
              <w:ind w:right="852"/>
              <w:spacing w:after="0" w:line="203" w:lineRule="exact"/>
              <w:rPr>
                <w:sz w:val="20"/>
                <w:szCs w:val="20"/>
                <w:color w:val="auto"/>
              </w:rPr>
            </w:pPr>
            <w:r>
              <w:rPr>
                <w:rFonts w:ascii="Courier New" w:cs="Courier New" w:eastAsia="Courier New" w:hAnsi="Courier New"/>
                <w:sz w:val="18"/>
                <w:szCs w:val="18"/>
                <w:color w:val="auto"/>
              </w:rPr>
              <w:t>WITH</w:t>
            </w:r>
          </w:p>
        </w:tc>
        <w:tc>
          <w:tcPr>
            <w:tcW w:w="17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220" w:type="dxa"/>
            <w:vAlign w:val="bottom"/>
          </w:tcPr>
          <w:p>
            <w:pPr>
              <w:spacing w:after="0"/>
              <w:rPr>
                <w:sz w:val="17"/>
                <w:szCs w:val="17"/>
                <w:color w:val="auto"/>
              </w:rPr>
            </w:pPr>
          </w:p>
        </w:tc>
        <w:tc>
          <w:tcPr>
            <w:tcW w:w="17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9</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2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420" w:type="dxa"/>
            <w:vAlign w:val="bottom"/>
          </w:tcPr>
          <w:p>
            <w:pPr>
              <w:ind w:left="60"/>
              <w:spacing w:after="0"/>
              <w:rPr>
                <w:sz w:val="20"/>
                <w:szCs w:val="20"/>
                <w:color w:val="auto"/>
              </w:rPr>
            </w:pPr>
            <w:r>
              <w:rPr>
                <w:rFonts w:ascii="Courier New" w:cs="Courier New" w:eastAsia="Courier New" w:hAnsi="Courier New"/>
                <w:sz w:val="18"/>
                <w:szCs w:val="18"/>
                <w:color w:val="auto"/>
              </w:rPr>
              <w:t>1,035,078</w:t>
            </w:r>
          </w:p>
        </w:tc>
      </w:tr>
    </w:tbl>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5600" w:right="3060" w:hanging="852"/>
        <w:spacing w:after="0" w:line="357" w:lineRule="auto"/>
        <w:tabs>
          <w:tab w:leader="none" w:pos="56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1,035,078</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 ROW 11</w:t>
      </w:r>
    </w:p>
    <w:p>
      <w:pPr>
        <w:ind w:left="1060"/>
        <w:spacing w:after="0"/>
        <w:tabs>
          <w:tab w:leader="none" w:pos="1032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206"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4.9%</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5" w:lineRule="exact"/>
        <w:rPr>
          <w:rFonts w:ascii="Courier New" w:cs="Courier New" w:eastAsia="Courier New" w:hAnsi="Courier New"/>
          <w:sz w:val="16"/>
          <w:szCs w:val="16"/>
          <w:color w:val="auto"/>
        </w:rPr>
      </w:pPr>
    </w:p>
    <w:p>
      <w:pPr>
        <w:ind w:left="31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4 Pages)</w:t>
      </w:r>
    </w:p>
    <w:p>
      <w:pPr>
        <w:sectPr>
          <w:pgSz w:w="11900" w:h="16838" w:orient="portrait"/>
          <w:cols w:equalWidth="0" w:num="1">
            <w:col w:w="11180"/>
          </w:cols>
          <w:pgMar w:left="240" w:top="344" w:right="479" w:bottom="1440" w:gutter="0" w:footer="0" w:header="0"/>
        </w:sectPr>
      </w:pPr>
    </w:p>
    <w:bookmarkStart w:id="2" w:name="page3"/>
    <w:bookmarkEnd w:id="2"/>
    <w:p>
      <w:pPr>
        <w:ind w:right="1879"/>
        <w:spacing w:after="0" w:line="237" w:lineRule="auto"/>
        <w:rPr>
          <w:sz w:val="20"/>
          <w:szCs w:val="20"/>
          <w:color w:val="auto"/>
        </w:rPr>
      </w:pPr>
      <w:r>
        <w:rPr>
          <w:rFonts w:ascii="Courier New" w:cs="Courier New" w:eastAsia="Courier New" w:hAnsi="Courier New"/>
          <w:sz w:val="18"/>
          <w:szCs w:val="18"/>
          <w:color w:val="auto"/>
        </w:rPr>
        <w:t>This Amendment No. 5 to Schedule 13D amends and supplements the Statement on Schedule 13D initially filed with the Securities and Exchange Commission (the "SEC") on or about November 7, 1995, as amended and restated by Amendment No. 1 filed with the SEC on April 8, 1997, and further amended by Amendment No. 2 filed with the SEC on April 10, 1997, and further amended by Amendment No. 3 filed with the SEC on August 28, 1997, and further amended by Amendment No. 4 filed with the SEC on September 15, 1997 (the "Schedule 13D"), by Texas Instruments Incorporated ("TI"). Unless otherwise indicated, capitalized terms used herein shall have the respective meanings given such terms in the Schedule 13D.</w:t>
      </w:r>
    </w:p>
    <w:p>
      <w:pPr>
        <w:spacing w:after="0" w:line="200" w:lineRule="exact"/>
        <w:rPr>
          <w:sz w:val="20"/>
          <w:szCs w:val="20"/>
          <w:color w:val="auto"/>
        </w:rPr>
      </w:pPr>
    </w:p>
    <w:p>
      <w:pPr>
        <w:spacing w:after="0" w:line="21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ISSUER.</w:t>
      </w:r>
    </w:p>
    <w:p>
      <w:pPr>
        <w:spacing w:after="0" w:line="207" w:lineRule="exact"/>
        <w:rPr>
          <w:sz w:val="20"/>
          <w:szCs w:val="20"/>
          <w:color w:val="auto"/>
        </w:rPr>
      </w:pPr>
    </w:p>
    <w:p>
      <w:pPr>
        <w:ind w:left="1900" w:right="2199" w:hanging="944"/>
        <w:spacing w:after="0" w:line="236" w:lineRule="auto"/>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 beneficially owns 1,035,078 shares of the Issuer Common Stock (representing approximately 4.9% of the outstanding shares of such class of securities).</w:t>
      </w:r>
    </w:p>
    <w:p>
      <w:pPr>
        <w:spacing w:after="0" w:line="208" w:lineRule="exact"/>
        <w:rPr>
          <w:rFonts w:ascii="Courier New" w:cs="Courier New" w:eastAsia="Courier New" w:hAnsi="Courier New"/>
          <w:sz w:val="18"/>
          <w:szCs w:val="18"/>
          <w:color w:val="auto"/>
        </w:rPr>
      </w:pPr>
    </w:p>
    <w:p>
      <w:pPr>
        <w:ind w:left="1900" w:right="1879" w:hanging="944"/>
        <w:spacing w:after="0" w:line="236" w:lineRule="auto"/>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 has the sole power to vote or direct the vote and the sole power to dispose or to direct the disposition of 1,035,078 shares of Issuer Common Stock.</w:t>
      </w:r>
    </w:p>
    <w:p>
      <w:pPr>
        <w:spacing w:after="0" w:line="208" w:lineRule="exact"/>
        <w:rPr>
          <w:rFonts w:ascii="Courier New" w:cs="Courier New" w:eastAsia="Courier New" w:hAnsi="Courier New"/>
          <w:sz w:val="18"/>
          <w:szCs w:val="18"/>
          <w:color w:val="auto"/>
        </w:rPr>
      </w:pPr>
    </w:p>
    <w:p>
      <w:pPr>
        <w:ind w:left="1900" w:right="2199" w:hanging="944"/>
        <w:spacing w:after="0" w:line="279" w:lineRule="auto"/>
        <w:tabs>
          <w:tab w:leader="none" w:pos="19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transactions in the Issuer Common Stock were effected by TI since the date of the event requiring the filing of the most recent amendment to the Schedule 13D:</w:t>
      </w:r>
    </w:p>
    <w:p>
      <w:pPr>
        <w:spacing w:after="0" w:line="173"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rPr>
              <w:t>Date</w:t>
            </w:r>
          </w:p>
        </w:tc>
        <w:tc>
          <w:tcPr>
            <w:tcW w:w="2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No. of Shares</w:t>
            </w:r>
          </w:p>
        </w:tc>
        <w:tc>
          <w:tcPr>
            <w:tcW w:w="1900" w:type="dxa"/>
            <w:vAlign w:val="bottom"/>
          </w:tcPr>
          <w:p>
            <w:pPr>
              <w:ind w:left="320"/>
              <w:spacing w:after="0"/>
              <w:rPr>
                <w:sz w:val="20"/>
                <w:szCs w:val="20"/>
                <w:color w:val="auto"/>
              </w:rPr>
            </w:pPr>
            <w:r>
              <w:rPr>
                <w:rFonts w:ascii="Courier New" w:cs="Courier New" w:eastAsia="Courier New" w:hAnsi="Courier New"/>
                <w:sz w:val="18"/>
                <w:szCs w:val="18"/>
                <w:color w:val="auto"/>
              </w:rPr>
              <w:t>Sale/Purchase</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Price per Share</w:t>
            </w: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12/17/97</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25,000</w:t>
            </w:r>
          </w:p>
        </w:tc>
        <w:tc>
          <w:tcPr>
            <w:tcW w:w="1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Sale</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$12.50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1/20/99</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5,000</w:t>
            </w:r>
          </w:p>
        </w:tc>
        <w:tc>
          <w:tcPr>
            <w:tcW w:w="1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Sale</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$20.50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1/20/99</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3,000</w:t>
            </w:r>
          </w:p>
        </w:tc>
        <w:tc>
          <w:tcPr>
            <w:tcW w:w="1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Sale</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$20.25</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1/20/99</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3,000</w:t>
            </w:r>
          </w:p>
        </w:tc>
        <w:tc>
          <w:tcPr>
            <w:tcW w:w="1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Sale</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$20.13</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1/20/99</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24,000</w:t>
            </w:r>
          </w:p>
        </w:tc>
        <w:tc>
          <w:tcPr>
            <w:tcW w:w="1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Sale</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1/26/99</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6,000</w:t>
            </w:r>
          </w:p>
        </w:tc>
        <w:tc>
          <w:tcPr>
            <w:tcW w:w="1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Sale</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$19.13</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1/26/99</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2,500</w:t>
            </w:r>
          </w:p>
        </w:tc>
        <w:tc>
          <w:tcPr>
            <w:tcW w:w="1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Sale</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$19.06</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1/26/99</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41,500</w:t>
            </w:r>
          </w:p>
        </w:tc>
        <w:tc>
          <w:tcPr>
            <w:tcW w:w="1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Sale</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$19.00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2/17/99</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10,000</w:t>
            </w:r>
          </w:p>
        </w:tc>
        <w:tc>
          <w:tcPr>
            <w:tcW w:w="1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Sale</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$14.50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2/22/99</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97,500</w:t>
            </w:r>
          </w:p>
        </w:tc>
        <w:tc>
          <w:tcPr>
            <w:tcW w:w="1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Sale</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$14.50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2/22/99</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2,500</w:t>
            </w:r>
          </w:p>
        </w:tc>
        <w:tc>
          <w:tcPr>
            <w:tcW w:w="1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Sale</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$14.63</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2/24/99</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5,000</w:t>
            </w:r>
          </w:p>
        </w:tc>
        <w:tc>
          <w:tcPr>
            <w:tcW w:w="1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Sale</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$14.50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2/25/99</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w:t>
            </w:r>
          </w:p>
        </w:tc>
        <w:tc>
          <w:tcPr>
            <w:tcW w:w="1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Sale</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$14.50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2/26/99</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14,500</w:t>
            </w:r>
          </w:p>
        </w:tc>
        <w:tc>
          <w:tcPr>
            <w:tcW w:w="1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Sale</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$14.31</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2/26/99</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w:t>
            </w:r>
          </w:p>
        </w:tc>
        <w:tc>
          <w:tcPr>
            <w:tcW w:w="1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Sale</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$14.25</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2/26/99</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1,500</w:t>
            </w:r>
          </w:p>
        </w:tc>
        <w:tc>
          <w:tcPr>
            <w:tcW w:w="1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Sale</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$14.13</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2/26/99</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3,500</w:t>
            </w:r>
          </w:p>
        </w:tc>
        <w:tc>
          <w:tcPr>
            <w:tcW w:w="1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Sale</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$14.00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2/26/99</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93,000</w:t>
            </w:r>
          </w:p>
        </w:tc>
        <w:tc>
          <w:tcPr>
            <w:tcW w:w="1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Sale</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$13.50</w:t>
            </w:r>
          </w:p>
        </w:tc>
      </w:tr>
    </w:tbl>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All of the above transactions were effected in brokers' transactions on the Nasdaq National Market pursuant to Rule 144 under the Securities Act of 1933, as amended. The price per share is the average price for the sale of such shares on the referenced date, excluding brokerage commissions.</w:t>
      </w:r>
    </w:p>
    <w:p>
      <w:pPr>
        <w:spacing w:after="0" w:line="202" w:lineRule="exact"/>
        <w:rPr>
          <w:sz w:val="20"/>
          <w:szCs w:val="20"/>
          <w:color w:val="auto"/>
        </w:rPr>
      </w:pPr>
    </w:p>
    <w:p>
      <w:pPr>
        <w:ind w:left="1900" w:hanging="944"/>
        <w:spacing w:after="0"/>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1900" w:right="2199" w:hanging="944"/>
        <w:spacing w:after="0" w:line="235" w:lineRule="auto"/>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February 26, 1999, TI ceased to be the beneficial owner more than 5% of Issuer Common Stock.</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3 of 4 Pages)</w:t>
      </w:r>
    </w:p>
    <w:p>
      <w:pPr>
        <w:sectPr>
          <w:pgSz w:w="11900" w:h="16838" w:orient="portrait"/>
          <w:cols w:equalWidth="0" w:num="1">
            <w:col w:w="10219"/>
          </w:cols>
          <w:pgMar w:left="240" w:top="520" w:right="1440" w:bottom="1440" w:gutter="0" w:footer="0" w:header="0"/>
        </w:sectPr>
      </w:pPr>
    </w:p>
    <w:bookmarkStart w:id="3" w:name="page4"/>
    <w:bookmarkEnd w:id="3"/>
    <w:p>
      <w:pPr>
        <w:ind w:left="33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9799"/>
          </w:cols>
          <w:pgMar w:left="660" w:top="514" w:right="1440" w:bottom="1440" w:gutter="0" w:footer="0" w:header="0"/>
        </w:sectPr>
      </w:pP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March 3, 1999</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William A. Aylesworth</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William A. Aylesworth</w:t>
      </w:r>
    </w:p>
    <w:p>
      <w:pPr>
        <w:ind w:left="520"/>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ectPr>
          <w:pgSz w:w="11900" w:h="16838" w:orient="portrait"/>
          <w:cols w:equalWidth="0" w:num="2">
            <w:col w:w="3300" w:space="720"/>
            <w:col w:w="5779"/>
          </w:cols>
          <w:pgMar w:left="660" w:top="5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(Page 4 of 4 Pages)</w:t>
      </w:r>
    </w:p>
    <w:sectPr>
      <w:pgSz w:w="11900" w:h="16838" w:orient="portrait"/>
      <w:cols w:equalWidth="0" w:num="1">
        <w:col w:w="9799"/>
      </w:cols>
      <w:pgMar w:left="660" w:top="5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2"/>
      <w:numFmt w:val="decimal"/>
      <w:start w:val="10"/>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2019-12-16T08:37:13Z</dcterms:created>
  <dcterms:modified xsi:type="dcterms:W3CDTF">2019-12-16T08:37:13Z</dcterms:modified>
</cp:coreProperties>
</file>