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Prospectus Supplement</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To Prospectus Dated August 31, 2000</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right"/>
        <w:ind w:right="3900"/>
        <w:spacing w:after="0"/>
        <w:rPr>
          <w:sz w:val="20"/>
          <w:szCs w:val="20"/>
          <w:color w:val="auto"/>
        </w:rPr>
      </w:pPr>
      <w:r>
        <w:rPr>
          <w:rFonts w:ascii="Courier New" w:cs="Courier New" w:eastAsia="Courier New" w:hAnsi="Courier New"/>
          <w:sz w:val="15"/>
          <w:szCs w:val="15"/>
          <w:color w:val="auto"/>
        </w:rPr>
        <w:t>Filed Pursuant to Rule 424(b)(4)</w:t>
      </w:r>
    </w:p>
    <w:p>
      <w:pPr>
        <w:spacing w:after="0" w:line="11" w:lineRule="exact"/>
        <w:rPr>
          <w:sz w:val="24"/>
          <w:szCs w:val="24"/>
          <w:color w:val="auto"/>
        </w:rPr>
      </w:pPr>
    </w:p>
    <w:p>
      <w:pPr>
        <w:jc w:val="right"/>
        <w:ind w:right="3900"/>
        <w:spacing w:after="0"/>
        <w:rPr>
          <w:sz w:val="20"/>
          <w:szCs w:val="20"/>
          <w:color w:val="auto"/>
        </w:rPr>
      </w:pPr>
      <w:r>
        <w:rPr>
          <w:rFonts w:ascii="Courier New" w:cs="Courier New" w:eastAsia="Courier New" w:hAnsi="Courier New"/>
          <w:sz w:val="16"/>
          <w:szCs w:val="16"/>
          <w:color w:val="auto"/>
        </w:rPr>
        <w:t>Registration No. 333-44572-01</w:t>
      </w:r>
    </w:p>
    <w:p>
      <w:pPr>
        <w:spacing w:after="0" w:line="2" w:lineRule="exact"/>
        <w:rPr>
          <w:sz w:val="24"/>
          <w:szCs w:val="24"/>
          <w:color w:val="auto"/>
        </w:rPr>
      </w:pPr>
    </w:p>
    <w:p>
      <w:pPr>
        <w:jc w:val="right"/>
        <w:ind w:right="3900"/>
        <w:spacing w:after="0"/>
        <w:rPr>
          <w:sz w:val="20"/>
          <w:szCs w:val="20"/>
          <w:color w:val="auto"/>
        </w:rPr>
      </w:pPr>
      <w:r>
        <w:rPr>
          <w:rFonts w:ascii="Courier New" w:cs="Courier New" w:eastAsia="Courier New" w:hAnsi="Courier New"/>
          <w:sz w:val="16"/>
          <w:szCs w:val="16"/>
          <w:color w:val="auto"/>
        </w:rPr>
        <w:t>333-44572</w:t>
      </w:r>
    </w:p>
    <w:p>
      <w:pPr>
        <w:spacing w:after="0" w:line="200" w:lineRule="exact"/>
        <w:rPr>
          <w:sz w:val="24"/>
          <w:szCs w:val="24"/>
          <w:color w:val="auto"/>
        </w:rPr>
      </w:pPr>
    </w:p>
    <w:p>
      <w:pPr>
        <w:sectPr>
          <w:pgSz w:w="11900" w:h="16838" w:orient="portrait"/>
          <w:cols w:equalWidth="0" w:num="2">
            <w:col w:w="3862" w:space="720"/>
            <w:col w:w="6940"/>
          </w:cols>
          <w:pgMar w:left="238" w:top="237" w:right="139" w:bottom="1440" w:gutter="0" w:footer="0" w:header="0"/>
        </w:sectPr>
      </w:pPr>
    </w:p>
    <w:p>
      <w:pPr>
        <w:spacing w:after="0" w:line="169" w:lineRule="exact"/>
        <w:rPr>
          <w:sz w:val="24"/>
          <w:szCs w:val="24"/>
          <w:color w:val="auto"/>
        </w:rPr>
      </w:pPr>
    </w:p>
    <w:p>
      <w:pPr>
        <w:jc w:val="center"/>
        <w:ind w:right="3798"/>
        <w:spacing w:after="0"/>
        <w:rPr>
          <w:sz w:val="20"/>
          <w:szCs w:val="20"/>
          <w:color w:val="auto"/>
        </w:rPr>
      </w:pPr>
      <w:r>
        <w:rPr>
          <w:rFonts w:ascii="Courier New" w:cs="Courier New" w:eastAsia="Courier New" w:hAnsi="Courier New"/>
          <w:sz w:val="16"/>
          <w:szCs w:val="16"/>
          <w:color w:val="auto"/>
        </w:rPr>
        <w:t>TEXAS INSTRUMENTS TUCSCON CORPORATION</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(FORMERLY KNOWN AS BURR-BROWN CORPORATION)</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$250,000,000</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4 1/4% CONVERTIBLE SUBORDINATED NOTES DUE 2007</w:t>
      </w:r>
    </w:p>
    <w:p>
      <w:pPr>
        <w:spacing w:after="0" w:line="186"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TEXAS INSTRUMENTS INCORPORATED</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5,624,784 SHARES OF COMMON STOCK</w:t>
      </w:r>
    </w:p>
    <w:p>
      <w:pPr>
        <w:spacing w:after="0" w:line="186"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 w:right="3900" w:firstLine="477"/>
        <w:spacing w:after="0" w:line="242" w:lineRule="auto"/>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August 31, 2000 of Texas Instruments Tucson Corporation and Texas Instruments Incorporated relating to the offering from time to time by certain selling securityholders of (i) up to $250.0 million aggregate principal amount of 4 1/4% Convertible Subordinated Notes Due 2007 of TI Tucson, and (ii) up to 5,624,784 shares of Texas Instruments common stock, par value $1.00 per share, issuable upon conversion of the notes.</w:t>
      </w:r>
    </w:p>
    <w:p>
      <w:pPr>
        <w:spacing w:after="0" w:line="185"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CHANGE IN SELLING SECURITYHOLDER INFORMATION</w:t>
      </w:r>
    </w:p>
    <w:p>
      <w:pPr>
        <w:spacing w:after="0" w:line="188" w:lineRule="exact"/>
        <w:rPr>
          <w:sz w:val="24"/>
          <w:szCs w:val="24"/>
          <w:color w:val="auto"/>
        </w:rPr>
      </w:pPr>
    </w:p>
    <w:p>
      <w:pPr>
        <w:ind w:left="2" w:right="4080" w:firstLine="477"/>
        <w:spacing w:after="0" w:line="241" w:lineRule="auto"/>
        <w:rPr>
          <w:sz w:val="20"/>
          <w:szCs w:val="20"/>
          <w:color w:val="auto"/>
        </w:rPr>
      </w:pPr>
      <w:r>
        <w:rPr>
          <w:rFonts w:ascii="Courier New" w:cs="Courier New" w:eastAsia="Courier New" w:hAnsi="Courier New"/>
          <w:sz w:val="16"/>
          <w:szCs w:val="16"/>
          <w:color w:val="auto"/>
        </w:rPr>
        <w:t>The table below sets forth information as of the date hereof concerning beneficial ownership of the notes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353"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1620" w:type="dxa"/>
            <w:vAlign w:val="bottom"/>
          </w:tcPr>
          <w:p>
            <w:pPr>
              <w:jc w:val="center"/>
              <w:ind w:left="1"/>
              <w:spacing w:after="0"/>
              <w:rPr>
                <w:sz w:val="20"/>
                <w:szCs w:val="20"/>
                <w:color w:val="auto"/>
              </w:rPr>
            </w:pPr>
            <w:r>
              <w:rPr>
                <w:rFonts w:ascii="Courier New" w:cs="Courier New" w:eastAsia="Courier New" w:hAnsi="Courier New"/>
                <w:sz w:val="16"/>
                <w:szCs w:val="16"/>
                <w:color w:val="auto"/>
                <w:w w:val="99"/>
              </w:rPr>
              <w:t>PRINCIPAL</w:t>
            </w:r>
          </w:p>
        </w:tc>
        <w:tc>
          <w:tcPr>
            <w:tcW w:w="1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4820" w:type="dxa"/>
            <w:vAlign w:val="bottom"/>
          </w:tcPr>
          <w:p>
            <w:pPr>
              <w:spacing w:after="0"/>
              <w:rPr>
                <w:sz w:val="15"/>
                <w:szCs w:val="15"/>
                <w:color w:val="auto"/>
              </w:rPr>
            </w:pPr>
          </w:p>
        </w:tc>
        <w:tc>
          <w:tcPr>
            <w:tcW w:w="1620" w:type="dxa"/>
            <w:vAlign w:val="bottom"/>
          </w:tcPr>
          <w:p>
            <w:pPr>
              <w:jc w:val="center"/>
              <w:ind w:left="1"/>
              <w:spacing w:after="0"/>
              <w:rPr>
                <w:sz w:val="20"/>
                <w:szCs w:val="20"/>
                <w:color w:val="auto"/>
              </w:rPr>
            </w:pPr>
            <w:r>
              <w:rPr>
                <w:rFonts w:ascii="Courier New" w:cs="Courier New" w:eastAsia="Courier New" w:hAnsi="Courier New"/>
                <w:sz w:val="16"/>
                <w:szCs w:val="16"/>
                <w:color w:val="auto"/>
                <w:w w:val="99"/>
              </w:rPr>
              <w:t>AMOUNT AT</w:t>
            </w:r>
          </w:p>
        </w:tc>
        <w:tc>
          <w:tcPr>
            <w:tcW w:w="1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4820" w:type="dxa"/>
            <w:vAlign w:val="bottom"/>
          </w:tcPr>
          <w:p>
            <w:pPr>
              <w:spacing w:after="0"/>
              <w:rPr>
                <w:sz w:val="15"/>
                <w:szCs w:val="15"/>
                <w:color w:val="auto"/>
              </w:rPr>
            </w:pPr>
          </w:p>
        </w:tc>
        <w:tc>
          <w:tcPr>
            <w:tcW w:w="1620" w:type="dxa"/>
            <w:vAlign w:val="bottom"/>
          </w:tcPr>
          <w:p>
            <w:pPr>
              <w:jc w:val="center"/>
              <w:ind w:left="1"/>
              <w:spacing w:after="0"/>
              <w:rPr>
                <w:sz w:val="20"/>
                <w:szCs w:val="20"/>
                <w:color w:val="auto"/>
              </w:rPr>
            </w:pPr>
            <w:r>
              <w:rPr>
                <w:rFonts w:ascii="Courier New" w:cs="Courier New" w:eastAsia="Courier New" w:hAnsi="Courier New"/>
                <w:sz w:val="16"/>
                <w:szCs w:val="16"/>
                <w:color w:val="auto"/>
              </w:rPr>
              <w:t>MATURITY OF</w:t>
            </w:r>
          </w:p>
        </w:tc>
        <w:tc>
          <w:tcPr>
            <w:tcW w:w="1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4820" w:type="dxa"/>
            <w:vAlign w:val="bottom"/>
          </w:tcPr>
          <w:p>
            <w:pPr>
              <w:spacing w:after="0"/>
              <w:rPr>
                <w:sz w:val="15"/>
                <w:szCs w:val="15"/>
                <w:color w:val="auto"/>
              </w:rPr>
            </w:pPr>
          </w:p>
        </w:tc>
        <w:tc>
          <w:tcPr>
            <w:tcW w:w="162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NOTES</w:t>
            </w:r>
          </w:p>
        </w:tc>
        <w:tc>
          <w:tcPr>
            <w:tcW w:w="1620" w:type="dxa"/>
            <w:vAlign w:val="bottom"/>
          </w:tcPr>
          <w:p>
            <w:pPr>
              <w:spacing w:after="0"/>
              <w:rPr>
                <w:sz w:val="15"/>
                <w:szCs w:val="15"/>
                <w:color w:val="auto"/>
              </w:rPr>
            </w:pP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SHARES OF</w:t>
            </w:r>
          </w:p>
        </w:tc>
        <w:tc>
          <w:tcPr>
            <w:tcW w:w="1800" w:type="dxa"/>
            <w:vAlign w:val="bottom"/>
          </w:tcPr>
          <w:p>
            <w:pPr>
              <w:spacing w:after="0"/>
              <w:rPr>
                <w:sz w:val="15"/>
                <w:szCs w:val="15"/>
                <w:color w:val="auto"/>
              </w:rPr>
            </w:pPr>
          </w:p>
        </w:tc>
      </w:tr>
      <w:tr>
        <w:trPr>
          <w:trHeight w:val="183"/>
        </w:trPr>
        <w:tc>
          <w:tcPr>
            <w:tcW w:w="4820" w:type="dxa"/>
            <w:vAlign w:val="bottom"/>
          </w:tcPr>
          <w:p>
            <w:pPr>
              <w:spacing w:after="0"/>
              <w:rPr>
                <w:sz w:val="15"/>
                <w:szCs w:val="15"/>
                <w:color w:val="auto"/>
              </w:rPr>
            </w:pPr>
          </w:p>
        </w:tc>
        <w:tc>
          <w:tcPr>
            <w:tcW w:w="1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BENEFICIALLY</w:t>
            </w:r>
          </w:p>
        </w:tc>
        <w:tc>
          <w:tcPr>
            <w:tcW w:w="16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PERCENTAGE OF</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COMMON STOCK</w:t>
            </w: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w w:val="99"/>
              </w:rPr>
              <w:t>PERCENTAGE OF</w:t>
            </w:r>
          </w:p>
        </w:tc>
      </w:tr>
      <w:tr>
        <w:trPr>
          <w:trHeight w:val="183"/>
        </w:trPr>
        <w:tc>
          <w:tcPr>
            <w:tcW w:w="4820" w:type="dxa"/>
            <w:vAlign w:val="bottom"/>
          </w:tcPr>
          <w:p>
            <w:pPr>
              <w:spacing w:after="0"/>
              <w:rPr>
                <w:sz w:val="15"/>
                <w:szCs w:val="15"/>
                <w:color w:val="auto"/>
              </w:rPr>
            </w:pP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OWNED THAT</w:t>
            </w:r>
          </w:p>
        </w:tc>
        <w:tc>
          <w:tcPr>
            <w:tcW w:w="16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NOTES</w:t>
            </w: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THAT MAY</w:t>
            </w:r>
          </w:p>
        </w:tc>
        <w:tc>
          <w:tcPr>
            <w:tcW w:w="18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NAME OF SELLING SECURITYHOLDER</w:t>
            </w:r>
          </w:p>
        </w:tc>
        <w:tc>
          <w:tcPr>
            <w:tcW w:w="1620" w:type="dxa"/>
            <w:vAlign w:val="bottom"/>
          </w:tcPr>
          <w:p>
            <w:pPr>
              <w:jc w:val="center"/>
              <w:ind w:left="1"/>
              <w:spacing w:after="0"/>
              <w:rPr>
                <w:sz w:val="20"/>
                <w:szCs w:val="20"/>
                <w:color w:val="auto"/>
              </w:rPr>
            </w:pPr>
            <w:r>
              <w:rPr>
                <w:rFonts w:ascii="Courier New" w:cs="Courier New" w:eastAsia="Courier New" w:hAnsi="Courier New"/>
                <w:sz w:val="16"/>
                <w:szCs w:val="16"/>
                <w:color w:val="auto"/>
              </w:rPr>
              <w:t>MAY BE SOLD</w:t>
            </w:r>
          </w:p>
        </w:tc>
        <w:tc>
          <w:tcPr>
            <w:tcW w:w="16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OUTSTANDING</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BE SOLD(1)</w:t>
            </w: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w w:val="98"/>
              </w:rPr>
              <w:t>OUTSTANDING (2)</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4820" w:type="dxa"/>
            <w:vAlign w:val="bottom"/>
          </w:tcPr>
          <w:p>
            <w:pPr>
              <w:spacing w:after="0"/>
              <w:rPr>
                <w:sz w:val="20"/>
                <w:szCs w:val="20"/>
                <w:color w:val="auto"/>
              </w:rPr>
            </w:pPr>
            <w:r>
              <w:rPr>
                <w:rFonts w:ascii="Courier New" w:cs="Courier New" w:eastAsia="Courier New" w:hAnsi="Courier New"/>
                <w:sz w:val="16"/>
                <w:szCs w:val="16"/>
                <w:color w:val="auto"/>
              </w:rPr>
              <w:t>The Income Fund of America, Inc.................</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17,800,000</w:t>
            </w:r>
          </w:p>
        </w:tc>
        <w:tc>
          <w:tcPr>
            <w:tcW w:w="162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400,449</w:t>
            </w: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Julius Baer Securities .........................</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400,000</w:t>
            </w:r>
          </w:p>
        </w:tc>
        <w:tc>
          <w:tcPr>
            <w:tcW w:w="162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8,998</w:t>
            </w: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Less than 1%</w:t>
      </w:r>
    </w:p>
    <w:p>
      <w:pPr>
        <w:spacing w:after="0" w:line="188" w:lineRule="exact"/>
        <w:rPr>
          <w:sz w:val="24"/>
          <w:szCs w:val="24"/>
          <w:color w:val="auto"/>
        </w:rPr>
      </w:pPr>
    </w:p>
    <w:p>
      <w:pPr>
        <w:ind w:left="482" w:right="4180" w:hanging="482"/>
        <w:spacing w:after="0" w:line="242" w:lineRule="auto"/>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7" w:lineRule="exact"/>
        <w:rPr>
          <w:rFonts w:ascii="Courier New" w:cs="Courier New" w:eastAsia="Courier New" w:hAnsi="Courier New"/>
          <w:sz w:val="16"/>
          <w:szCs w:val="16"/>
          <w:color w:val="auto"/>
        </w:rPr>
      </w:pPr>
    </w:p>
    <w:p>
      <w:pPr>
        <w:ind w:left="482" w:right="3900" w:hanging="482"/>
        <w:spacing w:after="0" w:line="242" w:lineRule="auto"/>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Securities and Exchange Act using 1,729,986,258 shares of Texas Instruments common stock outstanding as of September 20, 2000. Assumes the number of shares of Texas Instruments common stock issuable upon conversion of all of that particular holder's notes are outstanding. However, this does not include the conversion of any other holder's notes.</w:t>
      </w:r>
    </w:p>
    <w:p>
      <w:pPr>
        <w:spacing w:after="0" w:line="187" w:lineRule="exact"/>
        <w:rPr>
          <w:sz w:val="24"/>
          <w:szCs w:val="24"/>
          <w:color w:val="auto"/>
        </w:rPr>
      </w:pPr>
    </w:p>
    <w:p>
      <w:pPr>
        <w:ind w:left="2" w:right="4360" w:firstLine="477"/>
        <w:spacing w:after="0" w:line="239" w:lineRule="auto"/>
        <w:rPr>
          <w:sz w:val="20"/>
          <w:szCs w:val="20"/>
          <w:color w:val="auto"/>
        </w:rPr>
      </w:pPr>
      <w:r>
        <w:rPr>
          <w:rFonts w:ascii="Courier New" w:cs="Courier New" w:eastAsia="Courier New" w:hAnsi="Courier New"/>
          <w:sz w:val="16"/>
          <w:szCs w:val="16"/>
          <w:color w:val="auto"/>
        </w:rPr>
        <w:t>THE SECURITIES OFFERED HEREBY INVOLVE A HIGH DEGREE OF RISK. SEE "RISK FACTORS" BEGINNING ON PAGE 4 OF THE PROSPECTUS.</w:t>
      </w:r>
    </w:p>
    <w:p>
      <w:pPr>
        <w:spacing w:after="0" w:line="189" w:lineRule="exact"/>
        <w:rPr>
          <w:sz w:val="24"/>
          <w:szCs w:val="24"/>
          <w:color w:val="auto"/>
        </w:rPr>
      </w:pPr>
    </w:p>
    <w:p>
      <w:pPr>
        <w:ind w:left="2" w:right="3900" w:firstLine="477"/>
        <w:spacing w:after="0" w:line="241"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4"/>
          <w:szCs w:val="24"/>
          <w:color w:val="auto"/>
        </w:rPr>
      </w:pPr>
    </w:p>
    <w:p>
      <w:pPr>
        <w:ind w:left="962"/>
        <w:spacing w:after="0"/>
        <w:rPr>
          <w:sz w:val="20"/>
          <w:szCs w:val="20"/>
          <w:color w:val="auto"/>
        </w:rPr>
      </w:pPr>
      <w:r>
        <w:rPr>
          <w:rFonts w:ascii="Courier New" w:cs="Courier New" w:eastAsia="Courier New" w:hAnsi="Courier New"/>
          <w:sz w:val="16"/>
          <w:szCs w:val="16"/>
          <w:color w:val="auto"/>
        </w:rPr>
        <w:t>The date of this Prospectus Supplement is September 29, 2000.</w:t>
      </w:r>
    </w:p>
    <w:sectPr>
      <w:pgSz w:w="11900" w:h="16838" w:orient="portrait"/>
      <w:cols w:equalWidth="0" w:num="1">
        <w:col w:w="11522"/>
      </w:cols>
      <w:pgMar w:left="238" w:top="23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2019-12-16T13:10:23Z</dcterms:created>
  <dcterms:modified xsi:type="dcterms:W3CDTF">2019-12-16T13:10:23Z</dcterms:modified>
</cp:coreProperties>
</file>