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98,294,972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98,294,972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98,294,972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ind w:left="740"/>
              <w:spacing w:after="0"/>
              <w:rPr>
                <w:sz w:val="20"/>
                <w:szCs w:val="20"/>
                <w:color w:val="auto"/>
              </w:rPr>
            </w:pPr>
            <w:r>
              <w:rPr>
                <w:rFonts w:ascii="Courier New" w:cs="Courier New" w:eastAsia="Courier New" w:hAnsi="Courier New"/>
                <w:sz w:val="18"/>
                <w:szCs w:val="18"/>
                <w:color w:val="auto"/>
              </w:rPr>
              <w:t>See page 2</w:t>
            </w:r>
          </w:p>
        </w:tc>
        <w:tc>
          <w:tcPr>
            <w:tcW w:w="7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05"/>
        </w:trPr>
        <w:tc>
          <w:tcPr>
            <w:tcW w:w="4600" w:type="dxa"/>
            <w:vAlign w:val="bottom"/>
          </w:tcPr>
          <w:p>
            <w:pPr>
              <w:ind w:left="740"/>
              <w:spacing w:after="0"/>
              <w:rPr>
                <w:sz w:val="20"/>
                <w:szCs w:val="20"/>
                <w:color w:val="auto"/>
              </w:rPr>
            </w:pPr>
            <w:r>
              <w:rPr>
                <w:rFonts w:ascii="Courier New" w:cs="Courier New" w:eastAsia="Courier New" w:hAnsi="Courier New"/>
                <w:sz w:val="18"/>
                <w:szCs w:val="18"/>
                <w:color w:val="auto"/>
                <w:w w:val="98"/>
              </w:rPr>
              <w:t>Capital Research Global Investors is</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deemed</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to be the</w:t>
            </w:r>
          </w:p>
        </w:tc>
      </w:tr>
      <w:tr>
        <w:trPr>
          <w:trHeight w:val="203"/>
        </w:trPr>
        <w:tc>
          <w:tcPr>
            <w:tcW w:w="5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beneficial owner of 98,294,972 shares or 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79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1,094,563,114 shares believed to be outstanding as a result of</w:t>
            </w:r>
          </w:p>
        </w:tc>
      </w:tr>
      <w:tr>
        <w:trPr>
          <w:trHeight w:val="203"/>
        </w:trPr>
        <w:tc>
          <w:tcPr>
            <w:tcW w:w="4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CRMC acting as investment adviser to</w:t>
            </w: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various investment</w:t>
            </w:r>
          </w:p>
        </w:tc>
      </w:tr>
      <w:tr>
        <w:trPr>
          <w:trHeight w:val="203"/>
        </w:trPr>
        <w:tc>
          <w:tcPr>
            <w:tcW w:w="4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companies registered under Section 8</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Investment Company</w:t>
            </w:r>
          </w:p>
        </w:tc>
      </w:tr>
      <w:tr>
        <w:trPr>
          <w:trHeight w:val="203"/>
        </w:trPr>
        <w:tc>
          <w:tcPr>
            <w:tcW w:w="46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Act of 1940.</w:t>
            </w:r>
          </w:p>
        </w:tc>
        <w:tc>
          <w:tcPr>
            <w:tcW w:w="7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882508104</w:t>
            </w:r>
          </w:p>
        </w:tc>
        <w:tc>
          <w:tcPr>
            <w:tcW w:w="720" w:type="dxa"/>
            <w:vAlign w:val="bottom"/>
          </w:tcPr>
          <w:p>
            <w:pPr>
              <w:spacing w:after="0"/>
              <w:rPr>
                <w:sz w:val="17"/>
                <w:szCs w:val="17"/>
                <w:color w:val="auto"/>
              </w:rPr>
            </w:pPr>
          </w:p>
        </w:tc>
        <w:tc>
          <w:tcPr>
            <w:tcW w:w="258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w w:val="95"/>
              </w:rPr>
              <w:t>Page 3 of 4</w:t>
            </w:r>
          </w:p>
        </w:tc>
      </w:tr>
    </w:tbl>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7,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28, 2014 included as an Exhibit to Schedule 13G filed with the Securities and Exchange Commission by Capital Research Global Investors on February 10, 2014 with respect to Allergan, Inc.</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2019-12-05T15:01:34Z</dcterms:created>
  <dcterms:modified xsi:type="dcterms:W3CDTF">2019-12-05T15:01:34Z</dcterms:modified>
</cp:coreProperties>
</file>