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20,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900" w:type="dxa"/>
            <w:vAlign w:val="bottom"/>
          </w:tcPr>
          <w:p>
            <w:pPr>
              <w:jc w:val="center"/>
              <w:ind w:left="706"/>
              <w:spacing w:after="0"/>
              <w:rPr>
                <w:sz w:val="20"/>
                <w:szCs w:val="20"/>
                <w:color w:val="auto"/>
              </w:rPr>
            </w:pPr>
            <w:r>
              <w:rPr>
                <w:rFonts w:ascii="Arial" w:cs="Arial" w:eastAsia="Arial" w:hAnsi="Arial"/>
                <w:sz w:val="18"/>
                <w:szCs w:val="18"/>
                <w:b w:val="1"/>
                <w:bCs w:val="1"/>
                <w:color w:val="auto"/>
                <w:w w:val="96"/>
              </w:rPr>
              <w:t>DELAWARE</w:t>
            </w:r>
          </w:p>
        </w:tc>
        <w:tc>
          <w:tcPr>
            <w:tcW w:w="5760" w:type="dxa"/>
            <w:vAlign w:val="bottom"/>
          </w:tcPr>
          <w:p>
            <w:pPr>
              <w:jc w:val="center"/>
              <w:ind w:right="38"/>
              <w:spacing w:after="0"/>
              <w:rPr>
                <w:sz w:val="20"/>
                <w:szCs w:val="20"/>
                <w:color w:val="auto"/>
              </w:rPr>
            </w:pPr>
            <w:r>
              <w:rPr>
                <w:rFonts w:ascii="Arial" w:cs="Arial" w:eastAsia="Arial" w:hAnsi="Arial"/>
                <w:sz w:val="18"/>
                <w:szCs w:val="18"/>
                <w:b w:val="1"/>
                <w:bCs w:val="1"/>
                <w:color w:val="auto"/>
                <w:w w:val="88"/>
              </w:rPr>
              <w:t>001-03761</w:t>
            </w:r>
          </w:p>
        </w:tc>
        <w:tc>
          <w:tcPr>
            <w:tcW w:w="2760" w:type="dxa"/>
            <w:vAlign w:val="bottom"/>
          </w:tcPr>
          <w:p>
            <w:pPr>
              <w:jc w:val="center"/>
              <w:ind w:right="806"/>
              <w:spacing w:after="0"/>
              <w:rPr>
                <w:sz w:val="20"/>
                <w:szCs w:val="20"/>
                <w:color w:val="auto"/>
              </w:rPr>
            </w:pPr>
            <w:r>
              <w:rPr>
                <w:rFonts w:ascii="Arial" w:cs="Arial" w:eastAsia="Arial" w:hAnsi="Arial"/>
                <w:sz w:val="18"/>
                <w:szCs w:val="18"/>
                <w:b w:val="1"/>
                <w:bCs w:val="1"/>
                <w:color w:val="auto"/>
                <w:w w:val="88"/>
              </w:rPr>
              <w:t>750289970</w:t>
            </w:r>
          </w:p>
        </w:tc>
      </w:tr>
      <w:tr>
        <w:trPr>
          <w:trHeight w:val="149"/>
        </w:trPr>
        <w:tc>
          <w:tcPr>
            <w:tcW w:w="2900" w:type="dxa"/>
            <w:vAlign w:val="bottom"/>
          </w:tcPr>
          <w:p>
            <w:pPr>
              <w:jc w:val="center"/>
              <w:ind w:left="6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57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(Commission file number)</w:t>
            </w:r>
          </w:p>
        </w:tc>
        <w:tc>
          <w:tcPr>
            <w:tcW w:w="2760" w:type="dxa"/>
            <w:vAlign w:val="bottom"/>
          </w:tcPr>
          <w:p>
            <w:pPr>
              <w:jc w:val="center"/>
              <w:ind w:right="82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2900" w:type="dxa"/>
            <w:vAlign w:val="bottom"/>
          </w:tcPr>
          <w:p>
            <w:pPr>
              <w:jc w:val="center"/>
              <w:ind w:left="706"/>
              <w:spacing w:after="0"/>
              <w:rPr>
                <w:sz w:val="20"/>
                <w:szCs w:val="20"/>
                <w:color w:val="auto"/>
              </w:rPr>
            </w:pPr>
            <w:r>
              <w:rPr>
                <w:rFonts w:ascii="Arial" w:cs="Arial" w:eastAsia="Arial" w:hAnsi="Arial"/>
                <w:sz w:val="14"/>
                <w:szCs w:val="14"/>
                <w:b w:val="1"/>
                <w:bCs w:val="1"/>
                <w:color w:val="auto"/>
                <w:w w:val="89"/>
              </w:rPr>
              <w:t>of incorporation)</w:t>
            </w:r>
          </w:p>
        </w:tc>
        <w:tc>
          <w:tcPr>
            <w:tcW w:w="5760" w:type="dxa"/>
            <w:vAlign w:val="bottom"/>
          </w:tcPr>
          <w:p>
            <w:pPr>
              <w:spacing w:after="0"/>
              <w:rPr>
                <w:sz w:val="15"/>
                <w:szCs w:val="15"/>
                <w:color w:val="auto"/>
              </w:rPr>
            </w:pPr>
          </w:p>
        </w:tc>
        <w:tc>
          <w:tcPr>
            <w:tcW w:w="2760" w:type="dxa"/>
            <w:vAlign w:val="bottom"/>
          </w:tcPr>
          <w:p>
            <w:pPr>
              <w:jc w:val="center"/>
              <w:ind w:right="826"/>
              <w:spacing w:after="0"/>
              <w:rPr>
                <w:sz w:val="20"/>
                <w:szCs w:val="20"/>
                <w:color w:val="auto"/>
              </w:rPr>
            </w:pPr>
            <w:r>
              <w:rPr>
                <w:rFonts w:ascii="Arial" w:cs="Arial" w:eastAsia="Arial" w:hAnsi="Arial"/>
                <w:sz w:val="14"/>
                <w:szCs w:val="14"/>
                <w:b w:val="1"/>
                <w:bCs w:val="1"/>
                <w:color w:val="auto"/>
                <w:w w:val="87"/>
              </w:rPr>
              <w:t>identification no.)</w:t>
            </w:r>
          </w:p>
        </w:tc>
      </w:tr>
      <w:tr>
        <w:trPr>
          <w:trHeight w:val="337"/>
        </w:trPr>
        <w:tc>
          <w:tcPr>
            <w:tcW w:w="2900" w:type="dxa"/>
            <w:vAlign w:val="bottom"/>
          </w:tcPr>
          <w:p>
            <w:pPr>
              <w:spacing w:after="0"/>
              <w:rPr>
                <w:sz w:val="24"/>
                <w:szCs w:val="24"/>
                <w:color w:val="auto"/>
              </w:rPr>
            </w:pPr>
          </w:p>
        </w:tc>
        <w:tc>
          <w:tcPr>
            <w:tcW w:w="5760" w:type="dxa"/>
            <w:vAlign w:val="bottom"/>
          </w:tcPr>
          <w:p>
            <w:pPr>
              <w:jc w:val="center"/>
              <w:ind w:right="58"/>
              <w:spacing w:after="0"/>
              <w:rPr>
                <w:sz w:val="20"/>
                <w:szCs w:val="20"/>
                <w:color w:val="auto"/>
              </w:rPr>
            </w:pPr>
            <w:r>
              <w:rPr>
                <w:rFonts w:ascii="Arial" w:cs="Arial" w:eastAsia="Arial" w:hAnsi="Arial"/>
                <w:sz w:val="18"/>
                <w:szCs w:val="18"/>
                <w:b w:val="1"/>
                <w:bCs w:val="1"/>
                <w:color w:val="auto"/>
                <w:w w:val="95"/>
              </w:rPr>
              <w:t>12500 TI BOULEVARD</w:t>
            </w:r>
          </w:p>
        </w:tc>
        <w:tc>
          <w:tcPr>
            <w:tcW w:w="276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576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P.O. BOX 660199</w:t>
            </w:r>
          </w:p>
        </w:tc>
        <w:tc>
          <w:tcPr>
            <w:tcW w:w="2760" w:type="dxa"/>
            <w:vAlign w:val="bottom"/>
          </w:tcPr>
          <w:p>
            <w:pPr>
              <w:spacing w:after="0"/>
              <w:rPr>
                <w:sz w:val="18"/>
                <w:szCs w:val="18"/>
                <w:color w:val="auto"/>
              </w:rPr>
            </w:pPr>
          </w:p>
        </w:tc>
      </w:tr>
      <w:tr>
        <w:trPr>
          <w:trHeight w:val="218"/>
        </w:trPr>
        <w:tc>
          <w:tcPr>
            <w:tcW w:w="2900" w:type="dxa"/>
            <w:vAlign w:val="bottom"/>
          </w:tcPr>
          <w:p>
            <w:pPr>
              <w:spacing w:after="0"/>
              <w:rPr>
                <w:sz w:val="18"/>
                <w:szCs w:val="18"/>
                <w:color w:val="auto"/>
              </w:rPr>
            </w:pPr>
          </w:p>
        </w:tc>
        <w:tc>
          <w:tcPr>
            <w:tcW w:w="5760" w:type="dxa"/>
            <w:vAlign w:val="bottom"/>
          </w:tcPr>
          <w:p>
            <w:pPr>
              <w:jc w:val="center"/>
              <w:ind w:right="38"/>
              <w:spacing w:after="0"/>
              <w:rPr>
                <w:sz w:val="20"/>
                <w:szCs w:val="20"/>
                <w:color w:val="auto"/>
              </w:rPr>
            </w:pPr>
            <w:r>
              <w:rPr>
                <w:rFonts w:ascii="Arial" w:cs="Arial" w:eastAsia="Arial" w:hAnsi="Arial"/>
                <w:sz w:val="18"/>
                <w:szCs w:val="18"/>
                <w:b w:val="1"/>
                <w:bCs w:val="1"/>
                <w:color w:val="auto"/>
                <w:w w:val="93"/>
              </w:rPr>
              <w:t>DALLAS, TEXAS 75266-0199</w:t>
            </w:r>
          </w:p>
        </w:tc>
        <w:tc>
          <w:tcPr>
            <w:tcW w:w="2760" w:type="dxa"/>
            <w:vAlign w:val="bottom"/>
          </w:tcPr>
          <w:p>
            <w:pPr>
              <w:spacing w:after="0"/>
              <w:rPr>
                <w:sz w:val="18"/>
                <w:szCs w:val="18"/>
                <w:color w:val="auto"/>
              </w:rPr>
            </w:pPr>
          </w:p>
        </w:tc>
      </w:tr>
      <w:tr>
        <w:trPr>
          <w:trHeight w:val="174"/>
        </w:trPr>
        <w:tc>
          <w:tcPr>
            <w:tcW w:w="2900" w:type="dxa"/>
            <w:vAlign w:val="bottom"/>
          </w:tcPr>
          <w:p>
            <w:pPr>
              <w:spacing w:after="0"/>
              <w:rPr>
                <w:sz w:val="15"/>
                <w:szCs w:val="15"/>
                <w:color w:val="auto"/>
              </w:rPr>
            </w:pPr>
          </w:p>
        </w:tc>
        <w:tc>
          <w:tcPr>
            <w:tcW w:w="5760" w:type="dxa"/>
            <w:vAlign w:val="bottom"/>
          </w:tcPr>
          <w:p>
            <w:pPr>
              <w:jc w:val="center"/>
              <w:ind w:right="38"/>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760" w:type="dxa"/>
            <w:vAlign w:val="bottom"/>
          </w:tcPr>
          <w:p>
            <w:pPr>
              <w:spacing w:after="0"/>
              <w:rPr>
                <w:sz w:val="15"/>
                <w:szCs w:val="15"/>
                <w:color w:val="auto"/>
              </w:rPr>
            </w:pPr>
          </w:p>
        </w:tc>
      </w:tr>
      <w:tr>
        <w:trPr>
          <w:trHeight w:val="350"/>
        </w:trPr>
        <w:tc>
          <w:tcPr>
            <w:tcW w:w="2900" w:type="dxa"/>
            <w:vAlign w:val="bottom"/>
          </w:tcPr>
          <w:p>
            <w:pPr>
              <w:spacing w:after="0"/>
              <w:rPr>
                <w:sz w:val="24"/>
                <w:szCs w:val="24"/>
                <w:color w:val="auto"/>
              </w:rPr>
            </w:pPr>
          </w:p>
        </w:tc>
        <w:tc>
          <w:tcPr>
            <w:tcW w:w="5760" w:type="dxa"/>
            <w:vAlign w:val="bottom"/>
          </w:tcPr>
          <w:p>
            <w:pPr>
              <w:jc w:val="center"/>
              <w:ind w:right="38"/>
              <w:spacing w:after="0"/>
              <w:rPr>
                <w:sz w:val="20"/>
                <w:szCs w:val="20"/>
                <w:color w:val="auto"/>
              </w:rPr>
            </w:pPr>
            <w:r>
              <w:rPr>
                <w:rFonts w:ascii="Arial" w:cs="Arial" w:eastAsia="Arial" w:hAnsi="Arial"/>
                <w:sz w:val="18"/>
                <w:szCs w:val="18"/>
                <w:b w:val="1"/>
                <w:bCs w:val="1"/>
                <w:color w:val="auto"/>
                <w:w w:val="87"/>
              </w:rPr>
              <w:t>Registrant’s telephone number, including area code: (972) 995-3773</w:t>
            </w:r>
          </w:p>
        </w:tc>
        <w:tc>
          <w:tcPr>
            <w:tcW w:w="2760" w:type="dxa"/>
            <w:vAlign w:val="bottom"/>
          </w:tcPr>
          <w:p>
            <w:pPr>
              <w:spacing w:after="0"/>
              <w:rPr>
                <w:sz w:val="24"/>
                <w:szCs w:val="24"/>
                <w:color w:val="auto"/>
              </w:rPr>
            </w:pPr>
          </w:p>
        </w:tc>
      </w:tr>
      <w:tr>
        <w:trPr>
          <w:trHeight w:val="201"/>
        </w:trPr>
        <w:tc>
          <w:tcPr>
            <w:tcW w:w="2900" w:type="dxa"/>
            <w:vAlign w:val="bottom"/>
            <w:tcBorders>
              <w:bottom w:val="single" w:sz="8" w:color="auto"/>
            </w:tcBorders>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ITEM 7.</w:t>
            </w:r>
          </w:p>
        </w:tc>
        <w:tc>
          <w:tcPr>
            <w:tcW w:w="5400" w:type="dxa"/>
            <w:vAlign w:val="bottom"/>
            <w:gridSpan w:val="4"/>
          </w:tcPr>
          <w:p>
            <w:pPr>
              <w:spacing w:after="0"/>
              <w:rPr>
                <w:sz w:val="20"/>
                <w:szCs w:val="20"/>
                <w:color w:val="auto"/>
              </w:rPr>
            </w:pPr>
            <w:r>
              <w:rPr>
                <w:rFonts w:ascii="Arial" w:cs="Arial" w:eastAsia="Arial" w:hAnsi="Arial"/>
                <w:sz w:val="18"/>
                <w:szCs w:val="18"/>
                <w:color w:val="auto"/>
              </w:rPr>
              <w:t>Exhibits</w:t>
            </w:r>
          </w:p>
        </w:tc>
      </w:tr>
      <w:tr>
        <w:trPr>
          <w:trHeight w:val="205"/>
        </w:trPr>
        <w:tc>
          <w:tcPr>
            <w:tcW w:w="1020" w:type="dxa"/>
            <w:vAlign w:val="bottom"/>
          </w:tcPr>
          <w:p>
            <w:pPr>
              <w:jc w:val="center"/>
              <w:ind w:left="84"/>
              <w:spacing w:after="0"/>
              <w:rPr>
                <w:sz w:val="20"/>
                <w:szCs w:val="20"/>
                <w:color w:val="auto"/>
              </w:rPr>
            </w:pPr>
            <w:r>
              <w:rPr>
                <w:rFonts w:ascii="Arial" w:cs="Arial" w:eastAsia="Arial" w:hAnsi="Arial"/>
                <w:sz w:val="14"/>
                <w:szCs w:val="14"/>
                <w:b w:val="1"/>
                <w:bCs w:val="1"/>
                <w:color w:val="auto"/>
                <w:w w:val="84"/>
              </w:rPr>
              <w:t>Designation of</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49"/>
        </w:trPr>
        <w:tc>
          <w:tcPr>
            <w:tcW w:w="1020" w:type="dxa"/>
            <w:vAlign w:val="bottom"/>
          </w:tcPr>
          <w:p>
            <w:pPr>
              <w:jc w:val="center"/>
              <w:ind w:left="84"/>
              <w:spacing w:after="0" w:line="149" w:lineRule="exact"/>
              <w:rPr>
                <w:sz w:val="20"/>
                <w:szCs w:val="20"/>
                <w:color w:val="auto"/>
              </w:rPr>
            </w:pPr>
            <w:r>
              <w:rPr>
                <w:rFonts w:ascii="Arial" w:cs="Arial" w:eastAsia="Arial" w:hAnsi="Arial"/>
                <w:sz w:val="14"/>
                <w:szCs w:val="14"/>
                <w:b w:val="1"/>
                <w:bCs w:val="1"/>
                <w:color w:val="auto"/>
                <w:w w:val="91"/>
              </w:rPr>
              <w:t>Exhibit in</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74"/>
        </w:trPr>
        <w:tc>
          <w:tcPr>
            <w:tcW w:w="1020" w:type="dxa"/>
            <w:vAlign w:val="bottom"/>
          </w:tcPr>
          <w:p>
            <w:pPr>
              <w:jc w:val="center"/>
              <w:ind w:left="84"/>
              <w:spacing w:after="0"/>
              <w:rPr>
                <w:sz w:val="20"/>
                <w:szCs w:val="20"/>
                <w:color w:val="auto"/>
              </w:rPr>
            </w:pPr>
            <w:r>
              <w:rPr>
                <w:rFonts w:ascii="Arial" w:cs="Arial" w:eastAsia="Arial" w:hAnsi="Arial"/>
                <w:sz w:val="14"/>
                <w:szCs w:val="14"/>
                <w:b w:val="1"/>
                <w:bCs w:val="1"/>
                <w:color w:val="auto"/>
                <w:w w:val="89"/>
              </w:rPr>
              <w:t>this Report</w:t>
            </w:r>
          </w:p>
        </w:tc>
        <w:tc>
          <w:tcPr>
            <w:tcW w:w="140" w:type="dxa"/>
            <w:vAlign w:val="bottom"/>
          </w:tcPr>
          <w:p>
            <w:pPr>
              <w:spacing w:after="0"/>
              <w:rPr>
                <w:sz w:val="15"/>
                <w:szCs w:val="15"/>
                <w:color w:val="auto"/>
              </w:rPr>
            </w:pPr>
          </w:p>
        </w:tc>
        <w:tc>
          <w:tcPr>
            <w:tcW w:w="5260" w:type="dxa"/>
            <w:vAlign w:val="bottom"/>
            <w:gridSpan w:val="3"/>
          </w:tcPr>
          <w:p>
            <w:pPr>
              <w:ind w:left="144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r>
      <w:tr>
        <w:trPr>
          <w:trHeight w:val="316"/>
        </w:trPr>
        <w:tc>
          <w:tcPr>
            <w:tcW w:w="1020" w:type="dxa"/>
            <w:vAlign w:val="bottom"/>
          </w:tcPr>
          <w:p>
            <w:pPr>
              <w:jc w:val="center"/>
              <w:ind w:left="84"/>
              <w:spacing w:after="0"/>
              <w:rPr>
                <w:sz w:val="20"/>
                <w:szCs w:val="20"/>
                <w:color w:val="auto"/>
              </w:rPr>
            </w:pPr>
            <w:r>
              <w:rPr>
                <w:rFonts w:ascii="Arial" w:cs="Arial" w:eastAsia="Arial" w:hAnsi="Arial"/>
                <w:sz w:val="18"/>
                <w:szCs w:val="18"/>
                <w:color w:val="auto"/>
                <w:w w:val="89"/>
              </w:rPr>
              <w:t>99</w:t>
            </w:r>
          </w:p>
        </w:tc>
        <w:tc>
          <w:tcPr>
            <w:tcW w:w="140" w:type="dxa"/>
            <w:vAlign w:val="bottom"/>
          </w:tcPr>
          <w:p>
            <w:pPr>
              <w:spacing w:after="0"/>
              <w:rPr>
                <w:sz w:val="24"/>
                <w:szCs w:val="24"/>
                <w:color w:val="auto"/>
              </w:rPr>
            </w:pPr>
          </w:p>
        </w:tc>
        <w:tc>
          <w:tcPr>
            <w:tcW w:w="5260" w:type="dxa"/>
            <w:vAlign w:val="bottom"/>
            <w:gridSpan w:val="3"/>
          </w:tcPr>
          <w:p>
            <w:pPr>
              <w:ind w:left="1440"/>
              <w:spacing w:after="0"/>
              <w:rPr>
                <w:sz w:val="20"/>
                <w:szCs w:val="20"/>
                <w:color w:val="auto"/>
              </w:rPr>
            </w:pPr>
            <w:r>
              <w:rPr>
                <w:rFonts w:ascii="Arial" w:cs="Arial" w:eastAsia="Arial" w:hAnsi="Arial"/>
                <w:sz w:val="18"/>
                <w:szCs w:val="18"/>
                <w:color w:val="auto"/>
                <w:w w:val="86"/>
              </w:rPr>
              <w:t>Registrant’s Earnings Release Dated October 20, 2003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100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6"/>
          <w:szCs w:val="16"/>
          <w:color w:val="auto"/>
        </w:rPr>
        <w:t>Results of Operations and Financial Condition</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Registrant’s earnings release dated October 20, 2003, regarding its third quarter 2003 results of operations and financial condition attached hereto as Exhibit 99 is incorporated by reference herein.</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9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digital signal processors and analog chips in key markets such as telecommunications and computers;</w:t>
      </w:r>
    </w:p>
    <w:p>
      <w:pPr>
        <w:spacing w:after="0" w:line="99" w:lineRule="exact"/>
        <w:rPr>
          <w:rFonts w:ascii="Arial" w:cs="Arial" w:eastAsia="Arial" w:hAnsi="Arial"/>
          <w:sz w:val="16"/>
          <w:szCs w:val="16"/>
          <w:color w:val="auto"/>
        </w:rPr>
      </w:pPr>
    </w:p>
    <w:p>
      <w:pPr>
        <w:ind w:left="340" w:right="180"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76" w:lineRule="exact"/>
        <w:rPr>
          <w:rFonts w:ascii="Arial" w:cs="Arial" w:eastAsia="Arial" w:hAnsi="Arial"/>
          <w:sz w:val="18"/>
          <w:szCs w:val="18"/>
          <w:color w:val="auto"/>
        </w:rPr>
      </w:pPr>
    </w:p>
    <w:p>
      <w:pPr>
        <w:ind w:left="340" w:right="20"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possible disruptions in the transportation networks and fluctuations in foreign currency exchange rates;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sectPr>
      </w:pPr>
    </w:p>
    <w:bookmarkStart w:id="2" w:name="page3"/>
    <w:bookmarkEnd w:id="2"/>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Losses or curtailments of purchases from key customers or the timing of customer inventory adjustments;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6520" w:val="left"/>
          <w:tab w:leader="none" w:pos="7060" w:val="left"/>
          <w:tab w:leader="none" w:pos="7400" w:val="left"/>
        </w:tabs>
        <w:rPr>
          <w:sz w:val="20"/>
          <w:szCs w:val="20"/>
          <w:color w:val="auto"/>
        </w:rPr>
      </w:pPr>
      <w:r>
        <w:rPr>
          <w:rFonts w:ascii="Arial" w:cs="Arial" w:eastAsia="Arial" w:hAnsi="Arial"/>
          <w:sz w:val="18"/>
          <w:szCs w:val="18"/>
          <w:color w:val="auto"/>
        </w:rPr>
        <w:t>Date: October 20,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80010</wp:posOffset>
            </wp:positionV>
            <wp:extent cx="22466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6"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Kevin P. March</w:t>
      </w:r>
    </w:p>
    <w:p>
      <w:pPr>
        <w:ind w:left="7080"/>
        <w:spacing w:after="0" w:line="221" w:lineRule="auto"/>
        <w:rPr>
          <w:sz w:val="20"/>
          <w:szCs w:val="20"/>
          <w:color w:val="auto"/>
        </w:rPr>
      </w:pPr>
      <w:r>
        <w:rPr>
          <w:rFonts w:ascii="Arial" w:cs="Arial" w:eastAsia="Arial" w:hAnsi="Arial"/>
          <w:sz w:val="14"/>
          <w:szCs w:val="14"/>
          <w:color w:val="auto"/>
        </w:rPr>
        <w:t>Senior Vice President</w:t>
      </w:r>
    </w:p>
    <w:p>
      <w:pPr>
        <w:ind w:left="7080"/>
        <w:spacing w:after="0"/>
        <w:rPr>
          <w:sz w:val="20"/>
          <w:szCs w:val="20"/>
          <w:color w:val="auto"/>
        </w:rPr>
      </w:pPr>
      <w:r>
        <w:rPr>
          <w:rFonts w:ascii="Arial" w:cs="Arial" w:eastAsia="Arial" w:hAnsi="Arial"/>
          <w:sz w:val="14"/>
          <w:szCs w:val="14"/>
          <w:color w:val="auto"/>
        </w:rPr>
        <w:t>and Chief Financial Officer</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C-03054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3Q03 Financial Results</w:t>
      </w:r>
    </w:p>
    <w:p>
      <w:pPr>
        <w:spacing w:after="0" w:line="164"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 Revenue Increases 8% Sequentially, 13% from Year Ago</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Up 18% Sequentially, 23% from Year Ago</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of $0.25, Including Contribution from Micron Stock Sale and Impact of Restructuring and Acquisition Charges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Semiconductor Revenue Increases 10% Sequentially, 16% from Year Ago</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Semiconductor Orders Up 21% Sequentially, 29% from Year Ago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4:30 p.m. Central Time Today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www.ti.com</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All results are reported in accordance with U.S. GAAP.</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DALLAS (October 20, 2003)—Texas Instruments Incorporated (NYSE: TXN) today reported financial results that reflect strengthened conditions across its semiconductor markets in the third quarter. TI’s total revenue of $2533 million increased 8 percent sequentially and 13 percent from the year-ago quarter due to growth in Semiconductor. Earnings per share (EPS) were $0.25 in the quarter, including a contribution from the sale of Micron Technology, Inc. common stock and the impact of charges for restructuring and an acquisition.</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7"/>
          <w:szCs w:val="17"/>
          <w:color w:val="auto"/>
        </w:rPr>
        <w:t>Semiconductor segment revenue increased 10 percent sequentially due to higher shipments of DSP products into the wireless and digital consumer electronics markets, as well as higher shipments of high-performance analog products. Compared with the year-ago quarter, Semiconductor revenue increased 16 percent due to higher shipments of DSP, high-performance analog and Digital Light Processing</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(DLP</w:t>
      </w:r>
      <w:r>
        <w:rPr>
          <w:rFonts w:ascii="Arial" w:cs="Arial" w:eastAsia="Arial" w:hAnsi="Arial"/>
          <w:sz w:val="21"/>
          <w:szCs w:val="21"/>
          <w:color w:val="auto"/>
          <w:vertAlign w:val="superscript"/>
        </w:rPr>
        <w:t>™</w:t>
      </w:r>
      <w:r>
        <w:rPr>
          <w:rFonts w:ascii="Arial" w:cs="Arial" w:eastAsia="Arial" w:hAnsi="Arial"/>
          <w:sz w:val="17"/>
          <w:szCs w:val="17"/>
          <w:color w:val="auto"/>
        </w:rPr>
        <w:t>) products.</w:t>
      </w:r>
    </w:p>
    <w:p>
      <w:pPr>
        <w:sectPr>
          <w:pgSz w:w="11900" w:h="16838" w:orient="portrait"/>
          <w:cols w:equalWidth="0" w:num="1">
            <w:col w:w="11420"/>
          </w:cols>
          <w:pgMar w:left="240" w:top="131" w:right="239" w:bottom="1440" w:gutter="0" w:footer="0" w:header="0"/>
        </w:sectPr>
      </w:pPr>
    </w:p>
    <w:bookmarkStart w:id="4" w:name="page5"/>
    <w:bookmarkEnd w:id="4"/>
    <w:p>
      <w:pPr>
        <w:ind w:firstLine="456"/>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revenue from the Semiconductor wireless market increased 22 percent sequentially and 30 percent from the year-ago quarter due to growth in 2.5G wireless modems and OMAP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applications processors. Broadband revenue increased 11 percent sequentially primarily due to strong demand for the company’s latest multimode wireless local area networking (LAN) products that support the IEEE 802.11 a, b and g standards. Broadband revenue increased 74 percent from the year-ago quarter due to strength in wireless LAN and DSL. Revenue from Analog products increased 7 percent sequentially and 6 percent from the year-ago quarter primarily due to demand for high-performance analog products. DSP revenue increased 22 percent sequentially and 37 percent from the year-ago quarter.</w:t>
      </w:r>
    </w:p>
    <w:p>
      <w:pPr>
        <w:spacing w:after="0" w:line="10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the Sensors &amp; Controls segment, revenue decreased 7 percent sequentially and increased 2 percent from the year-ago quarter. In the Educational &amp; Productivity Solutions (E&amp;PS) segment, revenue increased 13 percent sequentially and decreased 2 percent from the year-ago quarter.</w:t>
      </w:r>
    </w:p>
    <w:p>
      <w:pPr>
        <w:spacing w:after="0" w:line="7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the third quarter, the company incurred $56 million in charges related to previously announced restructuring actions, of which $48 million is included in cost of revenue, $7 million in selling, general and administrative (SG&amp;A) expense and $1 million in research and development (R&amp;D) expense. The company also incurred a non-tax-deductible $23 million in-process R&amp;D charge related to the company’s acquisition of Radia Communications, Inc. in the quarter.</w:t>
      </w:r>
    </w:p>
    <w:p>
      <w:pPr>
        <w:sectPr>
          <w:pgSz w:w="11900" w:h="16838" w:orient="portrait"/>
          <w:cols w:equalWidth="0" w:num="1">
            <w:col w:w="11380"/>
          </w:cols>
          <w:pgMar w:left="240" w:top="280" w:right="279" w:bottom="1440" w:gutter="0" w:footer="0" w:header="0"/>
        </w:sectPr>
      </w:pPr>
    </w:p>
    <w:bookmarkStart w:id="5" w:name="page6"/>
    <w:bookmarkEnd w:id="5"/>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of $1030 million increased 18 percent sequentially and 23 percent from the year-ago quarter. Gross profit margin was 40.7 percent of revenue, up 3.2 percentage points sequentially and 3.6 percentage points from the year-ago quarter as higher revenue fell through to gross profit at a high rate due to increased utilization of the company’s largely fixed-cost manufacturing assets in its Semiconductor operations.</w:t>
      </w:r>
    </w:p>
    <w:p>
      <w:pPr>
        <w:spacing w:after="0" w:line="9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R&amp;D expense of $468 million was up 10 percent sequentially and 13 percent from the year-ago quarter due to the inclusion of purchased in-process R&amp;D from the Radia acquisition, as well as increased product development activity within Semiconductor, especially for wireless products.</w:t>
      </w:r>
    </w:p>
    <w:p>
      <w:pPr>
        <w:spacing w:after="0" w:line="7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SG&amp;A expense of $313 million decreased 5 percent sequentially primarily due to a lease termination expense in the second quarter. SG&amp;A expense was about even with the year-ago period.</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Operating profit of $249 million, or 9.8 percent of revenue, increased $124 million sequentially and $140 million from the year-ago quarter due to higher gross profit.</w:t>
      </w:r>
    </w:p>
    <w:p>
      <w:pPr>
        <w:sectPr>
          <w:pgSz w:w="11900" w:h="16838" w:orient="portrait"/>
          <w:cols w:equalWidth="0" w:num="1">
            <w:col w:w="11340"/>
          </w:cols>
          <w:pgMar w:left="240" w:top="280" w:right="319" w:bottom="1440" w:gutter="0" w:footer="0" w:header="0"/>
        </w:sectPr>
      </w:pPr>
    </w:p>
    <w:bookmarkStart w:id="6" w:name="page7"/>
    <w:bookmarkEnd w:id="6"/>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income (expense) net (OI&amp;E) of $143 million includes interest income, investment gains (losses) and other items. OI&amp;E increased $107 million sequentially and $86 million from the year-ago quarter due to a pre-tax gain of $106 million from the company’s previously announced sale of 24.7 million shares of Micron stock. Interest expense of $8 million declined $2 million sequentially and $6 million from the year-ago quarter due to the company’s lower debt level.</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income in the quarter was $447 million, or $0.25 per share. The Micron transaction includes the recognition of a previously reserved tax benefit of $162 million associated with TI’s impairment write-down of Micron stock in the fourth quarter of 2002. The effective tax rate for the quarter was 26 percent exclusive of the tax impact resulting from the recognition of the previously reserved tax benefit associated with the Micron stock transaction. The effective tax rate was higher than previously expected due to a revision in the company’s expected tax rate for the year and the resulting cumulative catch-up tax expense of $6 million. The effective tax rate for the year is expected to be 24 percent.</w:t>
      </w:r>
    </w:p>
    <w:p>
      <w:pPr>
        <w:spacing w:after="0" w:line="1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TI orders of $2662 million increased 15 percent sequentially and 26 percent from the year-ago period. Semiconductor orders of $2295 million increased 21 percent sequentially and 29 percent from the year-ago period. The Semiconductor book-to-bill ratio was 1.08 for the third quarter, up from 0.99 in the prior quarter.</w:t>
      </w:r>
    </w:p>
    <w:p>
      <w:pPr>
        <w:sectPr>
          <w:pgSz w:w="11900" w:h="16838" w:orient="portrait"/>
          <w:cols w:equalWidth="0" w:num="1">
            <w:col w:w="11400"/>
          </w:cols>
          <w:pgMar w:left="240" w:top="280" w:right="259" w:bottom="1440" w:gutter="0" w:footer="0" w:header="0"/>
        </w:sectPr>
      </w:pPr>
    </w:p>
    <w:bookmarkStart w:id="7" w:name="page8"/>
    <w:bookmarkEnd w:id="7"/>
    <w:p>
      <w:pPr>
        <w:ind w:right="2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revenue and profit margins continue to rebound,” said Tom Engibous, TI chairman, president and CEO. “As the semiconductor market has rebuilt momentum, TI has grown faster as a result of the manufacturing technology and product R&amp;D investments we maintained through the industry’s downturn.</w:t>
      </w:r>
    </w:p>
    <w:p>
      <w:pPr>
        <w:spacing w:after="0" w:line="7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“These investments have resulted in volume production of a wide range of 130-nanometer products with 90-nanometer products already sampling and scheduled to be in production soon. TI has shipped more than 100 million chips to our customers in 130-nanometer,” Engibous said. “When these advanced technologies are combined with 300-millimeter wafers, it means TI can design and manufacture products that perform better, consume less power and cost less than products from competitors that have not made or been able to make these investments.</w:t>
      </w:r>
    </w:p>
    <w:p>
      <w:pPr>
        <w:spacing w:after="0" w:line="99"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“One example of the success of this strategy is the development of OMAP applications processors for smartphones and PDAs. These processors generated about half of our wireless revenue growth in the third quarter compared with a year ago,” Engibous said. “We see similar enthusiasm for TI’s new products for the broadband and digital consumer electronics markets, as well as for our new high-performance analog products. We expect that the revenue growth from these and other new products, as well as the benefits of ongoing cost management and lower depreciation levels, will be drivers for further profit expansion.”</w:t>
      </w:r>
    </w:p>
    <w:p>
      <w:pPr>
        <w:sectPr>
          <w:pgSz w:w="11900" w:h="16838" w:orient="portrait"/>
          <w:cols w:equalWidth="0" w:num="1">
            <w:col w:w="11400"/>
          </w:cols>
          <w:pgMar w:left="240" w:top="280" w:right="259" w:bottom="1440" w:gutter="0" w:footer="0" w:header="0"/>
        </w:sectPr>
      </w:pPr>
    </w:p>
    <w:bookmarkStart w:id="8" w:name="page9"/>
    <w:bookmarkEnd w:id="8"/>
    <w:p>
      <w:pPr>
        <w:jc w:val="both"/>
        <w:ind w:right="1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cash (cash and cash equivalents plus short-term investments and long-term cash investments) of $4538 million increased by $355 million from the end of the prior quarter and by $894 million from the end of the year-ago quarter. Cash flow from operations increased to $510 million from $378 million in the prior quarter due to higher net income, and decreased from $565 million in the year-ago quarter. Capital expenditures were $233 million in the third quarter, up from $162 million in the previous quarter and down from $269 million in the year-ago quarter.</w:t>
      </w:r>
    </w:p>
    <w:p>
      <w:pPr>
        <w:spacing w:after="0" w:line="99"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Accounts receivable increased by $82 million sequentially and $94 million from the year-ago quarter due to higher revenue. Days sales outstanding declined to 54 days at the end of the third quarter from 55 days in the prior quarter and 57 days in the year-ago quarter.</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Inventory decreased by $5 million sequentially primarily due to higher seasonal shipments of E&amp;PS products in the quarter. Compared with the year-ago quarter, inventory increased $172 million in anticipation of higher Semiconductor product shipments in the fourth quarter of 2003 and to support reduced product lead times. Days of inventory were 60 days at the end of the third quarter compared with 62 days at the end of the prior quarter and 52 days at the end of the year-ago quarter</w:t>
      </w:r>
      <w:r>
        <w:rPr>
          <w:rFonts w:ascii="Arial" w:cs="Arial" w:eastAsia="Arial" w:hAnsi="Arial"/>
          <w:sz w:val="18"/>
          <w:szCs w:val="18"/>
          <w:i w:val="1"/>
          <w:iCs w:val="1"/>
          <w:color w:val="auto"/>
        </w:rPr>
        <w:t>.</w:t>
      </w:r>
    </w:p>
    <w:p>
      <w:pPr>
        <w:sectPr>
          <w:pgSz w:w="11900" w:h="16838" w:orient="portrait"/>
          <w:cols w:equalWidth="0" w:num="1">
            <w:col w:w="11380"/>
          </w:cols>
          <w:pgMar w:left="240" w:top="28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Outlook</w:t>
      </w:r>
    </w:p>
    <w:p>
      <w:pPr>
        <w:spacing w:after="0" w:line="77"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TI intends to provide a mid-quarter update to its financial outlook on December 8 by issuing a press release and holding a conference call. Both will be available on the company’s web site.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fourth quarter of 2003, TI expects revenue to be in the following ranges:</w:t>
      </w:r>
    </w:p>
    <w:p>
      <w:pPr>
        <w:spacing w:after="0" w:line="77" w:lineRule="exact"/>
        <w:rPr>
          <w:sz w:val="20"/>
          <w:szCs w:val="20"/>
          <w:color w:val="auto"/>
        </w:rPr>
      </w:pPr>
    </w:p>
    <w:p>
      <w:pPr>
        <w:ind w:left="1260" w:hanging="455"/>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TI, $2490 million to $2700 million;</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Semiconductor, $2185 million to $2365 million;</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Sensors &amp; Controls, $235 million to $255 million; and</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E&amp;PS, $70 million to $80 million.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TI expects earnings per share to be in the range of $0.14 to $0.19. Restructuring charges in the fourth quarter are expected to be about $15 million.</w:t>
      </w:r>
    </w:p>
    <w:p>
      <w:pPr>
        <w:spacing w:after="0" w:line="18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2003, TI expects: R&amp;D to be about $1.75 billion, higher than the previous estimate due to the Radia acquisition</w:t>
      </w:r>
      <w:r>
        <w:rPr>
          <w:rFonts w:ascii="Arial" w:cs="Arial" w:eastAsia="Arial" w:hAnsi="Arial"/>
          <w:sz w:val="18"/>
          <w:szCs w:val="18"/>
          <w:i w:val="1"/>
          <w:iCs w:val="1"/>
          <w:color w:val="auto"/>
        </w:rPr>
        <w:t>;</w:t>
      </w:r>
      <w:r>
        <w:rPr>
          <w:rFonts w:ascii="Arial" w:cs="Arial" w:eastAsia="Arial" w:hAnsi="Arial"/>
          <w:sz w:val="18"/>
          <w:szCs w:val="18"/>
          <w:color w:val="auto"/>
        </w:rPr>
        <w:t xml:space="preserve"> capital expenditures to be about $800 million, unchanged from the previous estimate; and depreciation to be about $1.4 billion, unchanged from the previous estimate. The effective tax rate for the year is expected to be about 24 percent, exclusive of the tax impact resulting from the recognition of the previously reserved $162 million tax benefit associated with the Micron stock transaction during the third quarter.</w:t>
      </w:r>
    </w:p>
    <w:p>
      <w:pPr>
        <w:sectPr>
          <w:pgSz w:w="11900" w:h="16838" w:orient="portrait"/>
          <w:cols w:equalWidth="0" w:num="1">
            <w:col w:w="11320"/>
          </w:cols>
          <w:pgMar w:left="240" w:top="27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0"/>
              </w:rPr>
              <w:t>For Three Months Ended</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Sept. 30</w:t>
            </w:r>
          </w:p>
        </w:tc>
        <w:tc>
          <w:tcPr>
            <w:tcW w:w="54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2003</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2533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2339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1503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1030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877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Gross profit % of revenue</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37.5%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 (R&amp;D)</w:t>
            </w: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468</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R&amp;D % of revenue</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18.1%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 (SG&amp;A)</w:t>
            </w: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SG&amp;A % of revenue</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14.0%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2284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Arial" w:cs="Arial" w:eastAsia="Arial" w:hAnsi="Arial"/>
                <w:sz w:val="18"/>
                <w:szCs w:val="18"/>
                <w:color w:val="auto"/>
              </w:rPr>
              <w:t>Operating income % of revenue</w:t>
            </w:r>
          </w:p>
        </w:tc>
        <w:tc>
          <w:tcPr>
            <w:tcW w:w="8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9.8%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Interest on loans</w:t>
            </w:r>
          </w:p>
        </w:tc>
        <w:tc>
          <w:tcPr>
            <w:tcW w:w="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tcPr>
          <w:p>
            <w:pPr>
              <w:spacing w:after="0"/>
              <w:rPr>
                <w:sz w:val="19"/>
                <w:szCs w:val="19"/>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-979170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-979170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-979170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-979170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-979170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-979170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-979170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-979170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-979170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-678815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-678815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-678815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-678815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-678815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-678815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-678815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-678815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-678815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-378460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-378460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-378460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-378460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-378460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-378460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-378460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-378460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-378460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40" w:hanging="452"/>
        <w:spacing w:after="0" w:line="28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Income for the third quarter of 2003 includes, in millions of dollars, a charge of $56 for restructuring actions initiated in the second quarter of 2003, of which $48 is associated with achieving manufacturing efficiencies in the Semiconductor business and $8 is associated with moving certain production lines in the Sensors &amp; Controls business from Attleboro to other TI sites. The $56 restructuring charge is primarily for severance cost. Of the $56, $48 is included in cost of revenue, $7 is in selling, general and administrative expense, and $1 is in research and development expense. Income for the third quarter of 2003 also includes an investment gain of $106, included in other income, from the sale of 24.7 million shares of Micron Technology, Inc. common stock, and a charge of $23 for purchased in-process R&amp;D costs, included in research and development expense, from the Radia Communications, Inc. acquisition. Income for the second quarter of 2003 includes, in millions of dollars, a charge of $49, of which $26 is for the initial phase of restructuring associated with moving certain production lines in the Sensors &amp; Controls business from Attleboro to other TI sites, and $23 is for the initial phase of restructuring to achieve manufacturing efficiencies in the Semiconductor business. The $49 restructuring charge is primarily for severance cost. Of the $49, $43 is included in cost of revenue and $6 is in selling, general and administrative expense. Income includes, in millions of dollars, acquisition-related amortization of $26, $25 and $30 for the third and second quarters of 2003 and the third quarter of 2002.</w:t>
      </w:r>
    </w:p>
    <w:p>
      <w:pPr>
        <w:sectPr>
          <w:pgSz w:w="11900" w:h="16838" w:orient="portrait"/>
          <w:cols w:equalWidth="0" w:num="1">
            <w:col w:w="11420"/>
          </w:cols>
          <w:pgMar w:left="240" w:top="280" w:right="239" w:bottom="1440" w:gutter="0" w:footer="0" w:header="0"/>
        </w:sectPr>
      </w:pPr>
    </w:p>
    <w:bookmarkStart w:id="11" w:name="page12"/>
    <w:bookmarkEnd w:id="11"/>
    <w:p>
      <w:pPr>
        <w:ind w:left="452" w:hanging="452"/>
        <w:spacing w:after="0" w:line="268"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Diluted earnings per common share are based on average common and dilutive potential common shares outstanding (1766.8 million shares, 1762.6 million shares and 1761.8 million shares for the third and second quarters of 2003 and the third quarter of 2002).</w:t>
      </w:r>
    </w:p>
    <w:p>
      <w:pPr>
        <w:sectPr>
          <w:pgSz w:w="11900" w:h="16838" w:orient="portrait"/>
          <w:cols w:equalWidth="0" w:num="1">
            <w:col w:w="11412"/>
          </w:cols>
          <w:pgMar w:left="248"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 30</w:t>
            </w:r>
          </w:p>
        </w:tc>
        <w:tc>
          <w:tcPr>
            <w:tcW w:w="11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1"/>
              </w:rPr>
              <w:t>June 30</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5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2003</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2360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2075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 of allowances for customer adjustments and doubtful accounts of $62 million at</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September 30, 2003, $63 million at June 30, 2003, and $60 million at December 31, 2002</w:t>
            </w:r>
          </w:p>
        </w:tc>
        <w:tc>
          <w:tcPr>
            <w:tcW w:w="110" w:type="dxa"/>
            <w:vAlign w:val="bottom"/>
            <w:shd w:val="clear" w:color="auto" w:fill="CCEEFF"/>
          </w:tcPr>
          <w:p>
            <w:pPr>
              <w:spacing w:after="0"/>
              <w:rPr>
                <w:sz w:val="19"/>
                <w:szCs w:val="19"/>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Raw materials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Work in process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625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Finished goods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10" w:type="dxa"/>
            <w:vAlign w:val="bottom"/>
          </w:tcPr>
          <w:p>
            <w:pPr>
              <w:spacing w:after="0"/>
              <w:rPr>
                <w:sz w:val="19"/>
                <w:szCs w:val="19"/>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398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110" w:type="dxa"/>
            <w:vAlign w:val="bottom"/>
          </w:tcPr>
          <w:p>
            <w:pPr>
              <w:spacing w:after="0"/>
              <w:rPr>
                <w:sz w:val="19"/>
                <w:szCs w:val="19"/>
                <w:color w:val="auto"/>
              </w:rPr>
            </w:pPr>
          </w:p>
        </w:tc>
        <w:tc>
          <w:tcPr>
            <w:tcW w:w="99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(5202)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(4986)</w:t>
            </w: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(4722)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(net)</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Equity investments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684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184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assets</w:t>
            </w:r>
          </w:p>
        </w:tc>
        <w:tc>
          <w:tcPr>
            <w:tcW w:w="110" w:type="dxa"/>
            <w:vAlign w:val="bottom"/>
          </w:tcPr>
          <w:p>
            <w:pPr>
              <w:spacing w:after="0"/>
              <w:rPr>
                <w:sz w:val="19"/>
                <w:szCs w:val="19"/>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633</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Pr>
          <w:p>
            <w:pPr>
              <w:spacing w:after="0"/>
              <w:rPr>
                <w:sz w:val="9"/>
                <w:szCs w:val="9"/>
                <w:color w:val="auto"/>
              </w:rPr>
            </w:pPr>
          </w:p>
        </w:tc>
        <w:tc>
          <w:tcPr>
            <w:tcW w:w="45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payable and current portion long-term debt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1436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1295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Accrued retirement and profit sharing contributions</w:t>
            </w:r>
          </w:p>
        </w:tc>
        <w:tc>
          <w:tcPr>
            <w:tcW w:w="110" w:type="dxa"/>
            <w:vAlign w:val="bottom"/>
          </w:tcPr>
          <w:p>
            <w:pPr>
              <w:spacing w:after="0"/>
              <w:rPr>
                <w:sz w:val="19"/>
                <w:szCs w:val="19"/>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647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353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w w:val="99"/>
              </w:rPr>
              <w:t>Preferred stock, $25 par value. Authorized - 10,000,000 shares. Participating cumulative preferred. None</w:t>
            </w:r>
          </w:p>
        </w:tc>
        <w:tc>
          <w:tcPr>
            <w:tcW w:w="1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issued.</w:t>
            </w:r>
          </w:p>
        </w:tc>
        <w:tc>
          <w:tcPr>
            <w:tcW w:w="110" w:type="dxa"/>
            <w:vAlign w:val="bottom"/>
          </w:tcPr>
          <w:p>
            <w:pPr>
              <w:spacing w:after="0"/>
              <w:rPr>
                <w:sz w:val="19"/>
                <w:szCs w:val="19"/>
                <w:color w:val="auto"/>
              </w:rPr>
            </w:pPr>
          </w:p>
        </w:tc>
        <w:tc>
          <w:tcPr>
            <w:tcW w:w="1010" w:type="dxa"/>
            <w:vAlign w:val="bottom"/>
            <w:gridSpan w:val="3"/>
          </w:tcPr>
          <w:p>
            <w:pPr>
              <w:ind w:lef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$1 par value. Authorized - 2,400,000,000 shares. Shares issued: September 30, 2003 –</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1,740,470,215; June 30, 2003 – 1,740,470,215; December 31, 2002 – 1,740,364,197</w:t>
            </w:r>
          </w:p>
        </w:tc>
        <w:tc>
          <w:tcPr>
            <w:tcW w:w="110" w:type="dxa"/>
            <w:vAlign w:val="bottom"/>
            <w:shd w:val="clear" w:color="auto" w:fill="CCEEFF"/>
          </w:tcPr>
          <w:p>
            <w:pPr>
              <w:spacing w:after="0"/>
              <w:rPr>
                <w:sz w:val="19"/>
                <w:szCs w:val="19"/>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953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Less treasury common stock at cost:</w:t>
            </w:r>
          </w:p>
        </w:tc>
        <w:tc>
          <w:tcPr>
            <w:tcW w:w="1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Shares: September 30, 2003 – 9,844,861; June 30, 2003 – 9,218,747; December 31, 2002 – 9,775,781</w:t>
            </w: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10" w:type="dxa"/>
            <w:vAlign w:val="bottom"/>
          </w:tcPr>
          <w:p>
            <w:pPr>
              <w:spacing w:after="0"/>
              <w:rPr>
                <w:sz w:val="18"/>
                <w:szCs w:val="18"/>
                <w:color w:val="auto"/>
              </w:rPr>
            </w:pPr>
          </w:p>
        </w:tc>
        <w:tc>
          <w:tcPr>
            <w:tcW w:w="990" w:type="dxa"/>
            <w:vAlign w:val="bottom"/>
            <w:gridSpan w:val="2"/>
          </w:tcPr>
          <w:p>
            <w:pPr>
              <w:jc w:val="right"/>
              <w:ind w:right="48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11428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10942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-4068445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-4068445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-4068445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-4068445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-4068445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-4068445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-4068445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-4068445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-4068445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For Three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520" w:type="dxa"/>
            <w:vAlign w:val="bottom"/>
          </w:tcPr>
          <w:p>
            <w:pPr>
              <w:spacing w:after="0"/>
              <w:rPr>
                <w:sz w:val="20"/>
                <w:szCs w:val="20"/>
                <w:color w:val="auto"/>
              </w:rPr>
            </w:pPr>
          </w:p>
        </w:tc>
        <w:tc>
          <w:tcPr>
            <w:tcW w:w="10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4"/>
              </w:rPr>
              <w:t>June 30</w:t>
            </w:r>
          </w:p>
        </w:tc>
        <w:tc>
          <w:tcPr>
            <w:tcW w:w="80" w:type="dxa"/>
            <w:vAlign w:val="bottom"/>
          </w:tcPr>
          <w:p>
            <w:pPr>
              <w:spacing w:after="0"/>
              <w:rPr>
                <w:sz w:val="20"/>
                <w:szCs w:val="20"/>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2003</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56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Amortization of acquisition-related costs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Purchased in-process research and development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Write-downs of equity investments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Gains on sale of equity investments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(Increase) decrease in working capital (excluding cash and cash equivalents, short-term investments, deferred</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and loans payable and current portion long-term debt):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retirement and profit sharing contributions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Increase (decrease) in noncurrent accrued retirement costs</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323"/>
        </w:trPr>
        <w:tc>
          <w:tcPr>
            <w:tcW w:w="8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(879)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Purchases of long-term cash investments</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(311)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long-term cash investments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Purchases of equity investments</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equity investments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Acquisition of business, net of cash acquired</w:t>
            </w: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(466)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3"/>
        </w:trPr>
        <w:tc>
          <w:tcPr>
            <w:tcW w:w="86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loans payable</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Payments on long-term debt</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on common stock</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Sales and other common stock transactions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 program</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1019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1089</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1019</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3302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020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Net Revenue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For Three Months Ended</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Sept. 30</w:t>
            </w:r>
          </w:p>
        </w:tc>
        <w:tc>
          <w:tcPr>
            <w:tcW w:w="500" w:type="dxa"/>
            <w:vAlign w:val="bottom"/>
          </w:tcPr>
          <w:p>
            <w:pPr>
              <w:spacing w:after="0"/>
              <w:rPr>
                <w:sz w:val="20"/>
                <w:szCs w:val="20"/>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June 30</w:t>
            </w:r>
          </w:p>
        </w:tc>
        <w:tc>
          <w:tcPr>
            <w:tcW w:w="4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3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1000" w:type="dxa"/>
            <w:vAlign w:val="bottom"/>
            <w:gridSpan w:val="2"/>
          </w:tcPr>
          <w:p>
            <w:pPr>
              <w:jc w:val="center"/>
              <w:ind w:left="416"/>
              <w:spacing w:after="0"/>
              <w:rPr>
                <w:sz w:val="20"/>
                <w:szCs w:val="20"/>
                <w:color w:val="auto"/>
              </w:rPr>
            </w:pPr>
            <w:r>
              <w:rPr>
                <w:rFonts w:ascii="Arial" w:cs="Arial" w:eastAsia="Arial" w:hAnsi="Arial"/>
                <w:sz w:val="14"/>
                <w:szCs w:val="14"/>
                <w:b w:val="1"/>
                <w:bCs w:val="1"/>
                <w:color w:val="auto"/>
                <w:w w:val="83"/>
              </w:rPr>
              <w:t>2003</w:t>
            </w:r>
          </w:p>
        </w:tc>
        <w:tc>
          <w:tcPr>
            <w:tcW w:w="540" w:type="dxa"/>
            <w:vAlign w:val="bottom"/>
          </w:tcPr>
          <w:p>
            <w:pPr>
              <w:spacing w:after="0"/>
              <w:rPr>
                <w:sz w:val="15"/>
                <w:szCs w:val="15"/>
                <w:color w:val="auto"/>
              </w:rPr>
            </w:pPr>
          </w:p>
        </w:tc>
        <w:tc>
          <w:tcPr>
            <w:tcW w:w="5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Trade</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$ 2115</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$ 1922</w:t>
            </w:r>
          </w:p>
        </w:tc>
        <w:tc>
          <w:tcPr>
            <w:tcW w:w="5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$ 1830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Intersegment</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Trade</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5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Intersegment</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Trade</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5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2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$ 2533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$ 2339</w:t>
            </w:r>
          </w:p>
        </w:tc>
        <w:tc>
          <w:tcPr>
            <w:tcW w:w="5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-29210</wp:posOffset>
            </wp:positionV>
            <wp:extent cx="34734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4750435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-29210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-29210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5436870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5522595</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5745480</wp:posOffset>
            </wp:positionH>
            <wp:positionV relativeFrom="paragraph">
              <wp:posOffset>-29210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9140"/>
          </w:cols>
          <w:pgMar w:left="1380" w:top="280" w:right="1379" w:bottom="1440" w:gutter="0" w:footer="0" w:header="0"/>
        </w:sectPr>
      </w:pPr>
    </w:p>
    <w:bookmarkStart w:id="15" w:name="page16"/>
    <w:bookmarkEnd w:id="15"/>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Profit</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For Three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 30</w:t>
            </w:r>
          </w:p>
        </w:tc>
        <w:tc>
          <w:tcPr>
            <w:tcW w:w="540" w:type="dxa"/>
            <w:vAlign w:val="bottom"/>
          </w:tcPr>
          <w:p>
            <w:pPr>
              <w:spacing w:after="0"/>
              <w:rPr>
                <w:sz w:val="20"/>
                <w:szCs w:val="20"/>
                <w:color w:val="auto"/>
              </w:rPr>
            </w:pPr>
          </w:p>
        </w:tc>
        <w:tc>
          <w:tcPr>
            <w:tcW w:w="10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4"/>
              </w:rPr>
              <w:t>June 30</w:t>
            </w:r>
          </w:p>
        </w:tc>
        <w:tc>
          <w:tcPr>
            <w:tcW w:w="80" w:type="dxa"/>
            <w:vAlign w:val="bottom"/>
          </w:tcPr>
          <w:p>
            <w:pPr>
              <w:spacing w:after="0"/>
              <w:rPr>
                <w:sz w:val="20"/>
                <w:szCs w:val="20"/>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Sensors &amp; Controls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Corporate activities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Interest on loans/other income (expense) net, excluding a third-quarter 2003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gain of $106 included above in Charges/gains and acquisition-related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w:t>
      </w:r>
    </w:p>
    <w:p>
      <w:pPr>
        <w:spacing w:after="0" w:line="8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Semiconductor revenue in the third quarter was $2118 million, up 10 percent sequentially and 16 percent from the year-ago quarter.</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Gross profit for the third quarter was $899 million, up from $743 million in the prior period and $668 million in the year-ago quarter due to higher revenue</w:t>
      </w:r>
      <w:r>
        <w:rPr>
          <w:rFonts w:ascii="Arial" w:cs="Arial" w:eastAsia="Arial" w:hAnsi="Arial"/>
          <w:sz w:val="16"/>
          <w:szCs w:val="16"/>
          <w:i w:val="1"/>
          <w:iCs w:val="1"/>
          <w:color w:val="auto"/>
        </w:rPr>
        <w:t>.</w:t>
      </w:r>
    </w:p>
    <w:p>
      <w:pPr>
        <w:spacing w:after="0" w:line="99" w:lineRule="exact"/>
        <w:rPr>
          <w:rFonts w:ascii="Arial" w:cs="Arial" w:eastAsia="Arial" w:hAnsi="Arial"/>
          <w:sz w:val="16"/>
          <w:szCs w:val="16"/>
          <w:color w:val="auto"/>
        </w:rPr>
      </w:pPr>
    </w:p>
    <w:p>
      <w:pPr>
        <w:ind w:left="340" w:right="160" w:hanging="332"/>
        <w:spacing w:after="0" w:line="26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margin of 42.4 percent in the quarter was up 3.8 percentage points sequentially and 5.9 percentage points from the year-ago quarter primarily due to higher factory utilization levels.</w:t>
      </w:r>
    </w:p>
    <w:p>
      <w:pPr>
        <w:spacing w:after="0" w:line="37" w:lineRule="exact"/>
        <w:rPr>
          <w:rFonts w:ascii="Arial" w:cs="Arial" w:eastAsia="Arial" w:hAnsi="Arial"/>
          <w:sz w:val="18"/>
          <w:szCs w:val="18"/>
          <w:color w:val="auto"/>
        </w:rPr>
      </w:pPr>
    </w:p>
    <w:p>
      <w:pPr>
        <w:ind w:left="340" w:right="240" w:hanging="332"/>
        <w:spacing w:after="0" w:line="26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Semiconductor operating profit for the third quarter increased to $264 million, or 12.5 percent of revenue, from $126 million in the prior quarter and $67 million in the year-ago quarter due to higher gross profit.</w:t>
      </w:r>
    </w:p>
    <w:p>
      <w:pPr>
        <w:spacing w:after="0" w:line="37"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Analog revenue increased 7 percent sequentially and 6 percent from the year-ago quarter primarily due to higher shipments of high-performance analog products, as well as higher shipments to the storage and broadband markets. During the first three quarters of 2003, about 40 percent of total Semiconductor revenue came from Analog.</w:t>
      </w:r>
    </w:p>
    <w:p>
      <w:pPr>
        <w:sectPr>
          <w:pgSz w:w="11900" w:h="16838" w:orient="portrait"/>
          <w:cols w:equalWidth="0" w:num="1">
            <w:col w:w="11320"/>
          </w:cols>
          <w:pgMar w:left="240" w:top="280" w:right="339" w:bottom="1440" w:gutter="0" w:footer="0" w:header="0"/>
        </w:sectPr>
      </w:pPr>
    </w:p>
    <w:bookmarkStart w:id="16" w:name="page17"/>
    <w:bookmarkEnd w:id="16"/>
    <w:p>
      <w:pPr>
        <w:ind w:left="332" w:right="520" w:hanging="332"/>
        <w:spacing w:after="0" w:line="325" w:lineRule="auto"/>
        <w:tabs>
          <w:tab w:leader="none" w:pos="332"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DSP revenue increased 22 percent sequentially and 37 percent from the year-ago quarter due to higher shipments to the wireless and digital consumer electronics markets. During the first three quarters of 2003, about 35 percent of total Semiconductor revenue came from DSP.</w:t>
      </w:r>
    </w:p>
    <w:p>
      <w:pPr>
        <w:spacing w:after="0" w:line="1" w:lineRule="exact"/>
        <w:rPr>
          <w:rFonts w:ascii="Arial" w:cs="Arial" w:eastAsia="Arial" w:hAnsi="Arial"/>
          <w:sz w:val="16"/>
          <w:szCs w:val="16"/>
          <w:color w:val="auto"/>
        </w:rPr>
      </w:pPr>
    </w:p>
    <w:p>
      <w:pPr>
        <w:ind w:left="332" w:right="440" w:hanging="332"/>
        <w:spacing w:after="0" w:line="268" w:lineRule="auto"/>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remaining Semiconductor revenue was about even sequentially. Compared with the year-ago quarter, revenue increased 8 percent as gains in DLP, royalties and standard logic more than offset declines in microcontrollers and RISC microprocessors.</w:t>
      </w:r>
    </w:p>
    <w:p>
      <w:pPr>
        <w:spacing w:after="0" w:line="37" w:lineRule="exact"/>
        <w:rPr>
          <w:rFonts w:ascii="Arial" w:cs="Arial" w:eastAsia="Arial" w:hAnsi="Arial"/>
          <w:sz w:val="18"/>
          <w:szCs w:val="18"/>
          <w:color w:val="auto"/>
        </w:rPr>
      </w:pPr>
    </w:p>
    <w:p>
      <w:pPr>
        <w:ind w:left="332" w:hanging="332"/>
        <w:spacing w:after="0"/>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Semiconductor revenue in key markets was as follows:</w:t>
      </w:r>
    </w:p>
    <w:p>
      <w:pPr>
        <w:spacing w:after="0" w:line="76" w:lineRule="exact"/>
        <w:rPr>
          <w:rFonts w:ascii="Arial" w:cs="Arial" w:eastAsia="Arial" w:hAnsi="Arial"/>
          <w:sz w:val="18"/>
          <w:szCs w:val="18"/>
          <w:color w:val="auto"/>
        </w:rPr>
      </w:pPr>
    </w:p>
    <w:p>
      <w:pPr>
        <w:ind w:left="792" w:right="300" w:hanging="346"/>
        <w:spacing w:after="0" w:line="325" w:lineRule="auto"/>
        <w:tabs>
          <w:tab w:leader="none" w:pos="792" w:val="left"/>
        </w:tabs>
        <w:numPr>
          <w:ilvl w:val="1"/>
          <w:numId w:val="8"/>
        </w:numPr>
        <w:rPr>
          <w:rFonts w:ascii="Arial" w:cs="Arial" w:eastAsia="Arial" w:hAnsi="Arial"/>
          <w:sz w:val="16"/>
          <w:szCs w:val="16"/>
          <w:color w:val="auto"/>
        </w:rPr>
      </w:pPr>
      <w:r>
        <w:rPr>
          <w:rFonts w:ascii="Arial" w:cs="Arial" w:eastAsia="Arial" w:hAnsi="Arial"/>
          <w:sz w:val="16"/>
          <w:szCs w:val="16"/>
          <w:color w:val="auto"/>
        </w:rPr>
        <w:t>Wireless revenue increased 22 percent sequentially and 30 percent from the year-ago quarter due to higher shipments of 2.5G modems and OMAP applications processors. During the first three quarters of 2003, about 30 percent of total Semiconductor revenue came from wireless.</w:t>
      </w:r>
    </w:p>
    <w:p>
      <w:pPr>
        <w:spacing w:after="0" w:line="1" w:lineRule="exact"/>
        <w:rPr>
          <w:rFonts w:ascii="Arial" w:cs="Arial" w:eastAsia="Arial" w:hAnsi="Arial"/>
          <w:sz w:val="16"/>
          <w:szCs w:val="16"/>
          <w:color w:val="auto"/>
        </w:rPr>
      </w:pPr>
    </w:p>
    <w:p>
      <w:pPr>
        <w:ind w:left="792" w:hanging="346"/>
        <w:spacing w:after="0" w:line="259" w:lineRule="auto"/>
        <w:tabs>
          <w:tab w:leader="none" w:pos="792" w:val="left"/>
        </w:tabs>
        <w:numPr>
          <w:ilvl w:val="1"/>
          <w:numId w:val="8"/>
        </w:numPr>
        <w:rPr>
          <w:rFonts w:ascii="Arial" w:cs="Arial" w:eastAsia="Arial" w:hAnsi="Arial"/>
          <w:sz w:val="18"/>
          <w:szCs w:val="18"/>
          <w:color w:val="auto"/>
        </w:rPr>
      </w:pPr>
      <w:r>
        <w:rPr>
          <w:rFonts w:ascii="Arial" w:cs="Arial" w:eastAsia="Arial" w:hAnsi="Arial"/>
          <w:sz w:val="18"/>
          <w:szCs w:val="18"/>
          <w:color w:val="auto"/>
        </w:rPr>
        <w:t>Revenue from TI’s catalog products, composed of high-performance analog and catalog DSP, increased 9 percent sequentially and 17 percent from the year-ago quarter due to higher shipments of high-performance analog products. During the first three quarters of 2003, about 15 percent of total Semiconductor revenue came from catalog products.</w:t>
      </w:r>
    </w:p>
    <w:p>
      <w:pPr>
        <w:sectPr>
          <w:pgSz w:w="11900" w:h="16838" w:orient="portrait"/>
          <w:cols w:equalWidth="0" w:num="1">
            <w:col w:w="11372"/>
          </w:cols>
          <w:pgMar w:left="248" w:top="280" w:right="279" w:bottom="1440" w:gutter="0" w:footer="0" w:header="0"/>
        </w:sectPr>
      </w:pPr>
    </w:p>
    <w:bookmarkStart w:id="17" w:name="page18"/>
    <w:bookmarkEnd w:id="17"/>
    <w:p>
      <w:pPr>
        <w:ind w:left="800" w:right="80" w:hanging="346"/>
        <w:spacing w:after="0" w:line="306" w:lineRule="auto"/>
        <w:tabs>
          <w:tab w:leader="none" w:pos="800" w:val="left"/>
        </w:tabs>
        <w:numPr>
          <w:ilvl w:val="1"/>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Broadband communications revenue, which includes DSL and cable modems, voice over packet (VoP) and wireless LANs, increased 11 percent sequentially due to higher wireless LAN shipments and 74 percent from the year-ago quarter due to higher wireless LAN and DSL shipments. During the first three quarters of 2003, about 5 percent of total Semiconductor revenue came from broadband communications.</w:t>
      </w:r>
    </w:p>
    <w:p>
      <w:pPr>
        <w:spacing w:after="0" w:line="12" w:lineRule="exact"/>
        <w:rPr>
          <w:rFonts w:ascii="Arial" w:cs="Arial" w:eastAsia="Arial" w:hAnsi="Arial"/>
          <w:sz w:val="16"/>
          <w:szCs w:val="16"/>
          <w:color w:val="auto"/>
        </w:rPr>
      </w:pPr>
    </w:p>
    <w:p>
      <w:pPr>
        <w:ind w:left="340" w:hanging="332"/>
        <w:spacing w:after="0" w:line="26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Semiconductor orders were $2295 million, up 21 percent sequentially and 29 percent from the year-ago quarter due to higher demand for the company’s DSP and Analog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3Q Highlights</w:t>
      </w:r>
    </w:p>
    <w:p>
      <w:pPr>
        <w:spacing w:after="0" w:line="8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Handspring, Inc. selected TI’s OMAP310 processors to power Handspring’s new Treo 600 smartphone.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OMAP applications processors and GSM/GPRS chipset technology were selected for BenQ Corp.’s first smartphone.</w:t>
      </w:r>
    </w:p>
    <w:p>
      <w:pPr>
        <w:spacing w:after="0" w:line="76" w:lineRule="exact"/>
        <w:rPr>
          <w:rFonts w:ascii="Arial" w:cs="Arial" w:eastAsia="Arial" w:hAnsi="Arial"/>
          <w:sz w:val="18"/>
          <w:szCs w:val="18"/>
          <w:color w:val="auto"/>
        </w:rPr>
      </w:pPr>
    </w:p>
    <w:p>
      <w:pPr>
        <w:ind w:left="340" w:right="18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LG Electronics selected TI’s Class-D audio power amplifiers for four new CDMA phones, enabling longer talk-times and higher output power for gaming, polyphonic ringers and speaker phone applications. The new LG cell phones also use TI DSPs.</w:t>
      </w:r>
    </w:p>
    <w:p>
      <w:pPr>
        <w:spacing w:after="0" w:line="37" w:lineRule="exact"/>
        <w:rPr>
          <w:rFonts w:ascii="Arial" w:cs="Arial" w:eastAsia="Arial" w:hAnsi="Arial"/>
          <w:sz w:val="18"/>
          <w:szCs w:val="18"/>
          <w:color w:val="auto"/>
        </w:rPr>
      </w:pPr>
    </w:p>
    <w:p>
      <w:pPr>
        <w:ind w:left="340" w:right="14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Multiple manufacturers have selected TI’s AR7 ADSL router-on-a-chip, including more than eight original design manufacturers in Asia as well as Westell Technologies.</w:t>
      </w:r>
    </w:p>
    <w:p>
      <w:pPr>
        <w:spacing w:after="0" w:line="37" w:lineRule="exact"/>
        <w:rPr>
          <w:rFonts w:ascii="Arial" w:cs="Arial" w:eastAsia="Arial" w:hAnsi="Arial"/>
          <w:sz w:val="18"/>
          <w:szCs w:val="18"/>
          <w:color w:val="auto"/>
        </w:rPr>
      </w:pPr>
    </w:p>
    <w:p>
      <w:pPr>
        <w:ind w:left="340" w:right="140" w:hanging="332"/>
        <w:spacing w:after="0" w:line="29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 introduced a new low power, compact 802.11a/b/g solution designed for mobile, battery-powered devices such as cell phones and PDAs. The solution is designed into several cell phones and PDAs, including Motorola’s Wi-Fi</w:t>
      </w:r>
      <w:r>
        <w:rPr>
          <w:rFonts w:ascii="Arial" w:cs="Arial" w:eastAsia="Arial" w:hAnsi="Arial"/>
          <w:sz w:val="22"/>
          <w:szCs w:val="22"/>
          <w:color w:val="auto"/>
          <w:vertAlign w:val="superscript"/>
        </w:rPr>
        <w:t>®</w:t>
      </w:r>
      <w:r>
        <w:rPr>
          <w:rFonts w:ascii="Arial" w:cs="Arial" w:eastAsia="Arial" w:hAnsi="Arial"/>
          <w:sz w:val="18"/>
          <w:szCs w:val="18"/>
          <w:color w:val="auto"/>
        </w:rPr>
        <w:t>/cellular dual-system phone.</w:t>
      </w:r>
    </w:p>
    <w:p>
      <w:pPr>
        <w:sectPr>
          <w:pgSz w:w="11900" w:h="16838" w:orient="portrait"/>
          <w:cols w:equalWidth="0" w:num="1">
            <w:col w:w="11400"/>
          </w:cols>
          <w:pgMar w:left="240" w:top="280" w:right="259" w:bottom="1440" w:gutter="0" w:footer="0" w:header="0"/>
        </w:sectPr>
      </w:pPr>
    </w:p>
    <w:bookmarkStart w:id="18" w:name="page19"/>
    <w:bookmarkEnd w:id="18"/>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announced a new 802.11-enabled ADSL router platform that enables consumers to achieve download speeds up to 24Mbps.</w:t>
      </w:r>
    </w:p>
    <w:p>
      <w:pPr>
        <w:spacing w:after="0" w:line="76" w:lineRule="exact"/>
        <w:rPr>
          <w:rFonts w:ascii="Arial" w:cs="Arial" w:eastAsia="Arial" w:hAnsi="Arial"/>
          <w:sz w:val="18"/>
          <w:szCs w:val="18"/>
          <w:color w:val="auto"/>
        </w:rPr>
      </w:pPr>
    </w:p>
    <w:p>
      <w:pPr>
        <w:ind w:left="340" w:right="32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 announced that half of the industry’s top 10 digital consumer point-and-shoot camera manufacturers are currently using TI’s DSP-based digital media platform.</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Panasonic selected TI’s new digital audio amplifiers for home theater products.</w:t>
      </w:r>
    </w:p>
    <w:p>
      <w:pPr>
        <w:spacing w:after="0" w:line="76" w:lineRule="exact"/>
        <w:rPr>
          <w:rFonts w:ascii="Arial" w:cs="Arial" w:eastAsia="Arial" w:hAnsi="Arial"/>
          <w:sz w:val="18"/>
          <w:szCs w:val="18"/>
          <w:color w:val="auto"/>
        </w:rPr>
      </w:pPr>
    </w:p>
    <w:p>
      <w:pPr>
        <w:ind w:left="340" w:right="16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 introduced a new high-performance analog battery charging and power conversion chip that leverages TI’s advanced analog manufacturing processes to deliver 97 percent power conversion efficiency while occupying up to 3x less board space.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Sensors &amp; Controls</w:t>
      </w:r>
    </w:p>
    <w:p>
      <w:pPr>
        <w:spacing w:after="0" w:line="83" w:lineRule="exact"/>
        <w:rPr>
          <w:sz w:val="20"/>
          <w:szCs w:val="20"/>
          <w:color w:val="auto"/>
        </w:rPr>
      </w:pPr>
    </w:p>
    <w:p>
      <w:pPr>
        <w:ind w:left="340" w:right="8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Sensors &amp; Controls revenue was $243 million in the third quarter, down 7 percent sequentially due to seasonally weaker shipments of control products used in air conditioning systems. Compared with the year-ago quarter, revenue was up 2 percent.</w:t>
      </w:r>
    </w:p>
    <w:p>
      <w:pPr>
        <w:spacing w:after="0" w:line="37" w:lineRule="exact"/>
        <w:rPr>
          <w:rFonts w:ascii="Arial" w:cs="Arial" w:eastAsia="Arial" w:hAnsi="Arial"/>
          <w:sz w:val="18"/>
          <w:szCs w:val="18"/>
          <w:color w:val="auto"/>
        </w:rPr>
      </w:pPr>
    </w:p>
    <w:p>
      <w:pPr>
        <w:ind w:left="340" w:right="14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was $90 million, or 37.0 percent of revenue, down from $98 million in the prior quarter due to lower revenue. Gross profit increased from $82 million in the year-ago quarter due to manufacturing cost reductions.</w:t>
      </w:r>
    </w:p>
    <w:p>
      <w:pPr>
        <w:spacing w:after="0" w:line="37"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profit was $58 million, or 24.0 percent of revenue, down from $68 million in the prior quarter due to lower gross profit. Operating profit increased from $52 million in the year-ago quarter due to higher gross profit.</w:t>
      </w:r>
    </w:p>
    <w:p>
      <w:pPr>
        <w:sectPr>
          <w:pgSz w:w="11900" w:h="16838" w:orient="portrait"/>
          <w:cols w:equalWidth="0" w:num="1">
            <w:col w:w="11380"/>
          </w:cols>
          <w:pgMar w:left="240" w:top="28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Educational &amp; Productivity Solutions (E&amp;PS)</w:t>
      </w:r>
    </w:p>
    <w:p>
      <w:pPr>
        <w:spacing w:after="0" w:line="83" w:lineRule="exact"/>
        <w:rPr>
          <w:sz w:val="20"/>
          <w:szCs w:val="20"/>
          <w:color w:val="auto"/>
        </w:rPr>
      </w:pPr>
    </w:p>
    <w:p>
      <w:pPr>
        <w:ind w:left="340" w:right="26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E&amp;PS revenue was $177 million in the third quarter, up 13 percent sequentially due to higher seasonal back-to-school shipments of graphing calculators. Compared with the year-ago period, revenue decreased 2 percent.</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Gross profit was $103 million, or 58.1 percent of revenue, up 15 percent sequentially due to higher revenue and about even with the year-ago quarter.</w:t>
      </w:r>
    </w:p>
    <w:p>
      <w:pPr>
        <w:spacing w:after="0" w:line="99" w:lineRule="exact"/>
        <w:rPr>
          <w:rFonts w:ascii="Arial" w:cs="Arial" w:eastAsia="Arial" w:hAnsi="Arial"/>
          <w:sz w:val="16"/>
          <w:szCs w:val="16"/>
          <w:color w:val="auto"/>
        </w:rPr>
      </w:pPr>
    </w:p>
    <w:p>
      <w:pPr>
        <w:ind w:left="340" w:right="28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profit was $73 million, a record 41.2 percent of revenue, up from $58 million in the previous quarter due to higher gross profit and about even with the year-ago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8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was $356 million in the third quarter, even with the prior quarter and down from $390 million in the year-ago quarter.</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end of the third quarter, the debt-to-total-capital ratio was 0.07, unchanged from the end of the prior quarter.</w:t>
      </w:r>
    </w:p>
    <w:p>
      <w:pPr>
        <w:spacing w:after="0" w:line="157" w:lineRule="exact"/>
        <w:rPr>
          <w:rFonts w:ascii="Arial" w:cs="Arial" w:eastAsia="Arial" w:hAnsi="Arial"/>
          <w:sz w:val="18"/>
          <w:szCs w:val="18"/>
          <w:color w:val="auto"/>
        </w:rPr>
      </w:pPr>
    </w:p>
    <w:p>
      <w:pPr>
        <w:ind w:left="5680" w:hanging="142"/>
        <w:spacing w:after="0"/>
        <w:tabs>
          <w:tab w:leader="none" w:pos="5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ectPr>
          <w:pgSz w:w="11900" w:h="16838" w:orient="portrait"/>
          <w:cols w:equalWidth="0" w:num="1">
            <w:col w:w="11360"/>
          </w:cols>
          <w:pgMar w:left="240" w:top="274" w:right="299" w:bottom="1440" w:gutter="0" w:footer="0" w:header="0"/>
        </w:sectPr>
      </w:pPr>
    </w:p>
    <w:bookmarkStart w:id="20" w:name="page21"/>
    <w:bookmarkEnd w:id="20"/>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digital signal processors and analog chips in key markets, such as telecommunications and computers;</w:t>
      </w:r>
    </w:p>
    <w:p>
      <w:pPr>
        <w:spacing w:after="0" w:line="99" w:lineRule="exact"/>
        <w:rPr>
          <w:rFonts w:ascii="Arial" w:cs="Arial" w:eastAsia="Arial" w:hAnsi="Arial"/>
          <w:sz w:val="16"/>
          <w:szCs w:val="16"/>
          <w:color w:val="auto"/>
        </w:rPr>
      </w:pPr>
    </w:p>
    <w:p>
      <w:pPr>
        <w:ind w:left="340" w:right="220" w:hanging="332"/>
        <w:spacing w:after="0" w:line="26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76" w:lineRule="exact"/>
        <w:rPr>
          <w:rFonts w:ascii="Arial" w:cs="Arial" w:eastAsia="Arial" w:hAnsi="Arial"/>
          <w:sz w:val="18"/>
          <w:szCs w:val="18"/>
          <w:color w:val="auto"/>
        </w:rPr>
      </w:pPr>
    </w:p>
    <w:p>
      <w:pPr>
        <w:ind w:left="340" w:right="60" w:hanging="332"/>
        <w:spacing w:after="0" w:line="26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w:t>
      </w:r>
    </w:p>
    <w:p>
      <w:pPr>
        <w:spacing w:after="0" w:line="15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Trademarks: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Digital Light Processing</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DLP</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lvl w:ilvl="1">
      <w:lvlJc w:val="left"/>
      <w:lvlText w:val="•"/>
      <w:numFmt w:val="bullet"/>
      <w:start w:val="1"/>
    </w:lvl>
  </w:abstractNum>
  <w:abstractNum w:abstractNumId="8">
    <w:nsid w:val="66EF438D"/>
    <w:multiLevelType w:val="hybridMultilevel"/>
    <w:lvl w:ilvl="0">
      <w:lvlJc w:val="left"/>
      <w:lvlText w:val="•"/>
      <w:numFmt w:val="bullet"/>
      <w:start w:val="1"/>
    </w:lvl>
    <w:lvl w:ilvl="1">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lvl w:ilvl="1">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2019-12-13T07:32:05Z</dcterms:created>
  <dcterms:modified xsi:type="dcterms:W3CDTF">2019-12-13T07:32:05Z</dcterms:modified>
</cp:coreProperties>
</file>