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42"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Washington, D.C.</w:t>
      </w:r>
    </w:p>
    <w:p>
      <w:pPr>
        <w:spacing w:after="0" w:line="175"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20549</w:t>
      </w:r>
    </w:p>
    <w:p>
      <w:pPr>
        <w:spacing w:after="0" w:line="342"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10-Q</w:t>
      </w:r>
    </w:p>
    <w:p>
      <w:pPr>
        <w:spacing w:after="0" w:line="34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Quarter</w:t>
            </w:r>
          </w:p>
        </w:tc>
        <w:tc>
          <w:tcPr>
            <w:tcW w:w="2600" w:type="dxa"/>
            <w:vAlign w:val="bottom"/>
          </w:tcPr>
          <w:p>
            <w:pPr>
              <w:ind w:left="160"/>
              <w:spacing w:after="0"/>
              <w:rPr>
                <w:sz w:val="20"/>
                <w:szCs w:val="20"/>
                <w:color w:val="auto"/>
              </w:rPr>
            </w:pPr>
            <w:r>
              <w:rPr>
                <w:rFonts w:ascii="Courier New" w:cs="Courier New" w:eastAsia="Courier New" w:hAnsi="Courier New"/>
                <w:sz w:val="14"/>
                <w:szCs w:val="14"/>
                <w:color w:val="auto"/>
              </w:rPr>
              <w:t>Ended  March 31, 2001</w:t>
            </w:r>
          </w:p>
        </w:tc>
        <w:tc>
          <w:tcPr>
            <w:tcW w:w="35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Commission File Number 1-3761</w:t>
            </w:r>
          </w:p>
        </w:tc>
        <w:tc>
          <w:tcPr>
            <w:tcW w:w="860" w:type="dxa"/>
            <w:vAlign w:val="bottom"/>
          </w:tcPr>
          <w:p>
            <w:pPr>
              <w:spacing w:after="0"/>
              <w:rPr>
                <w:sz w:val="14"/>
                <w:szCs w:val="14"/>
                <w:color w:val="auto"/>
              </w:rPr>
            </w:pPr>
          </w:p>
        </w:tc>
      </w:tr>
      <w:tr>
        <w:trPr>
          <w:trHeight w:val="668"/>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TEXAS INSTRUMENTS INCORPORATED</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60" w:type="dxa"/>
            <w:vAlign w:val="bottom"/>
            <w:gridSpan w:val="3"/>
          </w:tcPr>
          <w:p>
            <w:pPr>
              <w:jc w:val="center"/>
              <w:ind w:right="548"/>
              <w:spacing w:after="0"/>
              <w:rPr>
                <w:sz w:val="20"/>
                <w:szCs w:val="20"/>
                <w:color w:val="auto"/>
              </w:rPr>
            </w:pPr>
            <w:r>
              <w:rPr>
                <w:rFonts w:ascii="Courier New" w:cs="Courier New" w:eastAsia="Courier New" w:hAnsi="Courier New"/>
                <w:sz w:val="14"/>
                <w:szCs w:val="14"/>
                <w:color w:val="auto"/>
              </w:rPr>
              <w:t>(Exact name of Registrant as specified in its charter)</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Delaware</w:t>
            </w: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75-0289970</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700" w:type="dxa"/>
            <w:vAlign w:val="bottom"/>
            <w:gridSpan w:val="2"/>
          </w:tcPr>
          <w:p>
            <w:pPr>
              <w:spacing w:after="0"/>
              <w:rPr>
                <w:sz w:val="20"/>
                <w:szCs w:val="20"/>
                <w:color w:val="auto"/>
              </w:rPr>
            </w:pPr>
            <w:r>
              <w:rPr>
                <w:rFonts w:ascii="Courier New" w:cs="Courier New" w:eastAsia="Courier New" w:hAnsi="Courier New"/>
                <w:sz w:val="5"/>
                <w:szCs w:val="5"/>
                <w:color w:val="auto"/>
                <w:w w:val="80"/>
              </w:rPr>
              <w:t>- --------------------------</w:t>
            </w: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5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167"/>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(State</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2600" w:type="dxa"/>
            <w:vAlign w:val="bottom"/>
          </w:tcPr>
          <w:p>
            <w:pPr>
              <w:spacing w:after="0"/>
              <w:rPr>
                <w:sz w:val="20"/>
                <w:szCs w:val="20"/>
                <w:color w:val="auto"/>
              </w:rPr>
            </w:pPr>
            <w:r>
              <w:rPr>
                <w:rFonts w:ascii="Courier New" w:cs="Courier New" w:eastAsia="Courier New" w:hAnsi="Courier New"/>
                <w:sz w:val="14"/>
                <w:szCs w:val="14"/>
                <w:color w:val="auto"/>
              </w:rPr>
              <w:t>Incorporation)</w:t>
            </w:r>
          </w:p>
        </w:tc>
        <w:tc>
          <w:tcPr>
            <w:tcW w:w="356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(I.R.S. Employer Identification No.)</w:t>
            </w:r>
          </w:p>
        </w:tc>
        <w:tc>
          <w:tcPr>
            <w:tcW w:w="860" w:type="dxa"/>
            <w:vAlign w:val="bottom"/>
          </w:tcPr>
          <w:p>
            <w:pPr>
              <w:spacing w:after="0"/>
              <w:rPr>
                <w:sz w:val="14"/>
                <w:szCs w:val="14"/>
                <w:color w:val="auto"/>
              </w:rPr>
            </w:pPr>
          </w:p>
        </w:tc>
      </w:tr>
      <w:tr>
        <w:trPr>
          <w:trHeight w:val="835"/>
        </w:trPr>
        <w:tc>
          <w:tcPr>
            <w:tcW w:w="5740" w:type="dxa"/>
            <w:vAlign w:val="bottom"/>
            <w:gridSpan w:val="5"/>
          </w:tcPr>
          <w:p>
            <w:pPr>
              <w:spacing w:after="0"/>
              <w:rPr>
                <w:sz w:val="20"/>
                <w:szCs w:val="20"/>
                <w:color w:val="auto"/>
              </w:rPr>
            </w:pPr>
            <w:r>
              <w:rPr>
                <w:rFonts w:ascii="Courier New" w:cs="Courier New" w:eastAsia="Courier New" w:hAnsi="Courier New"/>
                <w:sz w:val="14"/>
                <w:szCs w:val="14"/>
                <w:color w:val="auto"/>
              </w:rPr>
              <w:t>12500 TI Boulevard P.O. Box 660199, Dallas, Texas</w:t>
            </w:r>
          </w:p>
        </w:tc>
        <w:tc>
          <w:tcPr>
            <w:tcW w:w="14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w w:val="99"/>
              </w:rPr>
              <w:t>75266-0199</w:t>
            </w:r>
          </w:p>
        </w:tc>
        <w:tc>
          <w:tcPr>
            <w:tcW w:w="860" w:type="dxa"/>
            <w:vAlign w:val="bottom"/>
          </w:tcPr>
          <w:p>
            <w:pPr>
              <w:spacing w:after="0"/>
              <w:rPr>
                <w:sz w:val="24"/>
                <w:szCs w:val="24"/>
                <w:color w:val="auto"/>
              </w:rPr>
            </w:pPr>
          </w:p>
        </w:tc>
      </w:tr>
      <w:tr>
        <w:trPr>
          <w:trHeight w:val="167"/>
        </w:trPr>
        <w:tc>
          <w:tcPr>
            <w:tcW w:w="72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spacing w:after="0"/>
              <w:rPr>
                <w:sz w:val="14"/>
                <w:szCs w:val="14"/>
                <w:color w:val="auto"/>
              </w:rPr>
            </w:pPr>
          </w:p>
        </w:tc>
      </w:tr>
      <w:tr>
        <w:trPr>
          <w:trHeight w:val="167"/>
        </w:trPr>
        <w:tc>
          <w:tcPr>
            <w:tcW w:w="3660" w:type="dxa"/>
            <w:vAlign w:val="bottom"/>
            <w:gridSpan w:val="4"/>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2080" w:type="dxa"/>
            <w:vAlign w:val="bottom"/>
          </w:tcPr>
          <w:p>
            <w:pPr>
              <w:spacing w:after="0"/>
              <w:rPr>
                <w:sz w:val="14"/>
                <w:szCs w:val="14"/>
                <w:color w:val="auto"/>
              </w:rPr>
            </w:pPr>
          </w:p>
        </w:tc>
        <w:tc>
          <w:tcPr>
            <w:tcW w:w="14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w w:val="99"/>
              </w:rPr>
              <w:t>(Zip Code)</w:t>
            </w:r>
          </w:p>
        </w:tc>
        <w:tc>
          <w:tcPr>
            <w:tcW w:w="860" w:type="dxa"/>
            <w:vAlign w:val="bottom"/>
          </w:tcPr>
          <w:p>
            <w:pPr>
              <w:spacing w:after="0"/>
              <w:rPr>
                <w:sz w:val="14"/>
                <w:szCs w:val="14"/>
                <w:color w:val="auto"/>
              </w:rPr>
            </w:pPr>
          </w:p>
        </w:tc>
      </w:tr>
      <w:tr>
        <w:trPr>
          <w:trHeight w:val="501"/>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20" w:type="dxa"/>
            <w:vAlign w:val="bottom"/>
            <w:gridSpan w:val="4"/>
          </w:tcPr>
          <w:p>
            <w:pPr>
              <w:spacing w:after="0"/>
              <w:rPr>
                <w:sz w:val="20"/>
                <w:szCs w:val="20"/>
                <w:color w:val="auto"/>
              </w:rPr>
            </w:pPr>
            <w:r>
              <w:rPr>
                <w:rFonts w:ascii="Courier New" w:cs="Courier New" w:eastAsia="Courier New" w:hAnsi="Courier New"/>
                <w:sz w:val="14"/>
                <w:szCs w:val="14"/>
                <w:color w:val="auto"/>
              </w:rPr>
              <w:t>Registrant's telephone number, including area code 972-995-3773</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7220" w:type="dxa"/>
            <w:vAlign w:val="bottom"/>
            <w:gridSpan w:val="7"/>
          </w:tcPr>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tc>
        <w:tc>
          <w:tcPr>
            <w:tcW w:w="860" w:type="dxa"/>
            <w:vAlign w:val="bottom"/>
          </w:tcPr>
          <w:p>
            <w:pPr>
              <w:spacing w:after="0"/>
              <w:rPr>
                <w:sz w:val="24"/>
                <w:szCs w:val="24"/>
                <w:color w:val="auto"/>
              </w:rPr>
            </w:pPr>
          </w:p>
        </w:tc>
      </w:tr>
      <w:tr>
        <w:trPr>
          <w:trHeight w:val="167"/>
        </w:trPr>
        <w:tc>
          <w:tcPr>
            <w:tcW w:w="7220" w:type="dxa"/>
            <w:vAlign w:val="bottom"/>
            <w:gridSpan w:val="7"/>
          </w:tcPr>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tc>
        <w:tc>
          <w:tcPr>
            <w:tcW w:w="860" w:type="dxa"/>
            <w:vAlign w:val="bottom"/>
          </w:tcPr>
          <w:p>
            <w:pPr>
              <w:spacing w:after="0"/>
              <w:rPr>
                <w:sz w:val="14"/>
                <w:szCs w:val="14"/>
                <w:color w:val="auto"/>
              </w:rPr>
            </w:pPr>
          </w:p>
        </w:tc>
      </w:tr>
      <w:tr>
        <w:trPr>
          <w:trHeight w:val="167"/>
        </w:trPr>
        <w:tc>
          <w:tcPr>
            <w:tcW w:w="6520" w:type="dxa"/>
            <w:vAlign w:val="bottom"/>
            <w:gridSpan w:val="6"/>
          </w:tcPr>
          <w:p>
            <w:pPr>
              <w:spacing w:after="0"/>
              <w:rPr>
                <w:sz w:val="20"/>
                <w:szCs w:val="20"/>
                <w:color w:val="auto"/>
              </w:rPr>
            </w:pPr>
            <w:r>
              <w:rPr>
                <w:rFonts w:ascii="Courier New" w:cs="Courier New" w:eastAsia="Courier New" w:hAnsi="Courier New"/>
                <w:sz w:val="14"/>
                <w:szCs w:val="14"/>
                <w:color w:val="auto"/>
              </w:rPr>
              <w:t>the preceding 12 months (or for such shorter period that the Registrant was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520" w:type="dxa"/>
            <w:vAlign w:val="bottom"/>
            <w:gridSpan w:val="6"/>
          </w:tcPr>
          <w:p>
            <w:pPr>
              <w:spacing w:after="0"/>
              <w:rPr>
                <w:sz w:val="20"/>
                <w:szCs w:val="20"/>
                <w:color w:val="auto"/>
              </w:rPr>
            </w:pPr>
            <w:r>
              <w:rPr>
                <w:rFonts w:ascii="Courier New" w:cs="Courier New" w:eastAsia="Courier New" w:hAnsi="Courier New"/>
                <w:sz w:val="14"/>
                <w:szCs w:val="14"/>
                <w:color w:val="auto"/>
              </w:rPr>
              <w:t>required to file such reports), and (2) has been subject to such filing</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60" w:type="dxa"/>
            <w:vAlign w:val="bottom"/>
            <w:gridSpan w:val="4"/>
          </w:tcPr>
          <w:p>
            <w:pPr>
              <w:spacing w:after="0"/>
              <w:rPr>
                <w:sz w:val="20"/>
                <w:szCs w:val="20"/>
                <w:color w:val="auto"/>
              </w:rPr>
            </w:pPr>
            <w:r>
              <w:rPr>
                <w:rFonts w:ascii="Courier New" w:cs="Courier New" w:eastAsia="Courier New" w:hAnsi="Courier New"/>
                <w:sz w:val="14"/>
                <w:szCs w:val="14"/>
                <w:color w:val="auto"/>
              </w:rPr>
              <w:t>requirements for the past 90 days. Yes  X</w:t>
            </w:r>
          </w:p>
        </w:tc>
        <w:tc>
          <w:tcPr>
            <w:tcW w:w="208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No</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tcPr>
          <w:p>
            <w:pPr>
              <w:jc w:val="center"/>
              <w:ind w:left="226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13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2"/>
          </w:tcPr>
          <w:p>
            <w:pPr>
              <w:jc w:val="center"/>
              <w:ind w:left="168"/>
              <w:spacing w:after="0"/>
              <w:rPr>
                <w:sz w:val="20"/>
                <w:szCs w:val="20"/>
                <w:color w:val="auto"/>
              </w:rPr>
            </w:pPr>
            <w:r>
              <w:rPr>
                <w:rFonts w:ascii="Courier New" w:cs="Courier New" w:eastAsia="Courier New" w:hAnsi="Courier New"/>
                <w:sz w:val="14"/>
                <w:szCs w:val="14"/>
                <w:color w:val="auto"/>
              </w:rPr>
              <w:t>1,735,984,427</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7220" w:type="dxa"/>
            <w:vAlign w:val="bottom"/>
            <w:gridSpan w:val="7"/>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Number of shares of Registrant's common stock outstanding as of</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March 31, 2001</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12"/>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PART I - FINANCIAL INFORMATION</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01"/>
        </w:trPr>
        <w:tc>
          <w:tcPr>
            <w:tcW w:w="36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Financial Statements</w:t>
            </w: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2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TEXAS INSTRUMENTS INCORPORATED AND SUBSIDIARIES</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Consolidated Financial Statements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(In millions of dollars, except per-share amounts.)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1"/>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 Three Months Ended</w:t>
            </w: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Mar. 31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 31</w:t>
            </w:r>
          </w:p>
        </w:tc>
      </w:tr>
      <w:tr>
        <w:trPr>
          <w:trHeight w:val="167"/>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Income</w:t>
            </w: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060" w:type="dxa"/>
            <w:vAlign w:val="bottom"/>
            <w:gridSpan w:val="3"/>
          </w:tcPr>
          <w:p>
            <w:pPr>
              <w:spacing w:after="0"/>
              <w:rPr>
                <w:sz w:val="20"/>
                <w:szCs w:val="20"/>
                <w:color w:val="auto"/>
              </w:rPr>
            </w:pPr>
            <w:r>
              <w:rPr>
                <w:rFonts w:ascii="Courier New" w:cs="Courier New" w:eastAsia="Courier New" w:hAnsi="Courier New"/>
                <w:sz w:val="14"/>
                <w:szCs w:val="14"/>
                <w:color w:val="auto"/>
              </w:rPr>
              <w:t>Net revenues</w:t>
            </w:r>
          </w:p>
        </w:tc>
        <w:tc>
          <w:tcPr>
            <w:tcW w:w="4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2,528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$ 2,761</w:t>
            </w:r>
          </w:p>
        </w:tc>
      </w:tr>
      <w:tr>
        <w:trPr>
          <w:trHeight w:val="167"/>
        </w:trPr>
        <w:tc>
          <w:tcPr>
            <w:tcW w:w="3660" w:type="dxa"/>
            <w:vAlign w:val="bottom"/>
            <w:gridSpan w:val="4"/>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2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7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Cost of revenues....................................................</w:t>
            </w:r>
          </w:p>
        </w:tc>
        <w:tc>
          <w:tcPr>
            <w:tcW w:w="7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1,505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1,420</w:t>
            </w:r>
          </w:p>
        </w:tc>
      </w:tr>
      <w:tr>
        <w:trPr>
          <w:trHeight w:val="167"/>
        </w:trPr>
        <w:tc>
          <w:tcPr>
            <w:tcW w:w="57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Research and development............................................</w:t>
            </w:r>
          </w:p>
        </w:tc>
        <w:tc>
          <w:tcPr>
            <w:tcW w:w="7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386</w:t>
            </w:r>
          </w:p>
        </w:tc>
      </w:tr>
      <w:tr>
        <w:trPr>
          <w:trHeight w:val="167"/>
        </w:trPr>
        <w:tc>
          <w:tcPr>
            <w:tcW w:w="57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Selling, general and administrative.................................</w:t>
            </w:r>
          </w:p>
        </w:tc>
        <w:tc>
          <w:tcPr>
            <w:tcW w:w="7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w:t>
            </w: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Courier New" w:cs="Courier New" w:eastAsia="Courier New" w:hAnsi="Courier New"/>
                <w:sz w:val="11"/>
                <w:szCs w:val="11"/>
                <w:color w:val="auto"/>
                <w:w w:val="75"/>
              </w:rPr>
              <w:t>Total.............................................................</w:t>
            </w:r>
          </w:p>
        </w:tc>
        <w:tc>
          <w:tcPr>
            <w:tcW w:w="2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2,299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2,207</w:t>
            </w: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gridSpan w:val="5"/>
          </w:tcPr>
          <w:p>
            <w:pPr>
              <w:spacing w:after="0"/>
              <w:rPr>
                <w:sz w:val="20"/>
                <w:szCs w:val="20"/>
                <w:color w:val="auto"/>
              </w:rPr>
            </w:pPr>
            <w:r>
              <w:rPr>
                <w:rFonts w:ascii="Courier New" w:cs="Courier New" w:eastAsia="Courier New" w:hAnsi="Courier New"/>
                <w:sz w:val="14"/>
                <w:szCs w:val="14"/>
                <w:color w:val="auto"/>
                <w:w w:val="97"/>
              </w:rPr>
              <w:t>Profit from operations................................................</w:t>
            </w:r>
          </w:p>
        </w:tc>
        <w:tc>
          <w:tcPr>
            <w:tcW w:w="7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554</w:t>
            </w:r>
          </w:p>
        </w:tc>
      </w:tr>
      <w:tr>
        <w:trPr>
          <w:trHeight w:val="167"/>
        </w:trPr>
        <w:tc>
          <w:tcPr>
            <w:tcW w:w="5740" w:type="dxa"/>
            <w:vAlign w:val="bottom"/>
            <w:gridSpan w:val="5"/>
          </w:tcPr>
          <w:p>
            <w:pPr>
              <w:spacing w:after="0"/>
              <w:rPr>
                <w:sz w:val="20"/>
                <w:szCs w:val="20"/>
                <w:color w:val="auto"/>
              </w:rPr>
            </w:pPr>
            <w:r>
              <w:rPr>
                <w:rFonts w:ascii="Courier New" w:cs="Courier New" w:eastAsia="Courier New" w:hAnsi="Courier New"/>
                <w:sz w:val="14"/>
                <w:szCs w:val="14"/>
                <w:color w:val="auto"/>
                <w:w w:val="97"/>
              </w:rPr>
              <w:t>Other income (expense) net............................................</w:t>
            </w:r>
          </w:p>
        </w:tc>
        <w:tc>
          <w:tcPr>
            <w:tcW w:w="7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w:t>
            </w:r>
          </w:p>
        </w:tc>
      </w:tr>
      <w:tr>
        <w:trPr>
          <w:trHeight w:val="167"/>
        </w:trPr>
        <w:tc>
          <w:tcPr>
            <w:tcW w:w="5740" w:type="dxa"/>
            <w:vAlign w:val="bottom"/>
            <w:gridSpan w:val="5"/>
          </w:tcPr>
          <w:p>
            <w:pPr>
              <w:spacing w:after="0"/>
              <w:rPr>
                <w:sz w:val="20"/>
                <w:szCs w:val="20"/>
                <w:color w:val="auto"/>
              </w:rPr>
            </w:pPr>
            <w:r>
              <w:rPr>
                <w:rFonts w:ascii="Courier New" w:cs="Courier New" w:eastAsia="Courier New" w:hAnsi="Courier New"/>
                <w:sz w:val="14"/>
                <w:szCs w:val="14"/>
                <w:color w:val="auto"/>
                <w:w w:val="97"/>
              </w:rPr>
              <w:t>Interest on loans.....................................................</w:t>
            </w:r>
          </w:p>
        </w:tc>
        <w:tc>
          <w:tcPr>
            <w:tcW w:w="7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gridSpan w:val="5"/>
          </w:tcPr>
          <w:p>
            <w:pPr>
              <w:spacing w:after="0"/>
              <w:rPr>
                <w:sz w:val="20"/>
                <w:szCs w:val="20"/>
                <w:color w:val="auto"/>
              </w:rPr>
            </w:pPr>
            <w:r>
              <w:rPr>
                <w:rFonts w:ascii="Courier New" w:cs="Courier New" w:eastAsia="Courier New" w:hAnsi="Courier New"/>
                <w:sz w:val="14"/>
                <w:szCs w:val="14"/>
                <w:color w:val="auto"/>
              </w:rPr>
              <w:t>Income before provision for income taxes and cumulative</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7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effect of an accounting change......................................</w:t>
            </w:r>
          </w:p>
        </w:tc>
        <w:tc>
          <w:tcPr>
            <w:tcW w:w="7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661</w:t>
            </w:r>
          </w:p>
        </w:tc>
      </w:tr>
      <w:tr>
        <w:trPr>
          <w:trHeight w:val="167"/>
        </w:trPr>
        <w:tc>
          <w:tcPr>
            <w:tcW w:w="5740" w:type="dxa"/>
            <w:vAlign w:val="bottom"/>
            <w:gridSpan w:val="5"/>
          </w:tcPr>
          <w:p>
            <w:pPr>
              <w:spacing w:after="0"/>
              <w:rPr>
                <w:sz w:val="20"/>
                <w:szCs w:val="20"/>
                <w:color w:val="auto"/>
              </w:rPr>
            </w:pPr>
            <w:r>
              <w:rPr>
                <w:rFonts w:ascii="Courier New" w:cs="Courier New" w:eastAsia="Courier New" w:hAnsi="Courier New"/>
                <w:sz w:val="14"/>
                <w:szCs w:val="14"/>
                <w:color w:val="auto"/>
                <w:w w:val="97"/>
              </w:rPr>
              <w:t>Provision for income taxes............................................</w:t>
            </w:r>
          </w:p>
        </w:tc>
        <w:tc>
          <w:tcPr>
            <w:tcW w:w="7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w:t>
            </w: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gridSpan w:val="6"/>
          </w:tcPr>
          <w:p>
            <w:pPr>
              <w:spacing w:after="0"/>
              <w:rPr>
                <w:sz w:val="20"/>
                <w:szCs w:val="20"/>
                <w:color w:val="auto"/>
              </w:rPr>
            </w:pPr>
            <w:r>
              <w:rPr>
                <w:rFonts w:ascii="Courier New" w:cs="Courier New" w:eastAsia="Courier New" w:hAnsi="Courier New"/>
                <w:sz w:val="14"/>
                <w:szCs w:val="14"/>
                <w:color w:val="auto"/>
              </w:rPr>
              <w:t>Income before cumulative effect of an accounting change...............</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w:t>
            </w:r>
          </w:p>
        </w:tc>
      </w:tr>
      <w:tr>
        <w:trPr>
          <w:trHeight w:val="167"/>
        </w:trPr>
        <w:tc>
          <w:tcPr>
            <w:tcW w:w="5740" w:type="dxa"/>
            <w:vAlign w:val="bottom"/>
            <w:gridSpan w:val="5"/>
          </w:tcPr>
          <w:p>
            <w:pPr>
              <w:spacing w:after="0"/>
              <w:rPr>
                <w:sz w:val="20"/>
                <w:szCs w:val="20"/>
                <w:color w:val="auto"/>
              </w:rPr>
            </w:pPr>
            <w:r>
              <w:rPr>
                <w:rFonts w:ascii="Courier New" w:cs="Courier New" w:eastAsia="Courier New" w:hAnsi="Courier New"/>
                <w:sz w:val="14"/>
                <w:szCs w:val="14"/>
                <w:color w:val="auto"/>
                <w:w w:val="97"/>
              </w:rPr>
              <w:t>Cumulative effect of an accounting change.............................</w:t>
            </w:r>
          </w:p>
        </w:tc>
        <w:tc>
          <w:tcPr>
            <w:tcW w:w="7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gridSpan w:val="4"/>
          </w:tcPr>
          <w:p>
            <w:pPr>
              <w:spacing w:after="0"/>
              <w:rPr>
                <w:sz w:val="20"/>
                <w:szCs w:val="20"/>
                <w:color w:val="auto"/>
              </w:rPr>
            </w:pPr>
            <w:r>
              <w:rPr>
                <w:rFonts w:ascii="Courier New" w:cs="Courier New" w:eastAsia="Courier New" w:hAnsi="Courier New"/>
                <w:sz w:val="12"/>
                <w:szCs w:val="12"/>
                <w:color w:val="auto"/>
                <w:w w:val="72"/>
              </w:rPr>
              <w:t>Net income............................................................</w:t>
            </w:r>
          </w:p>
        </w:tc>
        <w:tc>
          <w:tcPr>
            <w:tcW w:w="2080" w:type="dxa"/>
            <w:vAlign w:val="bottom"/>
          </w:tcPr>
          <w:p>
            <w:pPr>
              <w:spacing w:after="0"/>
              <w:rPr>
                <w:sz w:val="14"/>
                <w:szCs w:val="14"/>
                <w:color w:val="auto"/>
              </w:rPr>
            </w:pPr>
          </w:p>
        </w:tc>
        <w:tc>
          <w:tcPr>
            <w:tcW w:w="7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421</w:t>
            </w:r>
          </w:p>
        </w:tc>
      </w:tr>
      <w:tr>
        <w:trPr>
          <w:trHeight w:val="167"/>
        </w:trPr>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56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3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w:t>
            </w:r>
          </w:p>
        </w:tc>
        <w:tc>
          <w:tcPr>
            <w:tcW w:w="3000" w:type="dxa"/>
            <w:vAlign w:val="bottom"/>
          </w:tcPr>
          <w:p>
            <w:pPr>
              <w:spacing w:after="0"/>
              <w:rPr>
                <w:sz w:val="20"/>
                <w:szCs w:val="20"/>
                <w:color w:val="auto"/>
              </w:rPr>
            </w:pPr>
            <w:r>
              <w:rPr>
                <w:rFonts w:ascii="Courier New" w:cs="Courier New" w:eastAsia="Courier New" w:hAnsi="Courier New"/>
                <w:sz w:val="14"/>
                <w:szCs w:val="14"/>
                <w:color w:val="auto"/>
              </w:rPr>
              <w:t>an accounting change.............</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an accounting</w:t>
            </w:r>
          </w:p>
        </w:tc>
        <w:tc>
          <w:tcPr>
            <w:tcW w:w="300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7"/>
        </w:trPr>
        <w:tc>
          <w:tcPr>
            <w:tcW w:w="3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r>
      <w:tr>
        <w:trPr>
          <w:trHeight w:val="167"/>
        </w:trPr>
        <w:tc>
          <w:tcPr>
            <w:tcW w:w="3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3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w:t>
            </w:r>
          </w:p>
        </w:tc>
        <w:tc>
          <w:tcPr>
            <w:tcW w:w="3000" w:type="dxa"/>
            <w:vAlign w:val="bottom"/>
          </w:tcPr>
          <w:p>
            <w:pPr>
              <w:spacing w:after="0"/>
              <w:rPr>
                <w:sz w:val="20"/>
                <w:szCs w:val="20"/>
                <w:color w:val="auto"/>
              </w:rPr>
            </w:pPr>
            <w:r>
              <w:rPr>
                <w:rFonts w:ascii="Courier New" w:cs="Courier New" w:eastAsia="Courier New" w:hAnsi="Courier New"/>
                <w:sz w:val="14"/>
                <w:szCs w:val="14"/>
                <w:color w:val="auto"/>
              </w:rPr>
              <w:t>an accounting change.............</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an accounting</w:t>
            </w:r>
          </w:p>
        </w:tc>
        <w:tc>
          <w:tcPr>
            <w:tcW w:w="300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7"/>
        </w:trPr>
        <w:tc>
          <w:tcPr>
            <w:tcW w:w="3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Cash dividends declared per share of</w:t>
            </w:r>
          </w:p>
        </w:tc>
        <w:tc>
          <w:tcPr>
            <w:tcW w:w="300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.021</w:t>
            </w:r>
          </w:p>
        </w:tc>
      </w:tr>
      <w:tr>
        <w:trPr>
          <w:trHeight w:val="835"/>
        </w:trPr>
        <w:tc>
          <w:tcPr>
            <w:tcW w:w="3220" w:type="dxa"/>
            <w:vAlign w:val="bottom"/>
          </w:tcPr>
          <w:p>
            <w:pPr>
              <w:spacing w:after="0"/>
              <w:rPr>
                <w:sz w:val="24"/>
                <w:szCs w:val="24"/>
                <w:color w:val="auto"/>
              </w:rPr>
            </w:pPr>
          </w:p>
        </w:tc>
        <w:tc>
          <w:tcPr>
            <w:tcW w:w="300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2" w:name="page3"/>
    <w:bookmarkEnd w:id="2"/>
    <w:p>
      <w:pPr>
        <w:jc w:val="center"/>
        <w:ind w:right="2679"/>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 millions of dollars, except per-share amounts.)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501"/>
        </w:trPr>
        <w:tc>
          <w:tcPr>
            <w:tcW w:w="618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Mar. 31</w:t>
            </w:r>
          </w:p>
        </w:tc>
        <w:tc>
          <w:tcPr>
            <w:tcW w:w="9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 31</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Balance Sheet</w:t>
            </w:r>
          </w:p>
        </w:tc>
        <w:tc>
          <w:tcPr>
            <w:tcW w:w="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r>
      <w:tr>
        <w:trPr>
          <w:trHeight w:val="334"/>
        </w:trPr>
        <w:tc>
          <w:tcPr>
            <w:tcW w:w="61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304</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745</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Short-term investments.............................................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2,785</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3,258</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less allowance for losses of</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 million in 2001 and $54 million in 2000......................</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1,948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2,204</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Raw materials....................................................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245</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Work in process..................................................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678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Finished goods...................................................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Inventories....................................................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1,180</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1,233</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Prepaid expenses...................................................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140</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income taxes..............................................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547</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595</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current assets.............................................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6,904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8,115</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Property, plant and equipment........................................</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9,702</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9,099</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Less accumulated depreciation......................................</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(3,709)</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(3,652)</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Property, plant and equipment (net)..............................</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5,993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5,447</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2,661</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2,400</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Goodwill and other acquisition-related intangibles...................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874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961</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income taxes................................................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116</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assets.........................................................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691</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assets.........................................................</w:t>
            </w: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$17,242</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$17,720</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618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Loans payable and current portion long-term debt...................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Accounts payable...................................................</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795</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997</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Accrued and other current liabilities..............................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1,042</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1,668</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current liabilities........................................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1,883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2,813</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Long-term debt.......................................................</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1,216</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Accrued retirement costs.............................................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356</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378</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income taxes................................................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495</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469</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credits and other liabilities...............................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256</w:t>
            </w:r>
          </w:p>
        </w:tc>
      </w:tr>
      <w:tr>
        <w:trPr>
          <w:trHeight w:val="334"/>
        </w:trPr>
        <w:tc>
          <w:tcPr>
            <w:tcW w:w="61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$25 par value. Authorized - 10,000,000 shares.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Participating cumulative preferred. None issued..................</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Common stock, $1 par value. Authorized -  2,400,000,000 shares.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 issued: 2001 - 1,737,306,923; 2000 - 1,733,237,248........</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1,737</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1,733</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Paid-in capital....................................................</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1,249</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1,185</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Retained earnings..................................................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9,517</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9,323</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Less treasury common stock at cost.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 2001 - 1,322,496; 2000 - 1,184,880.......................</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Accumulated other comprehensive income.............................</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574</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compensation .............................................</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stockholders' equity.......................................</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13,002</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12,588</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$17,242</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$17,720</w:t>
            </w:r>
          </w:p>
        </w:tc>
      </w:tr>
      <w:tr>
        <w:trPr>
          <w:trHeight w:val="167"/>
        </w:trPr>
        <w:tc>
          <w:tcPr>
            <w:tcW w:w="618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835"/>
        </w:trPr>
        <w:tc>
          <w:tcPr>
            <w:tcW w:w="618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3" w:name="page4"/>
    <w:bookmarkEnd w:id="3"/>
    <w:p>
      <w:pPr>
        <w:ind w:left="1400"/>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(In millions of dollars, except per-share amounts.)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1"/>
        </w:trPr>
        <w:tc>
          <w:tcPr>
            <w:tcW w:w="548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 Three Months Ended</w:t>
            </w:r>
          </w:p>
        </w:tc>
      </w:tr>
      <w:tr>
        <w:trPr>
          <w:trHeight w:val="167"/>
        </w:trPr>
        <w:tc>
          <w:tcPr>
            <w:tcW w:w="54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Mar. 31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 31</w:t>
            </w:r>
          </w:p>
        </w:tc>
      </w:tr>
      <w:tr>
        <w:trPr>
          <w:trHeight w:val="167"/>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4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ind w:left="100"/>
              <w:spacing w:after="0"/>
              <w:rPr>
                <w:sz w:val="20"/>
                <w:szCs w:val="20"/>
                <w:color w:val="auto"/>
              </w:rPr>
            </w:pPr>
            <w:r>
              <w:rPr>
                <w:rFonts w:ascii="Courier New" w:cs="Courier New" w:eastAsia="Courier New" w:hAnsi="Courier New"/>
                <w:sz w:val="14"/>
                <w:szCs w:val="14"/>
                <w:color w:val="auto"/>
              </w:rPr>
              <w:t>Cash flows from operating activities: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w w:val="99"/>
              </w:rPr>
              <w:t>Income before cumulative effect of an accounting change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450</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Depreciation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Amortization of acquisition-related costs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Deferred income taxes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Net currency exchange losses...................................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working capital (excluding cash</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and cash equivalents, short-term investments, deferred</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income taxes, and loans payable and current portion</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long-term debt):</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Accounts receivable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Inventories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Prepaid expenses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Accounts payable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Accrued and other current liabilities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Increase (decrease) in noncurrent accrued retirement costs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Other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54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Net cash provided by operating activities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w:t>
            </w: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Additions to property, plant and equipment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(647)</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Purchases of short-term investments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(968)</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Sales and maturities of short-term investments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1,209</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Purchases of noncurrent investments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Sales of noncurrent investments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w:t>
            </w:r>
          </w:p>
        </w:tc>
      </w:tr>
      <w:tr>
        <w:trPr>
          <w:trHeight w:val="167"/>
        </w:trPr>
        <w:tc>
          <w:tcPr>
            <w:tcW w:w="54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Net cash used in investing activities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Payments on loans payable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Additions to long-term debt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Payments on long-term debt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Dividends paid on common stock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Sales and other common stock transactions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Common stock repurchase program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7"/>
        </w:trPr>
        <w:tc>
          <w:tcPr>
            <w:tcW w:w="54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Net cash provided by (used in) financing activities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w:t>
            </w:r>
          </w:p>
        </w:tc>
      </w:tr>
      <w:tr>
        <w:trPr>
          <w:trHeight w:val="334"/>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Effect of exchange rate changes on cash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54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Net increase (decrease) in cash and cash equivalents ............</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w:t>
            </w:r>
          </w:p>
        </w:tc>
      </w:tr>
      <w:tr>
        <w:trPr>
          <w:trHeight w:val="334"/>
        </w:trPr>
        <w:tc>
          <w:tcPr>
            <w:tcW w:w="5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Cash and cash equivalents, January 1 ............................</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781</w:t>
            </w:r>
          </w:p>
        </w:tc>
      </w:tr>
      <w:tr>
        <w:trPr>
          <w:trHeight w:val="167"/>
        </w:trPr>
        <w:tc>
          <w:tcPr>
            <w:tcW w:w="54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w w:val="99"/>
              </w:rPr>
              <w:t>Cash and cash equivalents, March 31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$1,074</w:t>
            </w:r>
          </w:p>
        </w:tc>
      </w:tr>
      <w:tr>
        <w:trPr>
          <w:trHeight w:val="167"/>
        </w:trPr>
        <w:tc>
          <w:tcPr>
            <w:tcW w:w="54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5480" w:type="dxa"/>
            <w:vAlign w:val="bottom"/>
          </w:tcPr>
          <w:p>
            <w:pPr>
              <w:ind w:left="3480"/>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4" w:name="page5"/>
    <w:bookmarkEnd w:id="4"/>
    <w:p>
      <w:pPr>
        <w:jc w:val="center"/>
        <w:ind w:right="3188"/>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jc w:val="center"/>
        <w:ind w:right="3188"/>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431" w:right="3279" w:hanging="431"/>
        <w:spacing w:after="0" w:line="255"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per common share are based on average common and dilutive potential common shares outstanding (1,785.4 and 1,782.0 million shares for the first quarters of 2001 and 2000).</w:t>
      </w:r>
    </w:p>
    <w:p>
      <w:pPr>
        <w:spacing w:after="0" w:line="162" w:lineRule="exact"/>
        <w:rPr>
          <w:rFonts w:ascii="Courier New" w:cs="Courier New" w:eastAsia="Courier New" w:hAnsi="Courier New"/>
          <w:sz w:val="14"/>
          <w:szCs w:val="14"/>
          <w:color w:val="auto"/>
        </w:rPr>
      </w:pPr>
    </w:p>
    <w:p>
      <w:pPr>
        <w:ind w:left="431" w:right="3459" w:hanging="431"/>
        <w:spacing w:after="0" w:line="255"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other income (expense) net for the first quarter of 2001 are investment write-downs of $35 million for declines in value determined to be other-than-temporary.</w:t>
      </w:r>
    </w:p>
    <w:p>
      <w:pPr>
        <w:spacing w:after="0" w:line="162" w:lineRule="exact"/>
        <w:rPr>
          <w:rFonts w:ascii="Courier New" w:cs="Courier New" w:eastAsia="Courier New" w:hAnsi="Courier New"/>
          <w:sz w:val="14"/>
          <w:szCs w:val="14"/>
          <w:color w:val="auto"/>
        </w:rPr>
      </w:pPr>
    </w:p>
    <w:p>
      <w:pPr>
        <w:ind w:left="431" w:right="3379" w:hanging="431"/>
        <w:spacing w:after="0" w:line="253"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Hynix Semiconductor Inc. (Hynix), formerly known as Hyundai Electronics Industries Co., Ltd., has ongoing royalty obligations to TI under a patent license agreement expiring December 31, 2007. As previously noted, Hynix has requested a renegotiation of the payment schedule of the obligations. Agreement on revisions to the payment schedule has not yet been reached. Pending future developments, TI is deferring the recognition of royalty revenues from Hynix. TI, which has significant legal remedies available, believes its recorded receivable balance from Hynix, $129 million at March 31, 2001, is collectible.</w:t>
      </w:r>
    </w:p>
    <w:p>
      <w:pPr>
        <w:spacing w:after="0" w:line="164"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for the first quarter of 2001 includes, in millions of dollars, net special charges of $50, of which $11 is severance cost for 241 first-quarter employee acceptances under the U.S. voluntary retirement program (which covers the corporate, semiconductor and sensors &amp; controls activities and expired April 16, 2001), $16 is severance cost for restructuring actions affecting 261 employees in international semiconductor locations, mostly in Germany, and $25 relates to the fourth-quarter 2001 closing of a semiconductor manufacturing facility in Santa Cruz, California. Of the $25, $16 is for severance cost for 600 employees and $5 is for acceleration of depreciation over the remaining service life of the facility. Of the $50 of net special charges, $44 is an increase in cost of revenues, $7 in selling, general and administrative expense, $2 in research and development expense, and $3 in other income. At March 31, 2001, $2 of the aggregate severance cost obligations had been paid.</w:t>
      </w:r>
    </w:p>
    <w:p>
      <w:pPr>
        <w:spacing w:after="0" w:line="329"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for the first quarter of 2000 included, in millions of dollars, special charges of $29 associated with actions including the closing of the sensors &amp; controls manufacturing facility in Versailles, Kentucky, and TI's acquisition of Toccata Technology ApS. Of the $29 charge, $12 was for severance for 480 employees in Kentucky. At March 31, 2001, $2 of the severance cost obligation had been paid. Of the $29 charge, $20 was included in cost of revenues, $6 in selling, general and administrative expense, and $3 in research and development expense.</w:t>
      </w:r>
    </w:p>
    <w:p>
      <w:pPr>
        <w:spacing w:after="0" w:line="164" w:lineRule="exact"/>
        <w:rPr>
          <w:rFonts w:ascii="Courier New" w:cs="Courier New" w:eastAsia="Courier New" w:hAnsi="Courier New"/>
          <w:sz w:val="14"/>
          <w:szCs w:val="14"/>
          <w:color w:val="auto"/>
        </w:rPr>
      </w:pPr>
    </w:p>
    <w:p>
      <w:pPr>
        <w:jc w:val="both"/>
        <w:ind w:left="431" w:right="3539" w:hanging="431"/>
        <w:spacing w:after="0" w:line="255"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comprehensive income, i.e., net income plus investment and pension liability adjustments to stockholders' equity, for the first quarters of 2001 and 2000 was $374 million and $1844 million.</w:t>
      </w:r>
    </w:p>
    <w:p>
      <w:pPr>
        <w:spacing w:after="0" w:line="162" w:lineRule="exact"/>
        <w:rPr>
          <w:rFonts w:ascii="Courier New" w:cs="Courier New" w:eastAsia="Courier New" w:hAnsi="Courier New"/>
          <w:sz w:val="14"/>
          <w:szCs w:val="14"/>
          <w:color w:val="auto"/>
        </w:rPr>
      </w:pPr>
    </w:p>
    <w:p>
      <w:pPr>
        <w:ind w:left="431" w:right="3379" w:hanging="431"/>
        <w:spacing w:after="0" w:line="258"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significant change in the status of the audit concerning grants from the Italian government.</w:t>
      </w:r>
    </w:p>
    <w:p>
      <w:pPr>
        <w:spacing w:after="0" w:line="159" w:lineRule="exact"/>
        <w:rPr>
          <w:rFonts w:ascii="Courier New" w:cs="Courier New" w:eastAsia="Courier New" w:hAnsi="Courier New"/>
          <w:sz w:val="14"/>
          <w:szCs w:val="14"/>
          <w:color w:val="auto"/>
        </w:rPr>
      </w:pPr>
    </w:p>
    <w:p>
      <w:pPr>
        <w:ind w:left="431" w:right="3279" w:hanging="431"/>
        <w:spacing w:after="0" w:line="254"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of income, statements of cash flows and balance sheet at March 31, 2001, are not audited but reflect all adjustments which are of a normal recurring nature and are, in the opinion of management, necessary to a fair statement of the results of the periods shown.</w:t>
      </w:r>
    </w:p>
    <w:p>
      <w:pPr>
        <w:spacing w:after="0" w:line="330" w:lineRule="exact"/>
        <w:rPr>
          <w:sz w:val="20"/>
          <w:szCs w:val="20"/>
          <w:color w:val="auto"/>
        </w:rPr>
      </w:pPr>
    </w:p>
    <w:p>
      <w:pPr>
        <w:ind w:left="3471"/>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0"/>
          </w:cols>
          <w:pgMar w:left="229" w:top="453" w:right="1440" w:bottom="1440" w:gutter="0" w:footer="0" w:header="0"/>
        </w:sectPr>
      </w:pPr>
    </w:p>
    <w:bookmarkStart w:id="5" w:name="page6"/>
    <w:bookmarkEnd w:id="5"/>
    <w:p>
      <w:pPr>
        <w:ind w:left="440" w:hanging="431"/>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segment information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For Three Months Ended</w:t>
            </w:r>
          </w:p>
        </w:tc>
      </w:tr>
      <w:tr>
        <w:trPr>
          <w:trHeight w:val="167"/>
        </w:trPr>
        <w:tc>
          <w:tcPr>
            <w:tcW w:w="348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11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Mar. 31</w:t>
            </w:r>
          </w:p>
        </w:tc>
        <w:tc>
          <w:tcPr>
            <w:tcW w:w="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Mar. 31</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Business Segment Net Revenues</w:t>
            </w:r>
          </w:p>
        </w:tc>
        <w:tc>
          <w:tcPr>
            <w:tcW w:w="5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2001</w:t>
            </w:r>
          </w:p>
        </w:tc>
        <w:tc>
          <w:tcPr>
            <w:tcW w:w="22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(millions of dollars)</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Semiconductor</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w w:val="95"/>
              </w:rPr>
              <w:t>Trade....................................</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$ 2,172</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$ 2,382</w:t>
            </w: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Intersegment.............................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2,176</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2,387</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Sensors &amp; Controls</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Trade....................................</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264</w:t>
            </w: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Intersegment.............................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264</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Educational &amp; Productivity Solutions</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Trade....................................</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w:t>
            </w:r>
          </w:p>
        </w:tc>
      </w:tr>
      <w:tr>
        <w:trPr>
          <w:trHeight w:val="334"/>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Corporate activities.......................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24"/>
                <w:szCs w:val="2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Divested activities........................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w w:val="95"/>
              </w:rPr>
              <w:t>Total......................................</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$ 2,528</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$ 2,761</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3480" w:type="dxa"/>
            <w:vAlign w:val="bottom"/>
          </w:tcPr>
          <w:p>
            <w:pPr>
              <w:spacing w:after="0"/>
              <w:rPr>
                <w:sz w:val="20"/>
                <w:szCs w:val="20"/>
                <w:color w:val="auto"/>
              </w:rPr>
            </w:pPr>
            <w:r>
              <w:rPr>
                <w:rFonts w:ascii="Courier New" w:cs="Courier New" w:eastAsia="Courier New" w:hAnsi="Courier New"/>
                <w:sz w:val="14"/>
                <w:szCs w:val="14"/>
                <w:color w:val="auto"/>
              </w:rPr>
              <w:t>Business Segment Profit (Loss)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(millions of dollars)</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w w:val="95"/>
              </w:rPr>
              <w:t>Semiconductor..............................</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304</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612</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Sensors &amp; Controls.........................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Educational &amp; Productivity Solutions.......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Corporate activities.......................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c>
          <w:tcPr>
            <w:tcW w:w="2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Special charges/gains and</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acquisition-related amortization,</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of applicable profit sharing.........</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c>
          <w:tcPr>
            <w:tcW w:w="2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Interest on loans/other income (expense)</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net, excluding a first-quarter</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2001 gain of $3 million included above</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in special charges/gains and</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acquisition-related amortization.........</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Divested activities........................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and cumulative effect of an</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w w:val="95"/>
              </w:rPr>
              <w:t>accounting change........................</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320</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661</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3480" w:type="dxa"/>
            <w:vAlign w:val="bottom"/>
          </w:tcPr>
          <w:p>
            <w:pPr>
              <w:spacing w:after="0"/>
              <w:rPr>
                <w:sz w:val="24"/>
                <w:szCs w:val="24"/>
                <w:color w:val="auto"/>
              </w:rPr>
            </w:pP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6</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6" w:name="page7"/>
    <w:bookmarkEnd w:id="6"/>
    <w:p>
      <w:pPr>
        <w:ind w:left="431" w:right="3379" w:hanging="431"/>
        <w:spacing w:after="0" w:line="253" w:lineRule="auto"/>
        <w:tabs>
          <w:tab w:leader="none" w:pos="431"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Acquisition-related purchased in-process research and development (R&amp;D) charges were zero in the first quarter of 2001 and $3 million in the first quarter of 2000. These charges are for R&amp;D from business purchase acquisitions.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164" w:lineRule="exact"/>
        <w:rPr>
          <w:rFonts w:ascii="Courier New" w:cs="Courier New" w:eastAsia="Courier New" w:hAnsi="Courier New"/>
          <w:sz w:val="14"/>
          <w:szCs w:val="14"/>
          <w:color w:val="auto"/>
        </w:rPr>
      </w:pPr>
    </w:p>
    <w:p>
      <w:pPr>
        <w:ind w:left="43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Major assumptions, detailed in the following table, used in determining the value of significant purchased R&amp;D included the discount rate, the estimated beginning date of projected operating cash flows, and the remaining cost and time, in engineer-months, to complete the R&amp;D projects. The term "engineer month" refers to the average amount of research work expected to be performed by an engineer in a month.</w:t>
      </w:r>
    </w:p>
    <w:p>
      <w:pPr>
        <w:spacing w:after="0" w:line="165" w:lineRule="exact"/>
        <w:rPr>
          <w:rFonts w:ascii="Courier New" w:cs="Courier New" w:eastAsia="Courier New" w:hAnsi="Courier New"/>
          <w:sz w:val="14"/>
          <w:szCs w:val="14"/>
          <w:color w:val="auto"/>
        </w:rPr>
      </w:pPr>
    </w:p>
    <w:p>
      <w:pPr>
        <w:ind w:left="43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purchased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331" w:lineRule="exact"/>
        <w:rPr>
          <w:sz w:val="20"/>
          <w:szCs w:val="20"/>
          <w:color w:val="auto"/>
        </w:rPr>
      </w:pPr>
    </w:p>
    <w:p>
      <w:pPr>
        <w:ind w:left="3471"/>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0"/>
          </w:cols>
          <w:pgMar w:left="229" w:top="45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Millions of Dollars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Purchased</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Cost/time to complete</w:t>
            </w:r>
          </w:p>
        </w:tc>
        <w:tc>
          <w:tcPr>
            <w:tcW w:w="260" w:type="dxa"/>
            <w:vAlign w:val="bottom"/>
          </w:tcPr>
          <w:p>
            <w:pPr>
              <w:spacing w:after="0"/>
              <w:rPr>
                <w:sz w:val="14"/>
                <w:szCs w:val="14"/>
                <w:color w:val="auto"/>
              </w:rPr>
            </w:pPr>
          </w:p>
        </w:tc>
        <w:tc>
          <w:tcPr>
            <w:tcW w:w="7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Year</w:t>
            </w: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left="608"/>
              <w:spacing w:after="0"/>
              <w:rPr>
                <w:sz w:val="20"/>
                <w:szCs w:val="20"/>
                <w:color w:val="auto"/>
              </w:rPr>
            </w:pPr>
            <w:r>
              <w:rPr>
                <w:rFonts w:ascii="Courier New" w:cs="Courier New" w:eastAsia="Courier New" w:hAnsi="Courier New"/>
                <w:sz w:val="14"/>
                <w:szCs w:val="14"/>
                <w:color w:val="auto"/>
              </w:rPr>
              <w:t>in-process</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R&amp;D projects</w:t>
            </w:r>
          </w:p>
        </w:tc>
        <w:tc>
          <w:tcPr>
            <w:tcW w:w="96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cash flows</w:t>
            </w: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Entity</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Consid-</w:t>
            </w:r>
          </w:p>
        </w:tc>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Deferred</w:t>
            </w:r>
          </w:p>
        </w:tc>
        <w:tc>
          <w:tcPr>
            <w:tcW w:w="1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R&amp;D</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Appraisal</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R&amp;D</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Discount</w:t>
            </w:r>
          </w:p>
        </w:tc>
        <w:tc>
          <w:tcPr>
            <w:tcW w:w="1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projected</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acquired</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eration</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Goodwill</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intan-</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compen-</w:t>
            </w:r>
          </w:p>
        </w:tc>
        <w:tc>
          <w:tcPr>
            <w:tcW w:w="74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charge</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method</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focus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rate</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At</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w w:val="83"/>
              </w:rPr>
              <w:t>to</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begin</w:t>
            </w: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gibles</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sation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acquisition Mar. 2001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w w:val="99"/>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  ----</w:t>
            </w:r>
          </w:p>
        </w:tc>
        <w:tc>
          <w:tcPr>
            <w:tcW w:w="21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Alantro</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Third</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$277</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$ 81</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52</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Exclusion</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Wireless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$4.1/</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$6.5/260</w:t>
            </w:r>
          </w:p>
        </w:tc>
        <w:tc>
          <w:tcPr>
            <w:tcW w:w="260" w:type="dxa"/>
            <w:vAlign w:val="bottom"/>
          </w:tcPr>
          <w:p>
            <w:pPr>
              <w:spacing w:after="0"/>
              <w:rPr>
                <w:sz w:val="24"/>
                <w:szCs w:val="24"/>
                <w:color w:val="auto"/>
              </w:rPr>
            </w:pPr>
          </w:p>
        </w:tc>
        <w:tc>
          <w:tcPr>
            <w:tcW w:w="7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Commun-</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quarter</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approach</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networking</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256</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engineer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ications,</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technology</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engineer</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months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Inc.</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for home</w:t>
            </w:r>
          </w:p>
        </w:tc>
        <w:tc>
          <w:tcPr>
            <w:tcW w:w="7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months</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and office</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Dot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Third</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$467</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$302</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$ 46</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119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60</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Exclusion</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Architec-</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$2.9/</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Project</w:t>
            </w:r>
          </w:p>
        </w:tc>
        <w:tc>
          <w:tcPr>
            <w:tcW w:w="260" w:type="dxa"/>
            <w:vAlign w:val="bottom"/>
          </w:tcPr>
          <w:p>
            <w:pPr>
              <w:spacing w:after="0"/>
              <w:rPr>
                <w:sz w:val="24"/>
                <w:szCs w:val="24"/>
                <w:color w:val="auto"/>
              </w:rPr>
            </w:pPr>
          </w:p>
        </w:tc>
        <w:tc>
          <w:tcPr>
            <w:tcW w:w="7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Wireless,</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quarter</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approach</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ture for</w:t>
            </w:r>
          </w:p>
        </w:tc>
        <w:tc>
          <w:tcPr>
            <w:tcW w:w="7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172</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completed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Inc.</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7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engineer</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generation</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months</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(3G) wire-</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less de-</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vices for</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delivering</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4"/>
          <w:szCs w:val="14"/>
          <w:color w:val="auto"/>
        </w:rPr>
        <w:t>voice and</w:t>
      </w:r>
    </w:p>
    <w:p>
      <w:pPr>
        <w:spacing w:after="0" w:line="8" w:lineRule="exact"/>
        <w:rPr>
          <w:sz w:val="20"/>
          <w:szCs w:val="20"/>
          <w:color w:val="auto"/>
        </w:rPr>
      </w:pPr>
    </w:p>
    <w:p>
      <w:pPr>
        <w:ind w:left="6960"/>
        <w:spacing w:after="0"/>
        <w:rPr>
          <w:sz w:val="20"/>
          <w:szCs w:val="20"/>
          <w:color w:val="auto"/>
        </w:rPr>
      </w:pPr>
      <w:r>
        <w:rPr>
          <w:rFonts w:ascii="Courier New" w:cs="Courier New" w:eastAsia="Courier New" w:hAnsi="Courier New"/>
          <w:sz w:val="14"/>
          <w:szCs w:val="14"/>
          <w:color w:val="auto"/>
        </w:rPr>
        <w:t>high speed</w:t>
      </w:r>
    </w:p>
    <w:p>
      <w:pPr>
        <w:spacing w:after="0" w:line="8" w:lineRule="exact"/>
        <w:rPr>
          <w:sz w:val="20"/>
          <w:szCs w:val="20"/>
          <w:color w:val="auto"/>
        </w:rPr>
      </w:pPr>
    </w:p>
    <w:p>
      <w:pPr>
        <w:ind w:left="6960"/>
        <w:spacing w:after="0"/>
        <w:rPr>
          <w:sz w:val="20"/>
          <w:szCs w:val="20"/>
          <w:color w:val="auto"/>
        </w:rPr>
      </w:pPr>
      <w:r>
        <w:rPr>
          <w:rFonts w:ascii="Courier New" w:cs="Courier New" w:eastAsia="Courier New" w:hAnsi="Courier New"/>
          <w:sz w:val="14"/>
          <w:szCs w:val="14"/>
          <w:color w:val="auto"/>
        </w:rPr>
        <w:t>data to</w:t>
      </w:r>
    </w:p>
    <w:p>
      <w:pPr>
        <w:spacing w:after="0" w:line="8" w:lineRule="exact"/>
        <w:rPr>
          <w:sz w:val="20"/>
          <w:szCs w:val="20"/>
          <w:color w:val="auto"/>
        </w:rPr>
      </w:pPr>
    </w:p>
    <w:p>
      <w:pPr>
        <w:ind w:left="6960"/>
        <w:spacing w:after="0"/>
        <w:rPr>
          <w:sz w:val="20"/>
          <w:szCs w:val="20"/>
          <w:color w:val="auto"/>
        </w:rPr>
      </w:pPr>
      <w:r>
        <w:rPr>
          <w:rFonts w:ascii="Courier New" w:cs="Courier New" w:eastAsia="Courier New" w:hAnsi="Courier New"/>
          <w:sz w:val="14"/>
          <w:szCs w:val="14"/>
          <w:color w:val="auto"/>
        </w:rPr>
        <w:t>mobile</w:t>
      </w:r>
    </w:p>
    <w:p>
      <w:pPr>
        <w:spacing w:after="0" w:line="8" w:lineRule="exact"/>
        <w:rPr>
          <w:sz w:val="20"/>
          <w:szCs w:val="20"/>
          <w:color w:val="auto"/>
        </w:rPr>
      </w:pPr>
    </w:p>
    <w:p>
      <w:pPr>
        <w:ind w:left="6960"/>
        <w:spacing w:after="0"/>
        <w:rPr>
          <w:sz w:val="20"/>
          <w:szCs w:val="20"/>
          <w:color w:val="auto"/>
        </w:rPr>
      </w:pPr>
      <w:r>
        <w:rPr>
          <w:rFonts w:ascii="Courier New" w:cs="Courier New" w:eastAsia="Courier New" w:hAnsi="Courier New"/>
          <w:sz w:val="14"/>
          <w:szCs w:val="14"/>
          <w:color w:val="auto"/>
        </w:rPr>
        <w:t>users</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1380"/>
          </w:cols>
          <w:pgMar w:left="220" w:top="787" w:right="299" w:bottom="1440" w:gutter="0" w:footer="0" w:header="0"/>
        </w:sectPr>
      </w:pPr>
    </w:p>
    <w:bookmarkStart w:id="8" w:name="page9"/>
    <w:bookmarkEnd w:id="8"/>
    <w:p>
      <w:pPr>
        <w:ind w:left="440" w:hanging="431"/>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 reconciliation of individual restructuring accruals (in millions of dollars).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Year of Charge</w:t>
            </w: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140" w:type="dxa"/>
            <w:vAlign w:val="bottom"/>
            <w:gridSpan w:val="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128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Balance, prior</w:t>
            </w: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Voluntary</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SC</w:t>
            </w:r>
          </w:p>
        </w:tc>
      </w:tr>
      <w:tr>
        <w:trPr>
          <w:trHeight w:val="167"/>
        </w:trPr>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actions --</w:t>
            </w: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primarily</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S&amp;C</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SC and S&amp;C</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E&amp;PS</w:t>
            </w:r>
          </w:p>
        </w:tc>
        <w:tc>
          <w:tcPr>
            <w:tcW w:w="3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retirement</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site</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international</w:t>
            </w:r>
          </w:p>
        </w:tc>
      </w:tr>
      <w:tr>
        <w:trPr>
          <w:trHeight w:val="167"/>
        </w:trPr>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severance and business</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site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restructuring</w:t>
            </w:r>
          </w:p>
        </w:tc>
        <w:tc>
          <w:tcPr>
            <w:tcW w:w="8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severance</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program</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closing</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restructuring</w:t>
            </w: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Description*</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2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divestiture related</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closing</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actions</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action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U.S.</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U.S.</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actions</w:t>
            </w: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  ---------</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BALANCE, DECEMBER 31, 2000.</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$ 46</w:t>
            </w:r>
          </w:p>
        </w:tc>
        <w:tc>
          <w:tcPr>
            <w:tcW w:w="1100" w:type="dxa"/>
            <w:vAlign w:val="bottom"/>
          </w:tcPr>
          <w:p>
            <w:pPr>
              <w:spacing w:after="0"/>
              <w:rPr>
                <w:sz w:val="24"/>
                <w:szCs w:val="2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$ 10</w:t>
            </w:r>
          </w:p>
        </w:tc>
        <w:tc>
          <w:tcPr>
            <w:tcW w:w="520" w:type="dxa"/>
            <w:vAlign w:val="bottom"/>
          </w:tcPr>
          <w:p>
            <w:pPr>
              <w:jc w:val="center"/>
              <w:ind w:left="16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CHARGES:</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Severance .................</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$ 11</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$ 16</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$ 16</w:t>
            </w: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Incremental depreciation...</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w:t>
            </w:r>
          </w:p>
        </w:tc>
        <w:tc>
          <w:tcPr>
            <w:tcW w:w="1280" w:type="dxa"/>
            <w:vAlign w:val="bottom"/>
          </w:tcPr>
          <w:p>
            <w:pPr>
              <w:spacing w:after="0"/>
              <w:rPr>
                <w:sz w:val="14"/>
                <w:szCs w:val="14"/>
                <w:color w:val="auto"/>
              </w:rPr>
            </w:pP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Various charges ...........</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w:t>
            </w:r>
          </w:p>
        </w:tc>
        <w:tc>
          <w:tcPr>
            <w:tcW w:w="1280" w:type="dxa"/>
            <w:vAlign w:val="bottom"/>
          </w:tcPr>
          <w:p>
            <w:pPr>
              <w:spacing w:after="0"/>
              <w:rPr>
                <w:sz w:val="14"/>
                <w:szCs w:val="14"/>
                <w:color w:val="auto"/>
              </w:rPr>
            </w:pP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DISPOSITIONS:</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Severance payments ........</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11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w:t>
            </w:r>
          </w:p>
        </w:tc>
        <w:tc>
          <w:tcPr>
            <w:tcW w:w="10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w:t>
            </w: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Non-cash asset charges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Change in estimates........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BALANCE, MARCH 31, 2001</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$ 44</w:t>
            </w:r>
          </w:p>
        </w:tc>
        <w:tc>
          <w:tcPr>
            <w:tcW w:w="11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8</w:t>
            </w:r>
          </w:p>
        </w:tc>
        <w:tc>
          <w:tcPr>
            <w:tcW w:w="520" w:type="dxa"/>
            <w:vAlign w:val="bottom"/>
          </w:tcPr>
          <w:p>
            <w:pPr>
              <w:jc w:val="center"/>
              <w:ind w:left="16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$ 11</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$ 19</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$ 14</w:t>
            </w:r>
          </w:p>
        </w:tc>
      </w:tr>
      <w:tr>
        <w:trPr>
          <w:trHeight w:val="167"/>
        </w:trPr>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501"/>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*Abbreviations</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SC</w:t>
            </w:r>
          </w:p>
        </w:tc>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 Semiconductor Business</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S&amp;C</w:t>
            </w:r>
          </w:p>
        </w:tc>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 Sensors &amp; Controls Business</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E&amp;PS</w:t>
            </w:r>
          </w:p>
        </w:tc>
        <w:tc>
          <w:tcPr>
            <w:tcW w:w="4880" w:type="dxa"/>
            <w:vAlign w:val="bottom"/>
            <w:gridSpan w:val="4"/>
          </w:tcPr>
          <w:p>
            <w:pPr>
              <w:spacing w:after="0"/>
              <w:rPr>
                <w:sz w:val="20"/>
                <w:szCs w:val="20"/>
                <w:color w:val="auto"/>
              </w:rPr>
            </w:pPr>
            <w:r>
              <w:rPr>
                <w:rFonts w:ascii="Courier New" w:cs="Courier New" w:eastAsia="Courier New" w:hAnsi="Courier New"/>
                <w:sz w:val="14"/>
                <w:szCs w:val="14"/>
                <w:color w:val="auto"/>
              </w:rPr>
              <w:t>= Educational &amp; Productivity Solutions Business</w:t>
            </w: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68"/>
        </w:trPr>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540"/>
          </w:cols>
          <w:pgMar w:left="220" w:top="954" w:right="139" w:bottom="1440" w:gutter="0" w:footer="0" w:header="0"/>
        </w:sectPr>
      </w:pPr>
    </w:p>
    <w:bookmarkStart w:id="9" w:name="page10"/>
    <w:bookmarkEnd w:id="9"/>
    <w:p>
      <w:pPr>
        <w:ind w:left="431" w:right="3279" w:hanging="431"/>
        <w:spacing w:after="0" w:line="253" w:lineRule="auto"/>
        <w:tabs>
          <w:tab w:leader="none" w:pos="43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adopted SFAS No. 133 in the first quarter of 2001. The standard requires that all derivatives be marked-to-market on an ongoing basis. Along with the derivatives, underlying hedged items are also to be marked-to-market on an ongoing basis. The standard, which did not have a material impact on the company, was adopted effective January 1, 2001, on a cumulative basis. The cumulative effect of the accounting change on prior years was insignificant and is not separately presented. Following is a discussion of derivatives held by the company at March 31, 2001.</w:t>
      </w:r>
    </w:p>
    <w:p>
      <w:pPr>
        <w:spacing w:after="0" w:line="164" w:lineRule="exact"/>
        <w:rPr>
          <w:rFonts w:ascii="Courier New" w:cs="Courier New" w:eastAsia="Courier New" w:hAnsi="Courier New"/>
          <w:sz w:val="14"/>
          <w:szCs w:val="14"/>
          <w:color w:val="auto"/>
        </w:rPr>
      </w:pPr>
    </w:p>
    <w:p>
      <w:pPr>
        <w:ind w:left="43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fair value hedge: the company has interest rate swaps that, with no ineffectiveness, change the characteristics of the interest payments on its $300 million of 6.125% notes due 2006 from fixed-rate payments to short-term LIBOR-based variable rate payments in order to achieve a mix of interest rates on the company's long-term debt, which over time is expected to moderate financing costs.</w:t>
      </w:r>
    </w:p>
    <w:p>
      <w:pPr>
        <w:spacing w:after="0" w:line="165" w:lineRule="exact"/>
        <w:rPr>
          <w:rFonts w:ascii="Courier New" w:cs="Courier New" w:eastAsia="Courier New" w:hAnsi="Courier New"/>
          <w:sz w:val="14"/>
          <w:szCs w:val="14"/>
          <w:color w:val="auto"/>
        </w:rPr>
      </w:pPr>
    </w:p>
    <w:p>
      <w:pPr>
        <w:ind w:left="431"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derivatives: the company uses short-term forward currency exchange contracts to minimize the adverse earnings impact from the effect of exchange rate fluctuations on the company's non-U.S. dollar net balance sheet exposures (the U.S. dollar is the functional currency for financial reporting). At March 31, 2001, the company had forward currency exchange contracts outstanding, in millions of dollars, of $419 (including $122 to buy euros, $113 to sell yen and $46 to buy Taiwan dollars).</w:t>
      </w:r>
    </w:p>
    <w:p>
      <w:pPr>
        <w:spacing w:after="0" w:line="164" w:lineRule="exact"/>
        <w:rPr>
          <w:rFonts w:ascii="Courier New" w:cs="Courier New" w:eastAsia="Courier New" w:hAnsi="Courier New"/>
          <w:sz w:val="14"/>
          <w:szCs w:val="14"/>
          <w:color w:val="auto"/>
        </w:rPr>
      </w:pPr>
    </w:p>
    <w:p>
      <w:pPr>
        <w:ind w:left="431"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uses short-term TI stock collars (cash settlement only) to minimize the adverse earnings impact from the effect of stock market value fluctuations on the portion of the company's deferred compensation obligations denominated in TI stock ($30 million at March 31, 2001).</w:t>
      </w:r>
    </w:p>
    <w:p>
      <w:pPr>
        <w:spacing w:after="0" w:line="163" w:lineRule="exact"/>
        <w:rPr>
          <w:rFonts w:ascii="Courier New" w:cs="Courier New" w:eastAsia="Courier New" w:hAnsi="Courier New"/>
          <w:sz w:val="14"/>
          <w:szCs w:val="14"/>
          <w:color w:val="auto"/>
        </w:rPr>
      </w:pPr>
    </w:p>
    <w:p>
      <w:pPr>
        <w:ind w:left="431"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several stock investment warrants considered derivatives. At March 31, 2001, their aggregate value was less than $0.5 million.</w:t>
      </w:r>
    </w:p>
    <w:p>
      <w:pPr>
        <w:spacing w:after="0" w:line="159" w:lineRule="exact"/>
        <w:rPr>
          <w:rFonts w:ascii="Courier New" w:cs="Courier New" w:eastAsia="Courier New" w:hAnsi="Courier New"/>
          <w:sz w:val="14"/>
          <w:szCs w:val="14"/>
          <w:color w:val="auto"/>
        </w:rPr>
      </w:pPr>
    </w:p>
    <w:p>
      <w:pPr>
        <w:ind w:left="431" w:right="3379" w:hanging="431"/>
        <w:spacing w:after="0" w:line="255" w:lineRule="auto"/>
        <w:tabs>
          <w:tab w:leader="none" w:pos="43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$29 million cumulative effect of an accounting change in first quarter 2000 related to the company's adoption that year of Staff Accounting Bulletin No. 101 on revenue recognition.</w:t>
      </w:r>
    </w:p>
    <w:p>
      <w:pPr>
        <w:spacing w:after="0" w:line="329"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0"/>
          </w:cols>
          <w:pgMar w:left="229" w:top="453" w:right="1440" w:bottom="1440" w:gutter="0" w:footer="0" w:header="0"/>
        </w:sectPr>
      </w:pPr>
    </w:p>
    <w:bookmarkStart w:id="10" w:name="page11"/>
    <w:bookmarkEnd w:id="10"/>
    <w:p>
      <w:pPr>
        <w:ind w:right="3979"/>
        <w:spacing w:after="0" w:line="258" w:lineRule="auto"/>
        <w:rPr>
          <w:sz w:val="20"/>
          <w:szCs w:val="20"/>
          <w:color w:val="auto"/>
        </w:rPr>
      </w:pPr>
      <w:r>
        <w:rPr>
          <w:rFonts w:ascii="Courier New" w:cs="Courier New" w:eastAsia="Courier New" w:hAnsi="Courier New"/>
          <w:sz w:val="14"/>
          <w:szCs w:val="14"/>
          <w:color w:val="auto"/>
        </w:rPr>
        <w:t>ITEM 2. Management's Discussion and Analysis of Financial Condition and Results of Operations.</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Registrant (the "company" or "TI") announced first-quarter financial results that show revenue in the quarter was $2528 million, down 17 percent sequentially. Results were impacted by a combination of weak electronic end-equipment demand and excess customer inventories, resulting in reduced demand for its semiconductor products.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Early in the first quarter, TI began an aggressive cost-reduction plan to limit the impact of reduced revenue on profitability. Actions have included a voluntary retirement program, shortened workweeks in some areas, and consolidation of certain manufacturing operations. Overhead costs were significantly reduced, maintaining selling, general and administrative expenses, excluding acquisition-related amortization and special charges, at the same percentage of revenue as in the fourth quarter. To further align the company's expenses with near-term revenue expectations, TI will lay off about 2,500, or 6 percent, of its employees worldwide. These reductions will begin in the second quarter and the company will take associated special charges at that time. Most of these job eliminations are in support functions and manufacturing. In total, these actions are expected to result in annualized savings of approximately $400 million when completed.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FINANCIAL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first quarter of 2001, TI reported the following:</w:t>
      </w:r>
    </w:p>
    <w:p>
      <w:pPr>
        <w:spacing w:after="0" w:line="175" w:lineRule="exact"/>
        <w:rPr>
          <w:sz w:val="20"/>
          <w:szCs w:val="20"/>
          <w:color w:val="auto"/>
        </w:rPr>
      </w:pPr>
    </w:p>
    <w:p>
      <w:pPr>
        <w:ind w:left="880" w:right="3459" w:hanging="437"/>
        <w:spacing w:after="0" w:line="255"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 for TI was $2528 million, down 8 percent from $2761 million in the year-ago quarter and down 17 percent sequentially due to weakness in semiconductor.</w:t>
      </w:r>
    </w:p>
    <w:p>
      <w:pPr>
        <w:spacing w:after="0" w:line="162" w:lineRule="exact"/>
        <w:rPr>
          <w:rFonts w:ascii="Courier New" w:cs="Courier New" w:eastAsia="Courier New" w:hAnsi="Courier New"/>
          <w:sz w:val="14"/>
          <w:szCs w:val="14"/>
          <w:color w:val="auto"/>
        </w:rPr>
      </w:pPr>
    </w:p>
    <w:p>
      <w:pPr>
        <w:ind w:left="880" w:right="3279" w:hanging="437"/>
        <w:spacing w:after="0" w:line="255"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of revenues in the first quarter was $1505 million, compared with $1420 million in the year-ago quarter. Cost of revenues increased primarily due to increased manufacturing overhead.</w:t>
      </w:r>
    </w:p>
    <w:p>
      <w:pPr>
        <w:spacing w:after="0" w:line="162" w:lineRule="exact"/>
        <w:rPr>
          <w:rFonts w:ascii="Courier New" w:cs="Courier New" w:eastAsia="Courier New" w:hAnsi="Courier New"/>
          <w:sz w:val="14"/>
          <w:szCs w:val="14"/>
          <w:color w:val="auto"/>
        </w:rPr>
      </w:pPr>
    </w:p>
    <w:p>
      <w:pPr>
        <w:ind w:left="880" w:right="3719" w:hanging="437"/>
        <w:spacing w:after="0" w:line="255"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(R&amp;D) totaled $446 million, up from $386 million in the first quarter of 2000 primarily due to increased investment in DSP and 300mm process technology.</w:t>
      </w:r>
    </w:p>
    <w:p>
      <w:pPr>
        <w:spacing w:after="0" w:line="162" w:lineRule="exact"/>
        <w:rPr>
          <w:rFonts w:ascii="Courier New" w:cs="Courier New" w:eastAsia="Courier New" w:hAnsi="Courier New"/>
          <w:sz w:val="14"/>
          <w:szCs w:val="14"/>
          <w:color w:val="auto"/>
        </w:rPr>
      </w:pPr>
    </w:p>
    <w:p>
      <w:pPr>
        <w:ind w:left="880" w:right="3379" w:hanging="437"/>
        <w:spacing w:after="0" w:line="254"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general and administrative expense in the quarter was $348 million, down from $401 million in the year-ago quarter primarily due to reduced profit sharing and bonus accruals. The decrease was more than the total decrease in TI revenues, on a percentage basis.</w:t>
      </w:r>
    </w:p>
    <w:p>
      <w:pPr>
        <w:spacing w:after="0" w:line="163" w:lineRule="exact"/>
        <w:rPr>
          <w:rFonts w:ascii="Courier New" w:cs="Courier New" w:eastAsia="Courier New" w:hAnsi="Courier New"/>
          <w:sz w:val="14"/>
          <w:szCs w:val="14"/>
          <w:color w:val="auto"/>
        </w:rPr>
      </w:pPr>
    </w:p>
    <w:p>
      <w:pPr>
        <w:ind w:left="880" w:right="3459" w:hanging="437"/>
        <w:spacing w:after="0" w:line="255"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 net decreased from $128 million in the first quarter of 2000 to $107 million in the first quarter of 2001, due to decreased net investment gains.</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income tax rate for the quarter was 28.2 percent.</w:t>
      </w:r>
    </w:p>
    <w:p>
      <w:pPr>
        <w:spacing w:after="0" w:line="175" w:lineRule="exact"/>
        <w:rPr>
          <w:rFonts w:ascii="Courier New" w:cs="Courier New" w:eastAsia="Courier New" w:hAnsi="Courier New"/>
          <w:sz w:val="14"/>
          <w:szCs w:val="14"/>
          <w:color w:val="auto"/>
        </w:rPr>
      </w:pPr>
    </w:p>
    <w:p>
      <w:pPr>
        <w:ind w:left="880" w:right="3279" w:hanging="437"/>
        <w:spacing w:after="0" w:line="254"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 orders in the first quarter were $1898 million, down from $2996 million in the year-ago quarter and $2772 million in the fourth quarter of 2000 due to weak electronic end-equipment demand and excess customer inventories.</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Results for this quarter include net special charges of $50 million, of which $11 million is severance cost for first-quarter employee acceptances under the U.S. voluntary retirement program (which covers the corporate, semiconductor and sensors &amp; controls activities and expired April 16, 2001), $16 million is severance cost for restructuring actions in international semiconductor locations, mostly in Germany, and $25 million relates to the fourth-quarter 2001 closing of a semiconductor manufacturing facility in Santa Cruz, California.</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3" w:right="1440" w:bottom="1440" w:gutter="0" w:footer="0" w:header="0"/>
        </w:sectPr>
      </w:pPr>
    </w:p>
    <w:bookmarkStart w:id="11" w:name="page12"/>
    <w:bookmarkEnd w:id="11"/>
    <w:p>
      <w:pPr>
        <w:ind w:right="3379"/>
        <w:spacing w:after="0" w:line="254" w:lineRule="auto"/>
        <w:rPr>
          <w:sz w:val="20"/>
          <w:szCs w:val="20"/>
          <w:color w:val="auto"/>
        </w:rPr>
      </w:pPr>
      <w:r>
        <w:rPr>
          <w:rFonts w:ascii="Courier New" w:cs="Courier New" w:eastAsia="Courier New" w:hAnsi="Courier New"/>
          <w:sz w:val="14"/>
          <w:szCs w:val="14"/>
          <w:color w:val="auto"/>
        </w:rPr>
        <w:t>For the first quarter of 2000, results include special charges of $29 million associated with actions including the closing of the sensors &amp; controls manufacturing facility in Versailles, Kentucky, and TI's acquisition of Toccata Technology ApS.</w:t>
      </w:r>
    </w:p>
    <w:p>
      <w:pPr>
        <w:spacing w:after="0" w:line="16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For the fourth quarter of 2000, the company recorded a pretax charge of $3 million for a severance action by the Educational &amp; Productivity Solutions (E&amp;PS) business affecting 51 jobs in Europe and the U.S. The company also recorded a charge of $9 million in the quarter for additional pooling of interests transaction costs from the third-quarter 2000 Burr-Brown Corporation acquisition.</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fourth quarter of 2000, TI recognized a gain of $88 million from the sale of its memory business. Gain recognition had previously been deferred pending repayment of the remaining TI-provided financing for the 1998 transaction, which occurred in the fourth quarter of 2000. TI also recognized a gain of $56 million from the sale of the materials portion of the Sensors &amp; Controls business. In addition, TI recorded a $69 million credit to the provision for income taxes from the reduction of deferred tax valuation allowances, primarily in Japan.</w:t>
      </w:r>
    </w:p>
    <w:p>
      <w:pPr>
        <w:spacing w:after="0" w:line="33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Additional information relating to these items appears below under the heading "Special Charges and Gains."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TI expects revenue to decline about 20 percent sequentially in the second quarter as semiconductor customers continue to work through excess inventories in an environment in which consumption of their electronic end-equipment products continues to be weak. Due to continuing uncertain economic conditions, it is unclear when demand for TI's semiconductor products will strengthen.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Specifically, TI expects the following for the second quarter:</w:t>
      </w:r>
    </w:p>
    <w:p>
      <w:pPr>
        <w:spacing w:after="0" w:line="175" w:lineRule="exact"/>
        <w:rPr>
          <w:sz w:val="20"/>
          <w:szCs w:val="20"/>
          <w:color w:val="auto"/>
        </w:rPr>
      </w:pPr>
    </w:p>
    <w:p>
      <w:pPr>
        <w:ind w:left="880" w:right="3719" w:hanging="437"/>
        <w:spacing w:after="0" w:line="258"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from semiconductor to decline sequentially, with weakness affecting almost all product areas;</w:t>
      </w:r>
    </w:p>
    <w:p>
      <w:pPr>
        <w:spacing w:after="0" w:line="159" w:lineRule="exact"/>
        <w:rPr>
          <w:rFonts w:ascii="Courier New" w:cs="Courier New" w:eastAsia="Courier New" w:hAnsi="Courier New"/>
          <w:sz w:val="14"/>
          <w:szCs w:val="14"/>
          <w:color w:val="auto"/>
        </w:rPr>
      </w:pPr>
    </w:p>
    <w:p>
      <w:pPr>
        <w:ind w:left="880" w:right="3539" w:hanging="437"/>
        <w:spacing w:after="0" w:line="255"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from TI's non-semiconductor activities, including Sensors &amp; Controls and E&amp;PS, to increase sequentially, primarily reflecting seasonal retail stocking for back-to-school sales of calculators;</w:t>
      </w:r>
    </w:p>
    <w:p>
      <w:pPr>
        <w:spacing w:after="0" w:line="162" w:lineRule="exact"/>
        <w:rPr>
          <w:rFonts w:ascii="Courier New" w:cs="Courier New" w:eastAsia="Courier New" w:hAnsi="Courier New"/>
          <w:sz w:val="14"/>
          <w:szCs w:val="14"/>
          <w:color w:val="auto"/>
        </w:rPr>
      </w:pPr>
    </w:p>
    <w:p>
      <w:pPr>
        <w:ind w:left="880" w:right="3459" w:hanging="437"/>
        <w:spacing w:after="0" w:line="255"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margin to decline to about breakeven in the second quarter before the effect of special charges and amortization of acquisition-related intangibles as a result of lower revenue; and</w:t>
      </w:r>
    </w:p>
    <w:p>
      <w:pPr>
        <w:spacing w:after="0" w:line="162" w:lineRule="exact"/>
        <w:rPr>
          <w:rFonts w:ascii="Courier New" w:cs="Courier New" w:eastAsia="Courier New" w:hAnsi="Courier New"/>
          <w:sz w:val="14"/>
          <w:szCs w:val="14"/>
          <w:color w:val="auto"/>
        </w:rPr>
      </w:pPr>
    </w:p>
    <w:p>
      <w:pPr>
        <w:ind w:left="880" w:right="3379" w:hanging="437"/>
        <w:spacing w:after="0" w:line="258"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Non-operating income to decline to about $40 million sequentially due to reduced investment gains and interest income.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2001, TI expects the following:</w:t>
      </w:r>
    </w:p>
    <w:p>
      <w:pPr>
        <w:spacing w:after="0" w:line="175" w:lineRule="exact"/>
        <w:rPr>
          <w:sz w:val="20"/>
          <w:szCs w:val="20"/>
          <w:color w:val="auto"/>
        </w:rPr>
      </w:pPr>
    </w:p>
    <w:p>
      <w:pPr>
        <w:ind w:left="880" w:right="3539" w:hanging="437"/>
        <w:spacing w:after="0" w:line="255"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R&amp;D of $1.6 billion, excluding acquisition-related amortization and purchased in-process R&amp;D, down from the prior estimate of $1.7 billion;</w:t>
      </w:r>
    </w:p>
    <w:p>
      <w:pPr>
        <w:spacing w:after="0" w:line="162" w:lineRule="exact"/>
        <w:rPr>
          <w:rFonts w:ascii="Courier New" w:cs="Courier New" w:eastAsia="Courier New" w:hAnsi="Courier New"/>
          <w:sz w:val="14"/>
          <w:szCs w:val="14"/>
          <w:color w:val="auto"/>
        </w:rPr>
      </w:pPr>
    </w:p>
    <w:p>
      <w:pPr>
        <w:ind w:left="880" w:right="3379" w:hanging="437"/>
        <w:spacing w:after="0" w:line="258"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expenditures of $1.8 billion, down from the prior estimate of $2.0 billion;</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Depreciation of $1.5 billion, unchanged from the prior estimate; and</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Amortization of acquisition-related costs of $240 million.</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SEMICONDUCTOR</w:t>
      </w:r>
    </w:p>
    <w:p>
      <w:pPr>
        <w:spacing w:after="0" w:line="175" w:lineRule="exact"/>
        <w:rPr>
          <w:sz w:val="20"/>
          <w:szCs w:val="20"/>
          <w:color w:val="auto"/>
        </w:rPr>
      </w:pPr>
    </w:p>
    <w:p>
      <w:pPr>
        <w:jc w:val="both"/>
        <w:ind w:right="3539"/>
        <w:spacing w:after="0" w:line="255" w:lineRule="auto"/>
        <w:rPr>
          <w:sz w:val="20"/>
          <w:szCs w:val="20"/>
          <w:color w:val="auto"/>
        </w:rPr>
      </w:pPr>
      <w:r>
        <w:rPr>
          <w:rFonts w:ascii="Courier New" w:cs="Courier New" w:eastAsia="Courier New" w:hAnsi="Courier New"/>
          <w:sz w:val="14"/>
          <w:szCs w:val="14"/>
          <w:color w:val="auto"/>
        </w:rPr>
        <w:t>Semiconductor revenue in the first quarter was $2176 million, down from $2387 million in the same period in 2000 and $2695 million in the fourth quarter of 2000 due to weak demand across a breadth of products.</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Semiconductor operating profit for the first quarter was $304 million, or 14.0 percent of revenue, compared with $612 million in the year-ago period and $679 million in the fourth quarter of 2000, primarily due to reduced product revenue and, to a lesser extent, lower royalties.</w:t>
      </w:r>
    </w:p>
    <w:p>
      <w:pPr>
        <w:spacing w:after="0" w:line="163"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Analog revenue was up 2 percent from the year-ago period, and declined 17 percent sequentially due to lower shipments. DSP revenue decreased 28 percent from the same quarter a year ago and 21 percent sequentially due to lower shipments. Analog and DSP comprised about 65 percent of TI's semiconductor revenue.</w:t>
      </w:r>
    </w:p>
    <w:p>
      <w:pPr>
        <w:spacing w:after="0" w:line="16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TI's remaining semiconductor revenue decreased from the year-ago quarter and from the fourth quarter of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TI's semiconductor revenue in TI's key markets was as follows:</w:t>
      </w:r>
    </w:p>
    <w:p>
      <w:pPr>
        <w:spacing w:after="0" w:line="175" w:lineRule="exact"/>
        <w:rPr>
          <w:sz w:val="20"/>
          <w:szCs w:val="20"/>
          <w:color w:val="auto"/>
        </w:rPr>
      </w:pPr>
    </w:p>
    <w:p>
      <w:pPr>
        <w:ind w:left="880" w:right="3279" w:hanging="437"/>
        <w:spacing w:after="0" w:line="258"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wireless declined 34 percent compared with the year-ago quarter and 25 percent sequentially;</w:t>
      </w:r>
    </w:p>
    <w:p>
      <w:pPr>
        <w:spacing w:after="0" w:line="159" w:lineRule="exact"/>
        <w:rPr>
          <w:rFonts w:ascii="Courier New" w:cs="Courier New" w:eastAsia="Courier New" w:hAnsi="Courier New"/>
          <w:sz w:val="14"/>
          <w:szCs w:val="14"/>
          <w:color w:val="auto"/>
        </w:rPr>
      </w:pPr>
    </w:p>
    <w:p>
      <w:pPr>
        <w:ind w:left="880" w:right="3379" w:hanging="437"/>
        <w:spacing w:after="0" w:line="255"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catalog products, which includes DSP and high-performance Analog, increased 4 percent from the year-ago quarter and declined 15 percent sequentially; and</w:t>
      </w:r>
    </w:p>
    <w:p>
      <w:pPr>
        <w:spacing w:after="0" w:line="162" w:lineRule="exact"/>
        <w:rPr>
          <w:rFonts w:ascii="Courier New" w:cs="Courier New" w:eastAsia="Courier New" w:hAnsi="Courier New"/>
          <w:sz w:val="14"/>
          <w:szCs w:val="14"/>
          <w:color w:val="auto"/>
        </w:rPr>
      </w:pPr>
    </w:p>
    <w:p>
      <w:pPr>
        <w:ind w:left="880" w:right="3459" w:hanging="437"/>
        <w:spacing w:after="0" w:line="254"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broadband communications, which includes digital subscriber lines (DSL) and cable modems, was more than six times that of the year-ago quarter and increased 15 percent sequentially, driven by strength in DSL which grew more than 50 percent sequentially.</w:t>
      </w:r>
    </w:p>
    <w:p>
      <w:pPr>
        <w:spacing w:after="0" w:line="163" w:lineRule="exact"/>
        <w:rPr>
          <w:sz w:val="20"/>
          <w:szCs w:val="20"/>
          <w:color w:val="auto"/>
        </w:rPr>
      </w:pPr>
    </w:p>
    <w:p>
      <w:pPr>
        <w:jc w:val="both"/>
        <w:ind w:right="3799"/>
        <w:spacing w:after="0" w:line="258" w:lineRule="auto"/>
        <w:rPr>
          <w:sz w:val="20"/>
          <w:szCs w:val="20"/>
          <w:color w:val="auto"/>
        </w:rPr>
      </w:pPr>
      <w:r>
        <w:rPr>
          <w:rFonts w:ascii="Courier New" w:cs="Courier New" w:eastAsia="Courier New" w:hAnsi="Courier New"/>
          <w:sz w:val="14"/>
          <w:szCs w:val="14"/>
          <w:color w:val="auto"/>
        </w:rPr>
        <w:t>Semiconductor orders were down 42 percent from the year-ago quarter and 39 percent sequentially, reflecting weakness across almost all product areas.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SENSORS &amp; CONTROLS</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Sensors &amp; Controls revenue was $260 million, about even with the year-ago quarter. Sequentially, revenue increased 4 percent due to seasonal gains in control products.</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Operating profit was $51 million, or 19.5 percent of revenue, compared with $52 million in the year-ago quarter. Operating profit increased 20 percent from $42 million in the fourth quarter of 2000 due to lower production costs.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EDUCATIONAL &amp; PRODUCTIVITY SOLUTIONS (E&amp;PS)</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E&amp;PS revenue was $81 million, compared with $79 million in the year-ago quarter. Sequentially, revenue increased 23 percent as sales growth resumed following fourth-quarter inventory adjustments in the retail channel.</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Operating profit was $17 million, or 21.2 percent of revenue, up from $8 million in the year-ago quarter due to higher gross margin. Operating profit almost tripled from $6 million in the fourth quarter of 2000 primarily due to increased revenue.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FINANCIAL INFORMATION</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During the first three months of 2001, cash and cash equivalents plus short-term investments decreased by $914 million to $3089 million, primarily due to capital expenditures.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Cash flow from operating activities was $119 million for the quarter.</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Capital expenditures totaled $900 million in the first quarter of 2001 versus $647 million in the year-ago quarter.</w:t>
      </w:r>
    </w:p>
    <w:p>
      <w:pPr>
        <w:spacing w:after="0" w:line="160"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Depreciation for the first quarter of 2001 was $339 million, excluding the acceleration of depreciation associated with the fourth quarter closing of a semiconductor manufacturing facility in Santa Cruz, California, versus $262 million in the year-ago quarter.</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At the end of quarter, the debt-to-total-capital ratio was 0.09, versus 0.10 at the end of 2000.</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CHARGES AND GAINS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of 2001</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the first quarter of 2001, pretax charges of $50 million net were taken, of which $11 million was for severance cost for 241 first-quarter employee acceptances under the U.S. voluntary retirement program (which covers the corporate, semiconductor and sensors &amp; controls activities and expired April 16, 2001), $16 million was for severance cost for restructuring actions affecting 261 employees in international semiconductor locations, mostly in Germany, and $25 million relates to the fourth-quarter 2001 closing of a semiconductor manufacturing facility in Santa Cruz, California. Of the $25 million charge, $16 million was for severance cost for 600 employees and $5 million was for acceleration of depreciation over the remaining service life of the facility. Of the $50 million of net special charges, $44 million was an increase in cost of revenues, $7 million in selling, general and administrative expense, $2 million in research and development expense, and $3 million in other income. As of March 31, 2001, $2 million of the aggregate severance cost obligations had been paid. In total, these first-quarter actions, plus other actions affecting the second quarter discussed herein, are expected to result in annualized savings of approximately $400 million when completed.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 of 2000</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the fourth quarter of 2000, TI recognized a gain of $88 million from the sale of its memory business. Gain recognition had previously been deferred pending repayment of the remaining TI-provided financing for the 1998 transaction, which occurred in the fourth quarter of 2000. TI also recognized a gain of $56 million from the sale of the materials portion of the Sensors &amp; Controls business.</w:t>
      </w:r>
    </w:p>
    <w:p>
      <w:pPr>
        <w:spacing w:after="0" w:line="329"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fourth quarter of 2000, TI recorded a $69 million credit to the provision for income taxes from the reduction of deferred tax valuation allowances, primarily in Japan. The company also recorded a pretax charge of $3 million, included in selling, general and administrative expense, for a severance action by E&amp;PS affecting 51 jobs in Europe and the U.S. As of March 31, 2000, $2 million of the severance costs had been paid. The primary benefit from this action is reduced personnel costs, which are estimated to reach $6 million annually. The benefit began in the first quarter of 2001. The company also recorded a charge of $9 million in the quarter for additional pooling of interests transaction costs from the third-quarter 2000 Burr-Brown Corporation acquisition ($5 million included in selling, general and administrative expense and $4 million in cost of revenues).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of 2000</w:t>
      </w:r>
    </w:p>
    <w:p>
      <w:pPr>
        <w:spacing w:after="0" w:line="17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In the first quarter of 2000, pretax charges of $29 million were taken, associated with actions including the closing of the sensors &amp; controls</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3" w:right="1440" w:bottom="1440" w:gutter="0" w:footer="0" w:header="0"/>
        </w:sectPr>
      </w:pPr>
    </w:p>
    <w:bookmarkStart w:id="14" w:name="page15"/>
    <w:bookmarkEnd w:id="14"/>
    <w:p>
      <w:pPr>
        <w:ind w:right="3279"/>
        <w:spacing w:after="0" w:line="253" w:lineRule="auto"/>
        <w:rPr>
          <w:sz w:val="20"/>
          <w:szCs w:val="20"/>
          <w:color w:val="auto"/>
        </w:rPr>
      </w:pPr>
      <w:r>
        <w:rPr>
          <w:rFonts w:ascii="Courier New" w:cs="Courier New" w:eastAsia="Courier New" w:hAnsi="Courier New"/>
          <w:sz w:val="14"/>
          <w:szCs w:val="14"/>
          <w:color w:val="auto"/>
        </w:rPr>
        <w:t>manufacturing facility in Versailles, Kentucky, and TI's acquisition of Toccata Technology ApS. Of the $29 million charge, $12 million was for severance for the elimination of 480 jobs in Kentucky. Of the $29 million, $20 million is included in cost of revenues, $6 million in selling, general and administrative expense and $3 million in research and development. The primary benefit from the Kentucky action is reduced personnel costs, which are estimated to reach $10 million annually. The benefit began in the fourth quarter of 2000. As of March 31, 2001, $2 million of the severance cost had been paid.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In-Process R&amp;D Charges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Acquisition-related purchased in-process R&amp;D charges were zero in the first quarter of 2001 and $3 million in the first quarter of 2000. These charges are for R&amp;D from business purchase acquisitions.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Major assumptions, detailed in the following table, used in determining the value of significant purchased R&amp;D included the discount rate, the estimated beginning date of projected operating cash flows, and the remaining cost and time, in engineer-months, to complete the R&amp;D projects. The term "engineer month" refers to the average amount of research work expected to be performed by an engineer in a month.</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purchased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Millions of Dollars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Purchased</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Cost/time to complete</w:t>
            </w:r>
          </w:p>
        </w:tc>
        <w:tc>
          <w:tcPr>
            <w:tcW w:w="260" w:type="dxa"/>
            <w:vAlign w:val="bottom"/>
          </w:tcPr>
          <w:p>
            <w:pPr>
              <w:spacing w:after="0"/>
              <w:rPr>
                <w:sz w:val="14"/>
                <w:szCs w:val="14"/>
                <w:color w:val="auto"/>
              </w:rPr>
            </w:pPr>
          </w:p>
        </w:tc>
        <w:tc>
          <w:tcPr>
            <w:tcW w:w="7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Year</w:t>
            </w: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left="608"/>
              <w:spacing w:after="0"/>
              <w:rPr>
                <w:sz w:val="20"/>
                <w:szCs w:val="20"/>
                <w:color w:val="auto"/>
              </w:rPr>
            </w:pPr>
            <w:r>
              <w:rPr>
                <w:rFonts w:ascii="Courier New" w:cs="Courier New" w:eastAsia="Courier New" w:hAnsi="Courier New"/>
                <w:sz w:val="14"/>
                <w:szCs w:val="14"/>
                <w:color w:val="auto"/>
              </w:rPr>
              <w:t>in-process</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R&amp;D projects</w:t>
            </w:r>
          </w:p>
        </w:tc>
        <w:tc>
          <w:tcPr>
            <w:tcW w:w="96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cash flows</w:t>
            </w: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Entity</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Consid-</w:t>
            </w:r>
          </w:p>
        </w:tc>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Deferred</w:t>
            </w:r>
          </w:p>
        </w:tc>
        <w:tc>
          <w:tcPr>
            <w:tcW w:w="1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R&amp;D</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Appraisal</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R&amp;D</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Discount</w:t>
            </w:r>
          </w:p>
        </w:tc>
        <w:tc>
          <w:tcPr>
            <w:tcW w:w="1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projected</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acquired</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eration</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Goodwill</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intan-</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compen-</w:t>
            </w:r>
          </w:p>
        </w:tc>
        <w:tc>
          <w:tcPr>
            <w:tcW w:w="74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charge</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method</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focus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rate</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At</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w w:val="83"/>
              </w:rPr>
              <w:t>to</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begin</w:t>
            </w: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gibles</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sation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acquisition Mar. 2001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w w:val="99"/>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  ----</w:t>
            </w:r>
          </w:p>
        </w:tc>
        <w:tc>
          <w:tcPr>
            <w:tcW w:w="21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Alantro</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Third</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$277</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$ 81</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52</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Exclusion</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Wireless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$4.1/</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$6.5/260</w:t>
            </w:r>
          </w:p>
        </w:tc>
        <w:tc>
          <w:tcPr>
            <w:tcW w:w="260" w:type="dxa"/>
            <w:vAlign w:val="bottom"/>
          </w:tcPr>
          <w:p>
            <w:pPr>
              <w:spacing w:after="0"/>
              <w:rPr>
                <w:sz w:val="24"/>
                <w:szCs w:val="24"/>
                <w:color w:val="auto"/>
              </w:rPr>
            </w:pPr>
          </w:p>
        </w:tc>
        <w:tc>
          <w:tcPr>
            <w:tcW w:w="7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Commun-</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quarter</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approach</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networking</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256</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engineer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ications,</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technology</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engineer</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months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Inc.</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for home</w:t>
            </w:r>
          </w:p>
        </w:tc>
        <w:tc>
          <w:tcPr>
            <w:tcW w:w="7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months</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and office</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Dot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Third</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$467</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$302</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$ 46</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119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60</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Exclusion</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Architec-</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$2.9/</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Project</w:t>
            </w:r>
          </w:p>
        </w:tc>
        <w:tc>
          <w:tcPr>
            <w:tcW w:w="260" w:type="dxa"/>
            <w:vAlign w:val="bottom"/>
          </w:tcPr>
          <w:p>
            <w:pPr>
              <w:spacing w:after="0"/>
              <w:rPr>
                <w:sz w:val="24"/>
                <w:szCs w:val="24"/>
                <w:color w:val="auto"/>
              </w:rPr>
            </w:pPr>
          </w:p>
        </w:tc>
        <w:tc>
          <w:tcPr>
            <w:tcW w:w="7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Wireless,</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quarter</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approach</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ture for</w:t>
            </w:r>
          </w:p>
        </w:tc>
        <w:tc>
          <w:tcPr>
            <w:tcW w:w="7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172</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completed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Inc.</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7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engineer</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generation</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months</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(3G) wire-</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less de-</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vices for</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delivering</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voice and</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4"/>
          <w:szCs w:val="14"/>
          <w:color w:val="auto"/>
        </w:rPr>
        <w:t>high speed</w:t>
      </w:r>
    </w:p>
    <w:p>
      <w:pPr>
        <w:spacing w:after="0" w:line="8" w:lineRule="exact"/>
        <w:rPr>
          <w:sz w:val="20"/>
          <w:szCs w:val="20"/>
          <w:color w:val="auto"/>
        </w:rPr>
      </w:pPr>
    </w:p>
    <w:p>
      <w:pPr>
        <w:ind w:left="6960"/>
        <w:spacing w:after="0"/>
        <w:rPr>
          <w:sz w:val="20"/>
          <w:szCs w:val="20"/>
          <w:color w:val="auto"/>
        </w:rPr>
      </w:pPr>
      <w:r>
        <w:rPr>
          <w:rFonts w:ascii="Courier New" w:cs="Courier New" w:eastAsia="Courier New" w:hAnsi="Courier New"/>
          <w:sz w:val="14"/>
          <w:szCs w:val="14"/>
          <w:color w:val="auto"/>
        </w:rPr>
        <w:t>data to</w:t>
      </w:r>
    </w:p>
    <w:p>
      <w:pPr>
        <w:spacing w:after="0" w:line="8" w:lineRule="exact"/>
        <w:rPr>
          <w:sz w:val="20"/>
          <w:szCs w:val="20"/>
          <w:color w:val="auto"/>
        </w:rPr>
      </w:pPr>
    </w:p>
    <w:p>
      <w:pPr>
        <w:ind w:left="6960"/>
        <w:spacing w:after="0"/>
        <w:rPr>
          <w:sz w:val="20"/>
          <w:szCs w:val="20"/>
          <w:color w:val="auto"/>
        </w:rPr>
      </w:pPr>
      <w:r>
        <w:rPr>
          <w:rFonts w:ascii="Courier New" w:cs="Courier New" w:eastAsia="Courier New" w:hAnsi="Courier New"/>
          <w:sz w:val="14"/>
          <w:szCs w:val="14"/>
          <w:color w:val="auto"/>
        </w:rPr>
        <w:t>mobile</w:t>
      </w:r>
    </w:p>
    <w:p>
      <w:pPr>
        <w:spacing w:after="0" w:line="8" w:lineRule="exact"/>
        <w:rPr>
          <w:sz w:val="20"/>
          <w:szCs w:val="20"/>
          <w:color w:val="auto"/>
        </w:rPr>
      </w:pPr>
    </w:p>
    <w:p>
      <w:pPr>
        <w:ind w:left="6960"/>
        <w:spacing w:after="0"/>
        <w:rPr>
          <w:sz w:val="20"/>
          <w:szCs w:val="20"/>
          <w:color w:val="auto"/>
        </w:rPr>
      </w:pPr>
      <w:r>
        <w:rPr>
          <w:rFonts w:ascii="Courier New" w:cs="Courier New" w:eastAsia="Courier New" w:hAnsi="Courier New"/>
          <w:sz w:val="14"/>
          <w:szCs w:val="14"/>
          <w:color w:val="auto"/>
        </w:rPr>
        <w:t>users</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1380"/>
          </w:cols>
          <w:pgMar w:left="220" w:top="787" w:right="299" w:bottom="1440" w:gutter="0" w:footer="0" w:header="0"/>
        </w:sectPr>
      </w:pPr>
    </w:p>
    <w:bookmarkStart w:id="16" w:name="page17"/>
    <w:bookmarkEnd w:id="16"/>
    <w:p>
      <w:pPr>
        <w:spacing w:after="0"/>
        <w:tabs>
          <w:tab w:leader="none" w:pos="78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Information concerning market risk is contained on pages B-43 and B-44 of the Registrant's proxy statement for the 2001 annual meeting of stockholders and is incorporated by reference to such proxy statement.</w:t>
      </w:r>
    </w:p>
    <w:p>
      <w:pPr>
        <w:spacing w:after="0" w:line="16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PART II - OTHER INFORMATION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5" w:lineRule="exact"/>
        <w:rPr>
          <w:sz w:val="20"/>
          <w:szCs w:val="20"/>
          <w:color w:val="auto"/>
        </w:rPr>
      </w:pPr>
    </w:p>
    <w:p>
      <w:pPr>
        <w:ind w:left="1220" w:hanging="430"/>
        <w:spacing w:after="0"/>
        <w:tabs>
          <w:tab w:leader="none" w:pos="12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rFonts w:ascii="Courier New" w:cs="Courier New" w:eastAsia="Courier New" w:hAnsi="Courier New"/>
          <w:sz w:val="14"/>
          <w:szCs w:val="14"/>
          <w:color w:val="auto"/>
        </w:rPr>
      </w:pPr>
    </w:p>
    <w:p>
      <w:pPr>
        <w:ind w:left="1400" w:right="7799"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of Exhibits in</w:t>
      </w:r>
    </w:p>
    <w:p>
      <w:pPr>
        <w:sectPr>
          <w:pgSz w:w="11900" w:h="16838" w:orient="portrait"/>
          <w:cols w:equalWidth="0" w:num="1">
            <w:col w:w="10239"/>
          </w:cols>
          <w:pgMar w:left="220" w:top="453" w:right="1440" w:bottom="1440" w:gutter="0" w:footer="0" w:header="0"/>
        </w:sectPr>
      </w:pPr>
    </w:p>
    <w:p>
      <w:pPr>
        <w:spacing w:after="0" w:line="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This Report</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Description of 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520" w:space="520"/>
            <w:col w:w="7199"/>
          </w:cols>
          <w:pgMar w:left="220" w:top="453" w:right="1440" w:bottom="1440" w:gutter="0" w:footer="0" w:header="0"/>
          <w:type w:val="continuous"/>
        </w:sectPr>
      </w:pPr>
    </w:p>
    <w:p>
      <w:pPr>
        <w:ind w:left="3040" w:right="4839" w:hanging="1295"/>
        <w:spacing w:after="0" w:line="254" w:lineRule="auto"/>
        <w:tabs>
          <w:tab w:leader="none" w:pos="304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Basic and Diluted Earnings Per Common and Dilutive Potential Common Share</w:t>
      </w:r>
    </w:p>
    <w:p>
      <w:pPr>
        <w:spacing w:after="0" w:line="163" w:lineRule="exact"/>
        <w:rPr>
          <w:rFonts w:ascii="Courier New" w:cs="Courier New" w:eastAsia="Courier New" w:hAnsi="Courier New"/>
          <w:sz w:val="14"/>
          <w:szCs w:val="14"/>
          <w:color w:val="auto"/>
        </w:rPr>
      </w:pPr>
    </w:p>
    <w:p>
      <w:pPr>
        <w:ind w:left="3040" w:right="5019" w:hanging="1295"/>
        <w:spacing w:after="0" w:line="258" w:lineRule="auto"/>
        <w:tabs>
          <w:tab w:leader="none" w:pos="304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 of Earnings to Fixed Charges</w:t>
      </w:r>
    </w:p>
    <w:p>
      <w:pPr>
        <w:spacing w:after="0" w:line="159" w:lineRule="exact"/>
        <w:rPr>
          <w:rFonts w:ascii="Courier New" w:cs="Courier New" w:eastAsia="Courier New" w:hAnsi="Courier New"/>
          <w:sz w:val="14"/>
          <w:szCs w:val="14"/>
          <w:color w:val="auto"/>
        </w:rPr>
      </w:pPr>
    </w:p>
    <w:p>
      <w:pPr>
        <w:ind w:left="1220" w:right="7279" w:hanging="430"/>
        <w:spacing w:after="0" w:line="505"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None.</w:t>
      </w:r>
    </w:p>
    <w:p>
      <w:pPr>
        <w:ind w:right="3279"/>
        <w:spacing w:after="0" w:line="253"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64"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We urge you to carefully consider the following important factors that could cause actual results to differ materially from the expectations of the company or its management:</w:t>
      </w:r>
    </w:p>
    <w:p>
      <w:pPr>
        <w:spacing w:after="0" w:line="1" w:lineRule="exact"/>
        <w:rPr>
          <w:sz w:val="20"/>
          <w:szCs w:val="20"/>
          <w:color w:val="auto"/>
        </w:rPr>
      </w:pPr>
    </w:p>
    <w:p>
      <w:pPr>
        <w:ind w:left="440" w:right="3379" w:hanging="431"/>
        <w:spacing w:after="0" w:line="260" w:lineRule="auto"/>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demand for semiconductors, particularly for digital signal processors and analog chips in key markets, such as telecommunications and computers;</w:t>
      </w:r>
    </w:p>
    <w:p>
      <w:pPr>
        <w:spacing w:after="0" w:line="157" w:lineRule="exact"/>
        <w:rPr>
          <w:rFonts w:ascii="Courier New" w:cs="Courier New" w:eastAsia="Courier New" w:hAnsi="Courier New"/>
          <w:sz w:val="14"/>
          <w:szCs w:val="14"/>
          <w:color w:val="auto"/>
        </w:rPr>
      </w:pPr>
    </w:p>
    <w:p>
      <w:pPr>
        <w:ind w:left="440" w:right="3379" w:hanging="431"/>
        <w:spacing w:after="0" w:line="252" w:lineRule="auto"/>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develop, manufacture and market innovative products in a rapidly changing technological environment;</w:t>
      </w:r>
    </w:p>
    <w:p>
      <w:pPr>
        <w:ind w:left="440" w:right="3199" w:hanging="431"/>
        <w:spacing w:after="0" w:line="252" w:lineRule="auto"/>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compete in products and prices in an intensely competitive industry;</w:t>
      </w:r>
    </w:p>
    <w:p>
      <w:pPr>
        <w:ind w:left="440" w:right="3799" w:hanging="431"/>
        <w:spacing w:after="0" w:line="252" w:lineRule="auto"/>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maintain and enforce a strong intellectual property portfolio and obtain needed licenses from third parties;</w:t>
      </w: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-Timely completion and successful integration of announced acquisitions;</w:t>
      </w:r>
    </w:p>
    <w:p>
      <w:pPr>
        <w:spacing w:after="0" w:line="8" w:lineRule="exact"/>
        <w:rPr>
          <w:rFonts w:ascii="Courier New" w:cs="Courier New" w:eastAsia="Courier New" w:hAnsi="Courier New"/>
          <w:sz w:val="14"/>
          <w:szCs w:val="14"/>
          <w:color w:val="auto"/>
        </w:rPr>
      </w:pPr>
    </w:p>
    <w:p>
      <w:pPr>
        <w:ind w:left="440" w:right="3199" w:hanging="431"/>
        <w:spacing w:after="0" w:line="252" w:lineRule="auto"/>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economic, social and political conditions in the countries in which TI and its customers and suppliers operate, including fluctuations in foreign currency exchange rates;</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-Losses or curtailments of purchases from key customers;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3" w:right="1440" w:bottom="1440" w:gutter="0" w:footer="0" w:header="0"/>
          <w:type w:val="continuous"/>
        </w:sectPr>
      </w:pPr>
    </w:p>
    <w:bookmarkStart w:id="17" w:name="page18"/>
    <w:bookmarkEnd w:id="17"/>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recruit and retain skilled personnel; and</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raw materials and critical manufacturing equipment.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a more detailed discussion of these factors, see the text under the heading "Cautionary Statements Regarding Future Results of Operations" in Item 1 of the company's most recent Form 10-K. The forward-looking statements included in this Form 10-Q are made only as of the date of this Form 10-Q and the company undertakes no obligation to update the forward-looking statements to reflect subsequent events or circumstances.</w:t>
      </w:r>
    </w:p>
    <w:p>
      <w:pPr>
        <w:spacing w:after="0" w:line="332"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jc w:val="both"/>
        <w:ind w:right="3979"/>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/s/ WILLIAM A. AYLESWORTH</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William A. Aylesworth</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Senior Vice President,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Treasurer 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Chief Financial Officer</w:t>
      </w:r>
    </w:p>
    <w:p>
      <w:pPr>
        <w:spacing w:after="0" w:line="34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April 26, 2001</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3" w:right="1440" w:bottom="144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EXHIBIT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167"/>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674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TEXAS INSTRUMENTS INCORPORATED AND SUBSIDIARIES</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6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EARNINGS PER COMMON AND DILUTIVE POTENTIAL COMMON SHARE</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501"/>
        </w:trPr>
        <w:tc>
          <w:tcPr>
            <w:tcW w:w="5740" w:type="dxa"/>
            <w:vAlign w:val="bottom"/>
          </w:tcPr>
          <w:p>
            <w:pPr>
              <w:spacing w:after="0"/>
              <w:rPr>
                <w:sz w:val="24"/>
                <w:szCs w:val="24"/>
                <w:color w:val="auto"/>
              </w:rPr>
            </w:pPr>
          </w:p>
        </w:tc>
        <w:tc>
          <w:tcPr>
            <w:tcW w:w="20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For Three Months Ended</w:t>
            </w:r>
          </w:p>
        </w:tc>
      </w:tr>
      <w:tr>
        <w:trPr>
          <w:trHeight w:val="167"/>
        </w:trPr>
        <w:tc>
          <w:tcPr>
            <w:tcW w:w="5740" w:type="dxa"/>
            <w:vAlign w:val="bottom"/>
          </w:tcPr>
          <w:p>
            <w:pPr>
              <w:spacing w:after="0"/>
              <w:rPr>
                <w:sz w:val="14"/>
                <w:szCs w:val="14"/>
                <w:color w:val="auto"/>
              </w:rPr>
            </w:pPr>
          </w:p>
        </w:tc>
        <w:tc>
          <w:tcPr>
            <w:tcW w:w="20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Mar. 31</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Mar. 31</w:t>
            </w:r>
          </w:p>
        </w:tc>
      </w:tr>
      <w:tr>
        <w:trPr>
          <w:trHeight w:val="167"/>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7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an accounting change........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Cumulative effect of an accounting change......................</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57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income (in millions).......................................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w:t>
            </w:r>
          </w:p>
        </w:tc>
      </w:tr>
      <w:tr>
        <w:trPr>
          <w:trHeight w:val="167"/>
        </w:trPr>
        <w:tc>
          <w:tcPr>
            <w:tcW w:w="57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5740" w:type="dxa"/>
            <w:vAlign w:val="bottom"/>
          </w:tcPr>
          <w:p>
            <w:pPr>
              <w:spacing w:after="0"/>
              <w:rPr>
                <w:sz w:val="20"/>
                <w:szCs w:val="20"/>
                <w:color w:val="auto"/>
              </w:rPr>
            </w:pPr>
            <w:r>
              <w:rPr>
                <w:rFonts w:ascii="Courier New" w:cs="Courier New" w:eastAsia="Courier New" w:hAnsi="Courier New"/>
                <w:sz w:val="14"/>
                <w:szCs w:val="14"/>
                <w:color w:val="auto"/>
              </w:rPr>
              <w:t>Diluted earnings per common and dilutive potential common share: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(in thousands)......</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1,734,543</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1,704,675</w:t>
            </w:r>
          </w:p>
        </w:tc>
      </w:tr>
      <w:tr>
        <w:trPr>
          <w:trHeight w:val="167"/>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dilutive potential common shares: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Stock option and compensation plans........................</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50,886</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77,347</w:t>
            </w:r>
          </w:p>
        </w:tc>
      </w:tr>
      <w:tr>
        <w:trPr>
          <w:trHeight w:val="167"/>
        </w:trPr>
        <w:tc>
          <w:tcPr>
            <w:tcW w:w="57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Weighted average common and dilutive potential common shares...</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1,785,429</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1,782,022</w:t>
            </w:r>
          </w:p>
        </w:tc>
      </w:tr>
      <w:tr>
        <w:trPr>
          <w:trHeight w:val="167"/>
        </w:trPr>
        <w:tc>
          <w:tcPr>
            <w:tcW w:w="57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574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an accounting change......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7"/>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an accounting change....................</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(.01)</w:t>
            </w:r>
          </w:p>
        </w:tc>
      </w:tr>
      <w:tr>
        <w:trPr>
          <w:trHeight w:val="167"/>
        </w:trPr>
        <w:tc>
          <w:tcPr>
            <w:tcW w:w="57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r>
        <w:trPr>
          <w:trHeight w:val="167"/>
        </w:trPr>
        <w:tc>
          <w:tcPr>
            <w:tcW w:w="57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574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(in thousands)......</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1,734,543</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1,704,675</w:t>
            </w:r>
          </w:p>
        </w:tc>
      </w:tr>
      <w:tr>
        <w:trPr>
          <w:trHeight w:val="167"/>
        </w:trPr>
        <w:tc>
          <w:tcPr>
            <w:tcW w:w="57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an accounting change......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7"/>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an accounting change....................</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(.01)</w:t>
            </w:r>
          </w:p>
        </w:tc>
      </w:tr>
      <w:tr>
        <w:trPr>
          <w:trHeight w:val="167"/>
        </w:trPr>
        <w:tc>
          <w:tcPr>
            <w:tcW w:w="57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7"/>
        </w:trPr>
        <w:tc>
          <w:tcPr>
            <w:tcW w:w="57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475" w:right="1440" w:bottom="1440" w:gutter="0" w:footer="0" w:header="0"/>
        </w:sectPr>
      </w:pPr>
    </w:p>
    <w:bookmarkStart w:id="20" w:name="page21"/>
    <w:bookmarkEnd w:id="20"/>
    <w:p>
      <w:pPr>
        <w:ind w:left="8080"/>
        <w:spacing w:after="0"/>
        <w:rPr>
          <w:sz w:val="20"/>
          <w:szCs w:val="20"/>
          <w:color w:val="auto"/>
        </w:rPr>
      </w:pPr>
      <w:r>
        <w:rPr>
          <w:rFonts w:ascii="Courier New" w:cs="Courier New" w:eastAsia="Courier New" w:hAnsi="Courier New"/>
          <w:sz w:val="14"/>
          <w:szCs w:val="14"/>
          <w:color w:val="auto"/>
        </w:rPr>
        <w:t>Exhibit 12</w:t>
      </w:r>
    </w:p>
    <w:p>
      <w:pPr>
        <w:spacing w:after="0" w:line="8" w:lineRule="exact"/>
        <w:rPr>
          <w:sz w:val="20"/>
          <w:szCs w:val="20"/>
          <w:color w:val="auto"/>
        </w:rPr>
      </w:pPr>
    </w:p>
    <w:p>
      <w:pPr>
        <w:ind w:left="80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TEXAS INSTRUMENTS INCORPORATED AND</w:t>
            </w:r>
          </w:p>
        </w:tc>
        <w:tc>
          <w:tcPr>
            <w:tcW w:w="148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SUBSIDIARIES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53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COMPUTATION OF RATIO OF EARNINGS TO</w:t>
            </w:r>
          </w:p>
        </w:tc>
        <w:tc>
          <w:tcPr>
            <w:tcW w:w="148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FIXED CHARGES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1940" w:type="dxa"/>
            <w:vAlign w:val="bottom"/>
            <w:gridSpan w:val="4"/>
          </w:tcPr>
          <w:p>
            <w:pPr>
              <w:jc w:val="right"/>
              <w:ind w:right="48"/>
              <w:spacing w:after="0"/>
              <w:rPr>
                <w:sz w:val="20"/>
                <w:szCs w:val="20"/>
                <w:color w:val="auto"/>
              </w:rPr>
            </w:pPr>
            <w:r>
              <w:rPr>
                <w:rFonts w:ascii="Courier New" w:cs="Courier New" w:eastAsia="Courier New" w:hAnsi="Courier New"/>
                <w:sz w:val="14"/>
                <w:szCs w:val="14"/>
                <w:color w:val="auto"/>
              </w:rPr>
              <w:t>(Dollars in millions)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4"/>
        </w:trPr>
        <w:tc>
          <w:tcPr>
            <w:tcW w:w="3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Three</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Months</w:t>
            </w:r>
          </w:p>
        </w:tc>
      </w:tr>
      <w:tr>
        <w:trPr>
          <w:trHeight w:val="167"/>
        </w:trPr>
        <w:tc>
          <w:tcPr>
            <w:tcW w:w="3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Ended March 31</w:t>
            </w:r>
          </w:p>
        </w:tc>
      </w:tr>
      <w:tr>
        <w:trPr>
          <w:trHeight w:val="167"/>
        </w:trPr>
        <w:tc>
          <w:tcPr>
            <w:tcW w:w="3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1996</w:t>
            </w:r>
          </w:p>
        </w:tc>
        <w:tc>
          <w:tcPr>
            <w:tcW w:w="22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1997</w:t>
            </w:r>
          </w:p>
        </w:tc>
        <w:tc>
          <w:tcPr>
            <w:tcW w:w="14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1998</w:t>
            </w:r>
          </w:p>
        </w:tc>
        <w:tc>
          <w:tcPr>
            <w:tcW w:w="22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1999</w:t>
            </w:r>
          </w:p>
        </w:tc>
        <w:tc>
          <w:tcPr>
            <w:tcW w:w="2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2000</w:t>
            </w:r>
          </w:p>
        </w:tc>
        <w:tc>
          <w:tcPr>
            <w:tcW w:w="9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2000</w:t>
            </w:r>
          </w:p>
        </w:tc>
        <w:tc>
          <w:tcPr>
            <w:tcW w:w="12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2001</w:t>
            </w:r>
          </w:p>
        </w:tc>
      </w:tr>
      <w:tr>
        <w:trPr>
          <w:trHeight w:val="167"/>
        </w:trPr>
        <w:tc>
          <w:tcPr>
            <w:tcW w:w="340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Income before income taxes plus</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fixed charges and amortization of</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capitalized interest less</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w w:val="94"/>
              </w:rPr>
              <w:t>interest capitalized..................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815</w:t>
            </w:r>
          </w:p>
        </w:tc>
        <w:tc>
          <w:tcPr>
            <w:tcW w:w="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$2,205</w:t>
            </w: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$4,702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349</w:t>
            </w:r>
          </w:p>
        </w:tc>
      </w:tr>
      <w:tr>
        <w:trPr>
          <w:trHeight w:val="167"/>
        </w:trPr>
        <w:tc>
          <w:tcPr>
            <w:tcW w:w="340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on loans (expensed</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w w:val="94"/>
              </w:rPr>
              <w:t>and capitalized)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Interest attributable to rental</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and lease expense.....................</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w:t>
            </w:r>
          </w:p>
        </w:tc>
        <w:tc>
          <w:tcPr>
            <w:tcW w:w="2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w:t>
            </w:r>
          </w:p>
        </w:tc>
        <w:tc>
          <w:tcPr>
            <w:tcW w:w="2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w:t>
            </w:r>
          </w:p>
        </w:tc>
        <w:tc>
          <w:tcPr>
            <w:tcW w:w="2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34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340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w w:val="95"/>
              </w:rPr>
              <w:t>Fixed charges.............................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340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spacing w:after="0"/>
              <w:rPr>
                <w:sz w:val="24"/>
                <w:szCs w:val="2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w:t>
            </w:r>
          </w:p>
        </w:tc>
        <w:tc>
          <w:tcPr>
            <w:tcW w:w="140" w:type="dxa"/>
            <w:vAlign w:val="bottom"/>
          </w:tcPr>
          <w:p>
            <w:pPr>
              <w:spacing w:after="0"/>
              <w:rPr>
                <w:sz w:val="24"/>
                <w:szCs w:val="2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w:t>
            </w:r>
          </w:p>
        </w:tc>
        <w:tc>
          <w:tcPr>
            <w:tcW w:w="220" w:type="dxa"/>
            <w:vAlign w:val="bottom"/>
          </w:tcPr>
          <w:p>
            <w:pPr>
              <w:spacing w:after="0"/>
              <w:rPr>
                <w:sz w:val="24"/>
                <w:szCs w:val="2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w:t>
            </w:r>
          </w:p>
        </w:tc>
        <w:tc>
          <w:tcPr>
            <w:tcW w:w="22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w:t>
            </w:r>
          </w:p>
        </w:tc>
        <w:tc>
          <w:tcPr>
            <w:tcW w:w="340" w:type="dxa"/>
            <w:vAlign w:val="bottom"/>
          </w:tcPr>
          <w:p>
            <w:pPr>
              <w:spacing w:after="0"/>
              <w:rPr>
                <w:sz w:val="24"/>
                <w:szCs w:val="2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bl>
    <w:p>
      <w:pPr>
        <w:spacing w:after="0" w:line="1" w:lineRule="exact"/>
        <w:rPr>
          <w:sz w:val="20"/>
          <w:szCs w:val="20"/>
          <w:color w:val="auto"/>
        </w:rPr>
      </w:pPr>
    </w:p>
    <w:sectPr>
      <w:pgSz w:w="11900" w:h="16838" w:orient="portrait"/>
      <w:cols w:equalWidth="0" w:num="1">
        <w:col w:w="10239"/>
      </w:cols>
      <w:pgMar w:left="220" w:top="6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9"/>
    </w:lvl>
  </w:abstractNum>
  <w:abstractNum w:abstractNumId="2">
    <w:nsid w:val="515F007C"/>
    <w:multiLevelType w:val="hybridMultilevel"/>
    <w:lvl w:ilvl="0">
      <w:lvlJc w:val="left"/>
      <w:lvlText w:val="%1."/>
      <w:numFmt w:val="decimal"/>
      <w:start w:val="10"/>
    </w:lvl>
  </w:abstractNum>
  <w:abstractNum w:abstractNumId="3">
    <w:nsid w:val="5BD062C2"/>
    <w:multiLevelType w:val="hybridMultilevel"/>
    <w:lvl w:ilvl="0">
      <w:lvlJc w:val="left"/>
      <w:lvlText w:val="%1."/>
      <w:numFmt w:val="decimal"/>
      <w:start w:val="11"/>
    </w:lvl>
  </w:abstractNum>
  <w:abstractNum w:abstractNumId="4">
    <w:nsid w:val="12200854"/>
    <w:multiLevelType w:val="hybridMultilevel"/>
    <w:lvl w:ilvl="0">
      <w:lvlJc w:val="left"/>
      <w:lvlText w:val="%1."/>
      <w:numFmt w:val="decimal"/>
      <w:start w:val="12"/>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lvl w:ilvl="1">
      <w:lvlJc w:val="left"/>
      <w:lvlText w:val="%2"/>
      <w:numFmt w:val="decimal"/>
      <w:start w:val="11"/>
    </w:lvl>
  </w:abstractNum>
  <w:abstractNum w:abstractNumId="11">
    <w:nsid w:val="3352255A"/>
    <w:multiLevelType w:val="hybridMultilevel"/>
    <w:lvl w:ilvl="0">
      <w:lvlJc w:val="left"/>
      <w:lvlText w:val="(%1)"/>
      <w:numFmt w:val="lowerLetter"/>
      <w:start w:val="2"/>
    </w:lvl>
    <w:lvl w:ilvl="1">
      <w:lvlJc w:val="left"/>
      <w:lvlText w:val="%2"/>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2019-12-12T10:39:51Z</dcterms:created>
  <dcterms:modified xsi:type="dcterms:W3CDTF">2019-12-12T10:39:51Z</dcterms:modified>
</cp:coreProperties>
</file>