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01/23/2014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51"/>
        <w:spacing w:after="0"/>
        <w:rPr>
          <w:sz w:val="20"/>
          <w:szCs w:val="20"/>
          <w:color w:val="auto"/>
        </w:rPr>
      </w:pPr>
      <w:r>
        <w:rPr>
          <w:rFonts w:ascii="Arial" w:cs="Arial" w:eastAsia="Arial" w:hAnsi="Arial"/>
          <w:sz w:val="17"/>
          <w:szCs w:val="17"/>
          <w:color w:val="0000FF"/>
        </w:rPr>
        <w:t>Sr. Vice President &amp; CFO</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01/23/2014</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30,620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373,536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1,974.64</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 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42.14</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44.09</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01/23/2014</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166,048</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01/23/2024</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166,048</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166,048</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8"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12-31-13. (Interests in this account are denominated in units. Consequently, share amount shown is an estimate.) This statement does not include changes in beneficial ownership of shares held in such account occurring after 12-31-13 that are eligible for deferred reporting on Form 5.</w:t>
      </w:r>
    </w:p>
    <w:p>
      <w:pPr>
        <w:spacing w:after="0" w:line="21"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12-31-2013. (Interests in this account are denominated in units. Consequently, share amount shown is an estimate.) This statement does not include changes in beneficial ownership of shares held in this account occurring after 12-31-2013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23, 2015.</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01/27/2014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2019-12-17T02:37:32Z</dcterms:created>
  <dcterms:modified xsi:type="dcterms:W3CDTF">2019-12-17T02:37:32Z</dcterms:modified>
</cp:coreProperties>
</file>