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CARP DANIEL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8"/>
                <w:szCs w:val="18"/>
                <w:color w:val="0000FF"/>
                <w:w w:val="88"/>
              </w:rPr>
              <w:t>01/25/2018</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907</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35,867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110.15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01/25/2018</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4,306</w:t>
            </w: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jc w:val="right"/>
              <w:ind w:right="74"/>
              <w:spacing w:after="0"/>
              <w:rPr>
                <w:sz w:val="20"/>
                <w:szCs w:val="20"/>
                <w:color w:val="auto"/>
              </w:rPr>
            </w:pPr>
            <w:r>
              <w:rPr>
                <w:rFonts w:ascii="Arial" w:cs="Arial" w:eastAsia="Arial" w:hAnsi="Arial"/>
                <w:sz w:val="14"/>
                <w:szCs w:val="14"/>
                <w:color w:val="0000FF"/>
                <w:w w:val="88"/>
              </w:rPr>
              <w:t>01/25/2028</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4,306</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4,306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granted under the Texas Instruments 2009 Director Compensation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2019.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01/29/2018</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38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18th day of January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Daniel A. Carp</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152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2019-12-23T21:13:25Z</dcterms:created>
  <dcterms:modified xsi:type="dcterms:W3CDTF">2019-12-23T21:13:25Z</dcterms:modified>
</cp:coreProperties>
</file>