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248285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264795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1044"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1044"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1044"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257810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20"/>
          </w:cols>
          <w:pgMar w:left="240" w:top="10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Registrant's news release dated April 18, 2006, regarding its first quarter 2006 results of operations and financial condition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16"/>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16"/>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30"/>
        </w:trPr>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 of Exhibit</w:t>
            </w:r>
          </w:p>
        </w:tc>
      </w:tr>
      <w:tr>
        <w:trPr>
          <w:trHeight w:val="412"/>
        </w:trPr>
        <w:tc>
          <w:tcPr>
            <w:tcW w:w="740" w:type="dxa"/>
            <w:vAlign w:val="bottom"/>
            <w:gridSpan w:val="2"/>
          </w:tcPr>
          <w:p>
            <w:pPr>
              <w:jc w:val="center"/>
              <w:ind w:left="470"/>
              <w:spacing w:after="0"/>
              <w:rPr>
                <w:sz w:val="20"/>
                <w:szCs w:val="20"/>
                <w:color w:val="auto"/>
              </w:rPr>
            </w:pPr>
            <w:r>
              <w:rPr>
                <w:rFonts w:ascii="Arial" w:cs="Arial" w:eastAsia="Arial" w:hAnsi="Arial"/>
                <w:sz w:val="18"/>
                <w:szCs w:val="18"/>
                <w:color w:val="0000EE"/>
                <w:w w:val="89"/>
              </w:rPr>
              <w:t>99</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0000EE"/>
              </w:rPr>
              <w:t>Registrant’s News Release</w:t>
            </w:r>
          </w:p>
        </w:tc>
      </w:tr>
      <w:tr>
        <w:trPr>
          <w:trHeight w:val="20"/>
        </w:trPr>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0000EE"/>
              </w:rPr>
              <w:t>Dated April 18, 2006 (furnished pursuant to Item 2.02)</w:t>
            </w:r>
          </w:p>
        </w:tc>
      </w:tr>
      <w:tr>
        <w:trPr>
          <w:trHeight w:val="20"/>
        </w:trPr>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00" w:lineRule="exact"/>
        <w:rPr>
          <w:sz w:val="20"/>
          <w:szCs w:val="20"/>
          <w:color w:val="auto"/>
        </w:rPr>
      </w:pPr>
    </w:p>
    <w:p>
      <w:pPr>
        <w:spacing w:after="0" w:line="281" w:lineRule="exact"/>
        <w:rPr>
          <w:sz w:val="20"/>
          <w:szCs w:val="20"/>
          <w:color w:val="auto"/>
        </w:rPr>
      </w:pPr>
    </w:p>
    <w:p>
      <w:pPr>
        <w:ind w:left="540" w:right="100"/>
        <w:spacing w:after="0" w:line="281" w:lineRule="auto"/>
        <w:rPr>
          <w:sz w:val="20"/>
          <w:szCs w:val="20"/>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81"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380"/>
        <w:spacing w:after="0" w:line="313" w:lineRule="auto"/>
        <w:rPr>
          <w:sz w:val="20"/>
          <w:szCs w:val="20"/>
          <w:color w:val="auto"/>
        </w:rPr>
      </w:pPr>
      <w:r>
        <w:rPr>
          <w:rFonts w:ascii="Arial" w:cs="Arial" w:eastAsia="Arial" w:hAnsi="Arial"/>
          <w:sz w:val="18"/>
          <w:szCs w:val="18"/>
          <w:color w:val="auto"/>
        </w:rPr>
        <w:t>TI’s ability to develop, manufacture and market innovative products in a rapidly changing technological environment; TI’s ability to compete in products and prices in an intensely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-302895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-131445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200"/>
        <w:spacing w:after="0" w:line="313" w:lineRule="auto"/>
        <w:rPr>
          <w:sz w:val="20"/>
          <w:szCs w:val="20"/>
          <w:color w:val="auto"/>
        </w:rPr>
      </w:pPr>
      <w:r>
        <w:rPr>
          <w:rFonts w:ascii="Arial" w:cs="Arial" w:eastAsia="Arial" w:hAnsi="Arial"/>
          <w:sz w:val="18"/>
          <w:szCs w:val="18"/>
          <w:color w:val="auto"/>
        </w:rPr>
        <w:t>TI’s ability to maintain and enforce a strong intellectual property portfolio and obtain needed licenses from third parties; Consolidation of TI’s patent licensees and market conditions reducing royalty payments to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-302895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-131445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81" w:lineRule="auto"/>
        <w:rPr>
          <w:sz w:val="20"/>
          <w:szCs w:val="20"/>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340"/>
        <w:spacing w:after="0" w:line="313" w:lineRule="auto"/>
        <w:rPr>
          <w:sz w:val="20"/>
          <w:szCs w:val="20"/>
          <w:color w:val="auto"/>
        </w:rPr>
      </w:pPr>
      <w:r>
        <w:rPr>
          <w:rFonts w:ascii="Arial" w:cs="Arial" w:eastAsia="Arial" w:hAnsi="Arial"/>
          <w:sz w:val="18"/>
          <w:szCs w:val="18"/>
          <w:color w:val="auto"/>
        </w:rPr>
        <w:t>Natural events such as severe weather and earthquakes in the locations in which TI, its customers or suppliers operate; Availability and cost of raw materials, utilities and critical manufacturing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-302895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-131445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81" w:lineRule="auto"/>
        <w:rPr>
          <w:sz w:val="20"/>
          <w:szCs w:val="20"/>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-267970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40"/>
        <w:spacing w:after="0" w:line="313" w:lineRule="auto"/>
        <w:rPr>
          <w:sz w:val="20"/>
          <w:szCs w:val="20"/>
          <w:color w:val="auto"/>
        </w:rPr>
      </w:pPr>
      <w:r>
        <w:rPr>
          <w:rFonts w:ascii="Arial" w:cs="Arial" w:eastAsia="Arial" w:hAnsi="Arial"/>
          <w:sz w:val="18"/>
          <w:szCs w:val="18"/>
          <w:color w:val="auto"/>
        </w:rPr>
        <w:t>Losses or curtailments of purchases from key customers and the timing and amount of distributor and other customer inventory adjustments; Customer demand that differs from company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-302895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-131445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280"/>
        <w:spacing w:after="0" w:line="313" w:lineRule="auto"/>
        <w:rPr>
          <w:sz w:val="20"/>
          <w:szCs w:val="20"/>
          <w:color w:val="auto"/>
        </w:rPr>
      </w:pPr>
      <w:r>
        <w:rPr>
          <w:rFonts w:ascii="Arial" w:cs="Arial" w:eastAsia="Arial" w:hAnsi="Arial"/>
          <w:sz w:val="18"/>
          <w:szCs w:val="18"/>
          <w:color w:val="auto"/>
        </w:rPr>
        <w:t>The financial impact of inadequate or excess TI inventories to meet demand that differs from projections; Product liability or warranty claims, or recalls by TI customers for a product containing a TI part; 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-474345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-302895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-131445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293" w:lineRule="auto"/>
        <w:rPr>
          <w:sz w:val="20"/>
          <w:szCs w:val="20"/>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6" w:lineRule="exact"/>
        <w:rPr>
          <w:sz w:val="20"/>
          <w:szCs w:val="20"/>
          <w:color w:val="auto"/>
        </w:rPr>
      </w:pPr>
    </w:p>
    <w:p>
      <w:pPr>
        <w:jc w:val="both"/>
        <w:ind w:right="40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of these factors, see the text under the heading “Risk Factors” in Item 1A of the Company’s most recent </w:t>
      </w:r>
      <w:hyperlink r:id="rId30">
        <w:r>
          <w:rPr>
            <w:rFonts w:ascii="Arial" w:cs="Arial" w:eastAsia="Arial" w:hAnsi="Arial"/>
            <w:sz w:val="18"/>
            <w:szCs w:val="18"/>
            <w:u w:val="single" w:color="auto"/>
            <w:color w:val="0000EE"/>
          </w:rPr>
          <w:t>Form 10-K</w:t>
        </w:r>
      </w:hyperlink>
      <w:r>
        <w:rPr>
          <w:rFonts w:ascii="Arial" w:cs="Arial" w:eastAsia="Arial" w:hAnsi="Arial"/>
          <w:sz w:val="18"/>
          <w:szCs w:val="18"/>
          <w:color w:val="auto"/>
        </w:rPr>
        <w:t>.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120" w:val="left"/>
        </w:tabs>
        <w:rPr>
          <w:sz w:val="20"/>
          <w:szCs w:val="20"/>
          <w:color w:val="auto"/>
        </w:rPr>
      </w:pPr>
      <w:r>
        <w:rPr>
          <w:rFonts w:ascii="Arial" w:cs="Arial" w:eastAsia="Arial" w:hAnsi="Arial"/>
          <w:sz w:val="18"/>
          <w:szCs w:val="18"/>
          <w:color w:val="auto"/>
        </w:rPr>
        <w:t>Date: April 18,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-130175</wp:posOffset>
            </wp:positionV>
            <wp:extent cx="3353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0"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1Q06 Financial Results</w:t>
      </w:r>
    </w:p>
    <w:p>
      <w:pPr>
        <w:spacing w:after="0" w:line="327" w:lineRule="exact"/>
        <w:rPr>
          <w:sz w:val="20"/>
          <w:szCs w:val="20"/>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Grows 23% from Year Ago</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Margin Increases to 50.1 Percent of Revenue</w:t>
      </w:r>
    </w:p>
    <w:p>
      <w:pPr>
        <w:spacing w:after="0" w:line="63"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Earns $0.33 Per Share from Continuing Operations, Up 57% from Year Ago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65" w:lineRule="exact"/>
        <w:rPr>
          <w:sz w:val="20"/>
          <w:szCs w:val="20"/>
          <w:color w:val="auto"/>
        </w:rPr>
      </w:pPr>
    </w:p>
    <w:p>
      <w:pPr>
        <w:ind w:left="500" w:right="68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TI’s Sensors &amp; Controls business is reported as a discontinued operation. The previously announced divestiture of this business is expected to close in the second quarter of 2006.</w:t>
      </w:r>
    </w:p>
    <w:p>
      <w:pPr>
        <w:spacing w:after="0" w:line="224"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DALLAS (April 18, 2006) - Texas Instruments Incorporated (TI) (NYSE: TXN) today reported first-quarter 2006 revenue of $3.33 billion, up 23 percent from the same quarter in 2005 as growth in the company’s Semiconductor segment accelerated for the third consecutive quarter. Revenue in the first quarter, usually the company’s seasonally weakest quarter, was about even with the fourth quarter of 2005.</w:t>
      </w:r>
    </w:p>
    <w:p>
      <w:pPr>
        <w:ind w:right="20" w:firstLine="486"/>
        <w:spacing w:after="0" w:line="250" w:lineRule="auto"/>
        <w:rPr>
          <w:sz w:val="20"/>
          <w:szCs w:val="20"/>
          <w:color w:val="auto"/>
        </w:rPr>
      </w:pPr>
      <w:r>
        <w:rPr>
          <w:rFonts w:ascii="Arial" w:cs="Arial" w:eastAsia="Arial" w:hAnsi="Arial"/>
          <w:sz w:val="18"/>
          <w:szCs w:val="18"/>
          <w:color w:val="auto"/>
        </w:rPr>
        <w:t>Earnings per share from continuing operations were $0.33, up 57 percent from a year ago, and included stock-based compensation expense of $0.04. The company began expensing stock options in the third quarter of 2005 and, therefore, equivalent stock-based compensation expense was not reflected in the year-ago period when the company earned $0.21 per share from continuing operations.</w:t>
      </w:r>
    </w:p>
    <w:p>
      <w:pPr>
        <w:spacing w:after="0" w:line="1" w:lineRule="exact"/>
        <w:rPr>
          <w:sz w:val="20"/>
          <w:szCs w:val="20"/>
          <w:color w:val="auto"/>
        </w:rPr>
      </w:pPr>
    </w:p>
    <w:p>
      <w:pPr>
        <w:ind w:firstLine="486"/>
        <w:spacing w:after="0" w:line="277" w:lineRule="auto"/>
        <w:rPr>
          <w:sz w:val="20"/>
          <w:szCs w:val="20"/>
          <w:color w:val="auto"/>
        </w:rPr>
      </w:pPr>
      <w:r>
        <w:rPr>
          <w:rFonts w:ascii="Arial" w:cs="Arial" w:eastAsia="Arial" w:hAnsi="Arial"/>
          <w:sz w:val="17"/>
          <w:szCs w:val="17"/>
          <w:color w:val="auto"/>
        </w:rPr>
        <w:t>“This is a good start to the year. Demand was strong, and we expect it to continue,” said Rich Templeton, TI president and chief executive officer. “Especially encouraging was our growth in digital signal processors and analog semiconductors, increasing 32 percent and 24 percent respectively from a year ago. These are the core semiconductors of today’s electronics, including 3G cell phones where our revenue doubled from a year ago; low-end cell phones that are beginning to gain traction in large, emerging markets; and wireless basestations where our revenue grew by more than half. We also built momentum in consumer awareness for high-definition televisions that use TI’s DLP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picture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TI’s gross profit was $1.67 billion, or 50.1 percent of revenue, an increase of $15 million from the fourth quarter. Gross profit increased $428 million from the year-ago quarter due to higher revenue. Stock-based compensation expense of $18 million was included in cost of revenue in the first quarter of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right="180" w:firstLine="486"/>
        <w:spacing w:after="0" w:line="265" w:lineRule="auto"/>
        <w:rPr>
          <w:sz w:val="20"/>
          <w:szCs w:val="20"/>
          <w:color w:val="auto"/>
        </w:rPr>
      </w:pPr>
      <w:r>
        <w:rPr>
          <w:rFonts w:ascii="Arial" w:cs="Arial" w:eastAsia="Arial" w:hAnsi="Arial"/>
          <w:sz w:val="17"/>
          <w:szCs w:val="17"/>
          <w:color w:val="auto"/>
        </w:rPr>
        <w:t>Research and development (R&amp;D) expense of $533 million, or 16.0 percent of revenue, increased $40 million sequentially due to a combination of increased semiconductor product development, especially for wireless and high-performance analog products, and seasonally higher pay and benefits. R&amp;D expense increased $46 million from the year-ago quarter primarily due to stock-based compensation expense of $28 million, which was included in the first quarter of 2006, as well as higher semiconductor product development. R&amp;D in the first quarter included expenses associated with TI’s acquisition of Chipcon Group ASA, a leader in the design of short-range, low-power wireless RF (radio frequency) transceiver semiconductors. The acquisition will help expand TI’s high-performance analog product portfolio.</w:t>
      </w:r>
    </w:p>
    <w:p>
      <w:pPr>
        <w:spacing w:after="0" w:line="1"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Selling, general and administrative (SG&amp;A) expense of $421 million, or 12.6 percent of revenue, increased $17 million sequentially primarily due to seasonally higher pay and benefits. SG&amp;A increased $100 million from a year ago primarily due to the combination of stock-based compensation expense of $45 million included in the first quarter of 2006 and higher Semiconductor marketing expense, which included consumer advertising for DLP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7"/>
          <w:szCs w:val="17"/>
          <w:color w:val="auto"/>
        </w:rPr>
        <w:t>Operating profit of $718 million, or 21.5 percent of revenue, declined $42 million sequentially primarily due to higher operating expenses in the Semiconductor segment. Operating profit increased $282 million from the year-ago quarter due to higher gross profit in the Semiconductor segment. Total stock-based compensation expense of $91 million, or 2.7 percent of revenue, was included in corporate activities in the first quarter.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7" w:lineRule="exact"/>
        <w:rPr>
          <w:sz w:val="20"/>
          <w:szCs w:val="20"/>
          <w:color w:val="auto"/>
        </w:rPr>
      </w:pPr>
    </w:p>
    <w:p>
      <w:pPr>
        <w:ind w:right="340" w:firstLine="486"/>
        <w:spacing w:after="0" w:line="276" w:lineRule="auto"/>
        <w:rPr>
          <w:sz w:val="20"/>
          <w:szCs w:val="20"/>
          <w:color w:val="auto"/>
        </w:rPr>
      </w:pPr>
      <w:r>
        <w:rPr>
          <w:rFonts w:ascii="Arial" w:cs="Arial" w:eastAsia="Arial" w:hAnsi="Arial"/>
          <w:sz w:val="18"/>
          <w:szCs w:val="18"/>
          <w:color w:val="auto"/>
        </w:rPr>
        <w:t>Income from continuing operations was $542 million or $0.33 per share, which includes $0.04 of stock-based compensation expense. Income from discontinued operations was $43 million. Net income was $585 million or $0.36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27"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TI orders of $3.60 billion increased $116 million sequentially due to seasonally higher orders in the Educational &amp; Productivity Solutions business in preparation for the back-to-school retail season. TI orders increased $859 million from the year-ago quarter due to higher demand for Semiconductor products.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 from operations of $522 million decreased $358 million sequentially and increased $24 million from the year-ago quarter.</w:t>
      </w:r>
    </w:p>
    <w:p>
      <w:pPr>
        <w:spacing w:after="0" w:line="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At the end of the first quarter, total cash (cash and cash equivalents plus short-term investments) was $3.66 billion, down $1.67 billion from the end of the previous quarter and $1.47 billion from the end of the year-ago period. During the quarter, the company repurchased 47 million shares of TI common stock for $1.44 billion, paid $48 million in dividends and retired $311 million of long-term debt. The company also acquired Chipcon in the first quarter for $177 million in cash, net of cash acquired.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7" w:lineRule="exact"/>
        <w:rPr>
          <w:sz w:val="20"/>
          <w:szCs w:val="20"/>
          <w:color w:val="auto"/>
        </w:rPr>
      </w:pPr>
    </w:p>
    <w:p>
      <w:pPr>
        <w:ind w:right="500" w:firstLine="486"/>
        <w:spacing w:after="0" w:line="250" w:lineRule="auto"/>
        <w:rPr>
          <w:sz w:val="20"/>
          <w:szCs w:val="20"/>
          <w:color w:val="auto"/>
        </w:rPr>
      </w:pPr>
      <w:r>
        <w:rPr>
          <w:rFonts w:ascii="Arial" w:cs="Arial" w:eastAsia="Arial" w:hAnsi="Arial"/>
          <w:sz w:val="18"/>
          <w:szCs w:val="18"/>
          <w:color w:val="auto"/>
        </w:rPr>
        <w:t>Capital expenditures of $408 million increased $74 million sequentially and increased $141 million from the year-ago quarter. TI’s capital expenditures in the first quarter were primarily for assembly, test and advanced 65- and 45-nanometer wafer fabrication equipment used to manufacture semiconductors.</w:t>
      </w:r>
    </w:p>
    <w:p>
      <w:pPr>
        <w:spacing w:after="0" w:line="1"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Depreciation of $270 million decreased $66 million sequentially and $71 million from a year ago. The company’s change from an accelerated to a straight-line method of depreciation beginning in the first quarter of 2006 lowered first-quarter depreciation by $29 million.</w:t>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7" w:lineRule="exact"/>
        <w:rPr>
          <w:sz w:val="20"/>
          <w:szCs w:val="20"/>
          <w:color w:val="auto"/>
        </w:rPr>
      </w:pPr>
    </w:p>
    <w:p>
      <w:pPr>
        <w:ind w:firstLine="486"/>
        <w:spacing w:after="0" w:line="265" w:lineRule="auto"/>
        <w:rPr>
          <w:sz w:val="20"/>
          <w:szCs w:val="20"/>
          <w:color w:val="auto"/>
        </w:rPr>
      </w:pPr>
      <w:r>
        <w:rPr>
          <w:rFonts w:ascii="Arial" w:cs="Arial" w:eastAsia="Arial" w:hAnsi="Arial"/>
          <w:sz w:val="17"/>
          <w:szCs w:val="17"/>
          <w:color w:val="auto"/>
        </w:rPr>
        <w:t>Accounts receivable of $1.80 billion increased $150 million sequentially due to higher Semiconductor shipments in the last month of the quarter versus the comparable period in the prior quarter. Accounts receivable increased $274 million from the year-ago quarter due to higher revenue. Days sales outstanding were 49 at the end of the first quarter compared with 45 at the end of the previous quarter and 51 at the end of the year-ago quarter.</w:t>
      </w:r>
    </w:p>
    <w:p>
      <w:pPr>
        <w:spacing w:after="0" w:line="1"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7"/>
          <w:szCs w:val="17"/>
          <w:color w:val="auto"/>
        </w:rPr>
        <w:t>Inventory of $1.25 billion at the end of the first quarter increased $61 million sequentially as the company built inventory from the lower-than-desired levels of the fourth quarter in order to better support customer demand. Inventory increased $90 million compared with the year-ago level. Days of inventory at the end of the first quarter were 67 compared with 64 at the end of the previous quarter and 71 at the end of the year-ago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TI intends to provide a mid-quarter update to its financial outlook on June 8, 2006, by issuing a press release and holding a conference call.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Both will be available on the company’s web site.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second quarter of 2006, TI expects revenue from continuing operations to be in the following ranges:</w:t>
      </w:r>
    </w:p>
    <w:p>
      <w:pPr>
        <w:spacing w:after="0" w:line="9" w:lineRule="exact"/>
        <w:rPr>
          <w:sz w:val="20"/>
          <w:szCs w:val="20"/>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TI, $3.46 billion to $3.75 billion;</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$3.29 billion to $3.56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Educational &amp; Productivity Solutions, $170 million to $190 million.</w:t>
      </w:r>
    </w:p>
    <w:p>
      <w:pPr>
        <w:spacing w:after="0" w:line="265"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TI expects earnings per share from continuing operations to be in the range of $0.38 to $0.43. This estimate includes about $0.04, or about $90 million, for stock-based compensation expense.</w:t>
      </w:r>
    </w:p>
    <w:p>
      <w:pPr>
        <w:spacing w:after="0" w:line="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7"/>
          <w:szCs w:val="17"/>
          <w:color w:val="auto"/>
        </w:rPr>
        <w:t>In 2006 for continuing operations, the estimated annual effective tax rate remains about 30 percent. This rate is based on current tax law and does not assume reinstatement of the federal research tax credit, which expired at the end of 2005. Also in 2006 for continuing operations, TI still expects R&amp;D expense of about $2.2 billion and capital expenditures of about $1.3 billion. Depreciation is still expected to be about $1.03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92"/>
              </w:rPr>
              <w:t>For Three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Mar. 31,</w:t>
            </w:r>
          </w:p>
        </w:tc>
        <w:tc>
          <w:tcPr>
            <w:tcW w:w="240" w:type="dxa"/>
            <w:vAlign w:val="bottom"/>
          </w:tcPr>
          <w:p>
            <w:pPr>
              <w:spacing w:after="0"/>
              <w:rPr>
                <w:sz w:val="16"/>
                <w:szCs w:val="16"/>
                <w:color w:val="auto"/>
              </w:rPr>
            </w:pPr>
          </w:p>
        </w:tc>
        <w:tc>
          <w:tcPr>
            <w:tcW w:w="13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Dec. 31,</w:t>
            </w: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w:t>
            </w:r>
          </w:p>
        </w:tc>
        <w:tc>
          <w:tcPr>
            <w:tcW w:w="20" w:type="dxa"/>
            <w:vAlign w:val="bottom"/>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1,662</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1,672</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Gross profit %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50.1%</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R&amp;D %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16.0%</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SG&amp;A %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2,616</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2,564</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2,266</w:t>
            </w:r>
          </w:p>
        </w:tc>
        <w:tc>
          <w:tcPr>
            <w:tcW w:w="20" w:type="dxa"/>
            <w:vAlign w:val="bottom"/>
          </w:tcPr>
          <w:p>
            <w:pPr>
              <w:spacing w:after="0"/>
              <w:rPr>
                <w:sz w:val="21"/>
                <w:szCs w:val="2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718</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0"/>
                <w:szCs w:val="20"/>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767</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542</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1,585</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w:t>
            </w:r>
          </w:p>
        </w:tc>
        <w:tc>
          <w:tcPr>
            <w:tcW w:w="20" w:type="dxa"/>
            <w:vAlign w:val="bottom"/>
          </w:tcPr>
          <w:p>
            <w:pPr>
              <w:spacing w:after="0"/>
              <w:rPr>
                <w:sz w:val="22"/>
                <w:szCs w:val="22"/>
                <w:color w:val="auto"/>
              </w:rPr>
            </w:pP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1,618</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Stock-based compensation expense included in continuing operations: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COR</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SG&amp;A</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6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91"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 31,</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2,942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4,116</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($32), ($34) and ($37)</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of discontinued operations held for sale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(4,644)</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Equity and debt investments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14,038</w:t>
            </w:r>
          </w:p>
        </w:tc>
        <w:tc>
          <w:tcPr>
            <w:tcW w:w="1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Liabilities of discontinued operations held for sale</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w:t>
            </w:r>
          </w:p>
        </w:tc>
        <w:tc>
          <w:tcPr>
            <w:tcW w:w="2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cumulative preferred. None issued.</w:t>
            </w:r>
          </w:p>
        </w:tc>
        <w:tc>
          <w:tcPr>
            <w:tcW w:w="2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March</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w w:val="96"/>
              </w:rPr>
              <w:t>31, 2006 -- 1,739,070,044; December 31, 2005 -- 1,738,780,512; March 31, 2005 --</w:t>
            </w:r>
          </w:p>
        </w:tc>
        <w:tc>
          <w:tcPr>
            <w:tcW w:w="2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1,738,491,029</w:t>
            </w: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13,930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13,394</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Less treasury common stock at cost: Shares: March 31, 2006 -- 181,032,577; December</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 2005 -- 142,190,707; March 31, 2005 -- 76,326,181</w:t>
            </w:r>
          </w:p>
        </w:tc>
        <w:tc>
          <w:tcPr>
            <w:tcW w:w="24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(3,856)</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Minimum pension liability</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Unrealized gains (losses) on available-for-sale investments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Unearned compensation</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14,038</w:t>
            </w:r>
          </w:p>
        </w:tc>
        <w:tc>
          <w:tcPr>
            <w:tcW w:w="14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15,063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8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Dec. 31,</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1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 by</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Less income from discontinued operations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capitalized software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Amortization of acquisition-related costs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Purchased in-process research and development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(Gains)/losses on investments and sales of assets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(Increase)/decrease from changes in: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Decrease/(increase) in noncurrent accrued retirement costs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debt investments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cash provided by (used in) investing activities of continuing</w:t>
            </w: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loans and long-term debt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loans and long-term debt</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14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34" w:right="219" w:bottom="873"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Business 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center"/>
              <w:ind w:left="79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Dec. 31,</w:t>
            </w:r>
          </w:p>
        </w:tc>
        <w:tc>
          <w:tcPr>
            <w:tcW w:w="22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7"/>
        </w:trPr>
        <w:tc>
          <w:tcPr>
            <w:tcW w:w="3620" w:type="dxa"/>
            <w:vAlign w:val="bottom"/>
            <w:tcBorders>
              <w:top w:val="single" w:sz="8" w:color="CCEEFF"/>
            </w:tcBorders>
          </w:tcPr>
          <w:p>
            <w:pPr>
              <w:spacing w:after="0"/>
              <w:rPr>
                <w:sz w:val="20"/>
                <w:szCs w:val="20"/>
                <w:color w:val="auto"/>
              </w:rPr>
            </w:pPr>
          </w:p>
        </w:tc>
        <w:tc>
          <w:tcPr>
            <w:tcW w:w="31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8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r>
      <w:tr>
        <w:trPr>
          <w:trHeight w:val="224"/>
        </w:trPr>
        <w:tc>
          <w:tcPr>
            <w:tcW w:w="3620" w:type="dxa"/>
            <w:vAlign w:val="bottom"/>
            <w:tcBorders>
              <w:top w:val="single" w:sz="8" w:color="CCEEFF"/>
            </w:tcBorders>
          </w:tcPr>
          <w:p>
            <w:pPr>
              <w:spacing w:after="0"/>
              <w:rPr>
                <w:sz w:val="19"/>
                <w:szCs w:val="19"/>
                <w:color w:val="auto"/>
              </w:rPr>
            </w:pPr>
          </w:p>
        </w:tc>
        <w:tc>
          <w:tcPr>
            <w:tcW w:w="3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43"/>
        </w:trPr>
        <w:tc>
          <w:tcPr>
            <w:tcW w:w="36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414"/>
        </w:trPr>
        <w:tc>
          <w:tcPr>
            <w:tcW w:w="3620" w:type="dxa"/>
            <w:vAlign w:val="bottom"/>
          </w:tcPr>
          <w:p>
            <w:pPr>
              <w:spacing w:after="0"/>
              <w:rPr>
                <w:sz w:val="24"/>
                <w:szCs w:val="24"/>
                <w:color w:val="auto"/>
              </w:rPr>
            </w:pPr>
          </w:p>
        </w:tc>
        <w:tc>
          <w:tcPr>
            <w:tcW w:w="3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Business Segment Profit (Loss)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33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(In millions of dollars)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6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left="79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Dec. 31,</w:t>
            </w:r>
          </w:p>
        </w:tc>
        <w:tc>
          <w:tcPr>
            <w:tcW w:w="22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20"/>
                <w:szCs w:val="20"/>
                <w:color w:val="auto"/>
              </w:rPr>
            </w:pPr>
          </w:p>
        </w:tc>
      </w:tr>
      <w:tr>
        <w:trPr>
          <w:trHeight w:val="237"/>
        </w:trPr>
        <w:tc>
          <w:tcPr>
            <w:tcW w:w="36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3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7"/>
        </w:trPr>
        <w:tc>
          <w:tcPr>
            <w:tcW w:w="3620" w:type="dxa"/>
            <w:vAlign w:val="bottom"/>
            <w:tcBorders>
              <w:top w:val="single" w:sz="8" w:color="CCEEFF"/>
            </w:tcBorders>
          </w:tcPr>
          <w:p>
            <w:pPr>
              <w:spacing w:after="0"/>
              <w:rPr>
                <w:sz w:val="20"/>
                <w:szCs w:val="20"/>
                <w:color w:val="auto"/>
              </w:rPr>
            </w:pPr>
          </w:p>
        </w:tc>
        <w:tc>
          <w:tcPr>
            <w:tcW w:w="31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6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60" w:firstLine="8"/>
        <w:spacing w:after="0" w:line="264"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activities include stock-based compensation expense of $91 million, $85 million and $5 million for the first quarter of 2006, the fourth quarter of 2005 and the first quarter of 2005. Also included in the first quarter of 2005 are gains of $23 million on sales of assets related primarily to the disposition of a sales facility and the sale of the commodity liquid crystal display driver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27" w:lineRule="exact"/>
        <w:rPr>
          <w:sz w:val="20"/>
          <w:szCs w:val="20"/>
          <w:color w:val="auto"/>
        </w:rPr>
      </w:pPr>
    </w:p>
    <w:p>
      <w:pPr>
        <w:jc w:val="both"/>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$3.26 billion in the first quarter was about even sequentially, and increased 24 percent from the year-ago quarter primarily due to demand for the company’s DSP and analog products. Revenue from semiconductors used in wireless applications was even sequentially and was up 32 percent from a year ago.</w:t>
      </w:r>
    </w:p>
    <w:p>
      <w:pPr>
        <w:spacing w:after="0" w:line="1" w:lineRule="exact"/>
        <w:rPr>
          <w:rFonts w:ascii="Arial" w:cs="Arial" w:eastAsia="Arial" w:hAnsi="Arial"/>
          <w:sz w:val="18"/>
          <w:szCs w:val="18"/>
          <w:color w:val="auto"/>
        </w:rPr>
      </w:pPr>
    </w:p>
    <w:p>
      <w:pPr>
        <w:jc w:val="both"/>
        <w:ind w:left="340" w:hanging="143"/>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profit in the first quarter was $1.66 billion, or 50.8 percent of revenue. Gross profit increased $12 million sequentially, and increased $460 million from the year-ago quarter due to higher revenue. Operating profit in the first quarter was $883 million, or 27.1 percent of revenue, down $29 million sequentially due to higher operating expenses. Compared with the year-ago quarter, operating profit increased $421 million due to higher gross profit.</w:t>
      </w:r>
    </w:p>
    <w:p>
      <w:pPr>
        <w:spacing w:after="0" w:line="2" w:lineRule="exact"/>
        <w:rPr>
          <w:rFonts w:ascii="Arial" w:cs="Arial" w:eastAsia="Arial" w:hAnsi="Arial"/>
          <w:sz w:val="16"/>
          <w:szCs w:val="16"/>
          <w:color w:val="auto"/>
        </w:rPr>
      </w:pPr>
    </w:p>
    <w:p>
      <w:pPr>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Analog revenue was even sequentially, and increased 24 percent from the year-ago quarter primarily due to demand for high-performance analog products. Revenue from high-performance analog products grew 6 percent sequentially and 43 percent from a year ago.</w:t>
      </w:r>
    </w:p>
    <w:p>
      <w:pPr>
        <w:jc w:val="both"/>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DSP revenue in the first quarter increased 4 percent sequentially due to demand for communications infrastructure products, including high-density Voice over Internet Protocol (VoIP) and wireless basestation products. DSP revenue increased 32 percent from the year-ago quarter due to higher demand from the wireless market.</w:t>
      </w:r>
    </w:p>
    <w:p>
      <w:pPr>
        <w:spacing w:after="0" w:line="1" w:lineRule="exact"/>
        <w:rPr>
          <w:rFonts w:ascii="Arial" w:cs="Arial" w:eastAsia="Arial" w:hAnsi="Arial"/>
          <w:sz w:val="18"/>
          <w:szCs w:val="18"/>
          <w:color w:val="auto"/>
        </w:rPr>
      </w:pPr>
    </w:p>
    <w:p>
      <w:pPr>
        <w:jc w:val="both"/>
        <w:ind w:left="340" w:hanging="143"/>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TI’s remaining Semiconductor revenue in the first quarter decreased 6 percent sequentially primarily due to the expected seasonal decline in DLP semiconductors used in high-definition televisions and projectors, as well as lower royalties. This more than offset higher revenue in microcontrollers, RISC microprocessors and standard logic products. From a year ago, remaining Semiconductor revenue increased 14 percent primarily due to growth in standard logic, DLP, microcontroller and RISC microprocessor revenue more than offsetting a decline in royalties.</w:t>
      </w:r>
    </w:p>
    <w:p>
      <w:pPr>
        <w:ind w:left="340" w:hanging="143"/>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Semiconductor orders of $3.43 billion in the first quarter were about even sequentially, and increased 32 percent from a year ago due to broad-based demand, especially for the company’s wireless and high-performance analog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 Semiconductor Highlights</w:t>
      </w:r>
    </w:p>
    <w:p>
      <w:pPr>
        <w:spacing w:after="0" w:line="27" w:lineRule="exact"/>
        <w:rPr>
          <w:sz w:val="20"/>
          <w:szCs w:val="20"/>
          <w:color w:val="auto"/>
        </w:rPr>
      </w:pPr>
    </w:p>
    <w:p>
      <w:pPr>
        <w:ind w:left="340" w:hanging="143"/>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 announced its OMAP™ 3 product, believed to be the industry’s first applications processor in 65-nanometer process technology, that will power a new class of advanced cell phones by enabling improvements in entertainment and productivity features.</w:t>
      </w:r>
    </w:p>
    <w:p>
      <w:pPr>
        <w:ind w:left="340" w:hanging="143"/>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 joined other wireless and gaming industry leaders to define and support an open gaming architecture to accelerate the adoption of premium mobile games.</w:t>
      </w:r>
    </w:p>
    <w:p>
      <w:pPr>
        <w:ind w:left="340" w:hanging="143"/>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 introduced a new family of high-performance analog amplifiers featuring precision performance at one-tenth the power consumption of the nearest competitive device, making them ideal for medical instrumentation, temperature measurement, test equipment, security and consumer systems.</w:t>
      </w:r>
    </w:p>
    <w:p>
      <w:pPr>
        <w:spacing w:after="0" w:line="1" w:lineRule="exact"/>
        <w:rPr>
          <w:rFonts w:ascii="Arial" w:cs="Arial" w:eastAsia="Arial" w:hAnsi="Arial"/>
          <w:sz w:val="16"/>
          <w:szCs w:val="16"/>
          <w:color w:val="auto"/>
        </w:rPr>
      </w:pPr>
    </w:p>
    <w:p>
      <w:pPr>
        <w:jc w:val="both"/>
        <w:ind w:left="340" w:hanging="143"/>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 unveiled PIQUA™, a new IP network quality management system based on TI's DSP technology and embedded software solutions. Using sophisticated real-time calculations to instantly assess quality parameters, PIQUA allows network operators to proactively manage quality-of-service characteristics such as echo, dropped packets and line delay.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w:t>
      </w:r>
    </w:p>
    <w:p>
      <w:pPr>
        <w:spacing w:after="0" w:line="27" w:lineRule="exact"/>
        <w:rPr>
          <w:sz w:val="20"/>
          <w:szCs w:val="20"/>
          <w:color w:val="auto"/>
        </w:rPr>
      </w:pPr>
    </w:p>
    <w:p>
      <w:pPr>
        <w:ind w:left="340" w:hanging="143"/>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in the first quarter was $74 million, up $7 million sequentially due to higher demand for scientific calculators. Revenue was down $8 million from the year-ago quarter due to an expected shift of instructional dealers’ purchases closer to second- and third-quarter school demand.</w:t>
      </w:r>
    </w:p>
    <w:p>
      <w:pPr>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in the first quarter was $41 million, or 55.7 percent of revenue, up $6 million sequentially primarily due to higher revenue and down $3 million from the year-ago quarter primarily due to lower revenue.</w:t>
      </w:r>
    </w:p>
    <w:p>
      <w:pPr>
        <w:ind w:left="340" w:hanging="143"/>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 the quarter was $13 million, or 18.3 percent of revenue, an increase of $3 million sequentially, and a decrease of $7 million from the year-ago quarter primarily due to lower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PIQUA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0" Type="http://schemas.openxmlformats.org/officeDocument/2006/relationships/hyperlink" Target="http://www.sec.gov/Archives/edgar/data/97476/000119312506041333/d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2019-12-13T07:44:33Z</dcterms:created>
  <dcterms:modified xsi:type="dcterms:W3CDTF">2019-12-13T07:44:33Z</dcterms:modified>
</cp:coreProperties>
</file>