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46355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31750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3"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8"/>
        </w:trPr>
        <w:tc>
          <w:tcPr>
            <w:tcW w:w="21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200"/>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79"/>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52" w:lineRule="exact"/>
        <w:rPr>
          <w:sz w:val="24"/>
          <w:szCs w:val="24"/>
          <w:color w:val="auto"/>
        </w:rPr>
      </w:pPr>
    </w:p>
    <w:p>
      <w:pPr>
        <w:ind w:right="260"/>
        <w:spacing w:after="0" w:line="25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9"/>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1"/>
                <w:szCs w:val="21"/>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6"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0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128270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67945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Registrant’s news release dated October 24, 2023, regarding its third-quarter results of operations and financial condition is attached hereto as Exhibit 99.</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1"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74"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22"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October 24, 2023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Date: October 24, 2023</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3"/>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2023 financial results and shareholder returns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DALLAS (Oct. 24, 2023) – Texas Instruments Incorporated (TI) (Nasdaq: TXN) today reported third quarter revenue of $4.53 billion, net income of $1.71 billion and earnings per share of $1.85. Earnings per share included a 5-cent benefit for items that were not in the company's original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700" w:hanging="329"/>
        <w:spacing w:after="0" w:line="275"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was flat sequentially and decreased 14% from the same quarter a year ago. During the quarter, automotive growth continued and industrial weakness broadened.</w:t>
      </w:r>
    </w:p>
    <w:p>
      <w:pPr>
        <w:spacing w:after="0" w:line="173" w:lineRule="exact"/>
        <w:rPr>
          <w:rFonts w:ascii="Arial" w:cs="Arial" w:eastAsia="Arial" w:hAnsi="Arial"/>
          <w:sz w:val="18"/>
          <w:szCs w:val="18"/>
          <w:color w:val="auto"/>
        </w:rPr>
      </w:pPr>
    </w:p>
    <w:p>
      <w:pPr>
        <w:ind w:left="620" w:right="320" w:hanging="329"/>
        <w:spacing w:after="0" w:line="275"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$6.5 billion for the trailing 12 months again underscored the strength of our business model, the quality of our product portfolio and the benefit of 300-mm production. Free cash flow for the same period was $1.6 billion.</w:t>
      </w:r>
    </w:p>
    <w:p>
      <w:pPr>
        <w:spacing w:after="0" w:line="173" w:lineRule="exact"/>
        <w:rPr>
          <w:rFonts w:ascii="Arial" w:cs="Arial" w:eastAsia="Arial" w:hAnsi="Arial"/>
          <w:sz w:val="18"/>
          <w:szCs w:val="18"/>
          <w:color w:val="auto"/>
        </w:rPr>
      </w:pPr>
    </w:p>
    <w:p>
      <w:pPr>
        <w:ind w:left="620" w:right="180" w:hanging="329"/>
        <w:spacing w:after="0" w:line="275"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$3.7 billion in R&amp;D and SG&amp;A, invested $4.9 billion in capital expenditures and returned $5.6 billion to owners.</w:t>
      </w:r>
    </w:p>
    <w:p>
      <w:pPr>
        <w:spacing w:after="0" w:line="173" w:lineRule="exact"/>
        <w:rPr>
          <w:rFonts w:ascii="Arial" w:cs="Arial" w:eastAsia="Arial" w:hAnsi="Arial"/>
          <w:sz w:val="18"/>
          <w:szCs w:val="18"/>
          <w:color w:val="auto"/>
        </w:rPr>
      </w:pPr>
    </w:p>
    <w:p>
      <w:pPr>
        <w:ind w:left="620" w:right="480" w:hanging="329"/>
        <w:spacing w:after="0" w:line="275"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 quarter outlook is for revenue in the range of $3.93 billion to $4.27 billion and earnings per share between $1.35 and $1.57. We continue to expect our 2023 effective tax rate to be about 13% to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547"/>
        </w:trPr>
        <w:tc>
          <w:tcPr>
            <w:tcW w:w="490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98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Q3 2023</w:t>
            </w:r>
          </w:p>
        </w:tc>
        <w:tc>
          <w:tcPr>
            <w:tcW w:w="20" w:type="dxa"/>
            <w:vAlign w:val="bottom"/>
            <w:tcBorders>
              <w:bottom w:val="single" w:sz="8" w:color="DBDBDB"/>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Q3 2022</w:t>
            </w:r>
          </w:p>
        </w:tc>
        <w:tc>
          <w:tcPr>
            <w:tcW w:w="100" w:type="dxa"/>
            <w:vAlign w:val="bottom"/>
            <w:tcBorders>
              <w:bottom w:val="single" w:sz="8" w:color="DBDBDB"/>
            </w:tcBorders>
            <w:gridSpan w:val="2"/>
          </w:tcPr>
          <w:p>
            <w:pPr>
              <w:spacing w:after="0"/>
              <w:rPr>
                <w:sz w:val="24"/>
                <w:szCs w:val="24"/>
                <w:color w:val="auto"/>
              </w:rPr>
            </w:pPr>
          </w:p>
        </w:tc>
        <w:tc>
          <w:tcPr>
            <w:tcW w:w="40" w:type="dxa"/>
            <w:vAlign w:val="bottom"/>
            <w:tcBorders>
              <w:bottom w:val="single" w:sz="8" w:color="auto"/>
            </w:tcBorders>
            <w:gridSpan w:val="2"/>
          </w:tcPr>
          <w:p>
            <w:pPr>
              <w:spacing w:after="0"/>
              <w:rPr>
                <w:sz w:val="24"/>
                <w:szCs w:val="24"/>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4,532</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5,241</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1,892</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1,709</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94"/>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r>
      <w:tr>
        <w:trPr>
          <w:trHeight w:val="223"/>
        </w:trPr>
        <w:tc>
          <w:tcPr>
            <w:tcW w:w="490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Q3 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Q3 2023</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Q3 2022</w:t>
            </w:r>
          </w:p>
        </w:tc>
        <w:tc>
          <w:tcPr>
            <w:tcW w:w="100" w:type="dxa"/>
            <w:vAlign w:val="bottom"/>
            <w:tcBorders>
              <w:bottom w:val="single" w:sz="8" w:color="DBDBDB"/>
            </w:tcBorders>
            <w:gridSpan w:val="3"/>
          </w:tcPr>
          <w:p>
            <w:pPr>
              <w:spacing w:after="0"/>
              <w:rPr>
                <w:sz w:val="19"/>
                <w:szCs w:val="19"/>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1,937</w:t>
            </w:r>
          </w:p>
        </w:tc>
        <w:tc>
          <w:tcPr>
            <w:tcW w:w="3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6,538</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9,035</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4,890</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3,112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442</w:t>
            </w:r>
          </w:p>
        </w:tc>
        <w:tc>
          <w:tcPr>
            <w:tcW w:w="3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5,923</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29.3 %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58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r>
      <w:tr>
        <w:trPr>
          <w:trHeight w:val="223"/>
        </w:trPr>
        <w:tc>
          <w:tcPr>
            <w:tcW w:w="490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Q3 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Q3 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Q3 2022</w:t>
            </w:r>
          </w:p>
        </w:tc>
        <w:tc>
          <w:tcPr>
            <w:tcW w:w="120" w:type="dxa"/>
            <w:vAlign w:val="bottom"/>
            <w:tcBorders>
              <w:bottom w:val="single" w:sz="8" w:color="DBDBDB"/>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4,499</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4,236</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46</w:t>
            </w: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1,076</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5,575</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7,145</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1"/>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4,532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1,717</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2,815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452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7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1,892</w:t>
            </w:r>
          </w:p>
        </w:tc>
        <w:tc>
          <w:tcPr>
            <w:tcW w:w="100" w:type="dxa"/>
            <w:vAlign w:val="bottom"/>
            <w:tcBorders>
              <w:top w:val="single" w:sz="8" w:color="DBDBDB"/>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20" w:right="700"/>
        <w:spacing w:after="0" w:line="234"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1,709</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1,699</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2,284</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886"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1"/>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2,566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3,169</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6,382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5,921</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($15) and ($10)</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1,976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2,040</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2,147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3,908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2,404</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15,097</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13,772</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12,528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9,491</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(3,006)</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9,320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6,485</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1,923</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799</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31,638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26,057</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713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2,652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2,798</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10,922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7,438</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1,226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1,153</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15,007</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3,280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2,877</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52,098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49,519</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September 30, 2023 – 833; September 30, 2022 – 831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(40,253)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(39,476)</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16,631</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14,507</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31,638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26,057</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80" w:top="886"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1"/>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1,709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1,937</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2,885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(1,694)</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(1,116)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3,439</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2,566</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8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80" w:top="886"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Q3 2023</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Q3 2022</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3"/>
        </w:trPr>
        <w:tc>
          <w:tcPr>
            <w:tcW w:w="6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6,538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9,035</w:t>
            </w:r>
          </w:p>
        </w:tc>
        <w:tc>
          <w:tcPr>
            <w:tcW w:w="16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(4,890)</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1,648</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5,923</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18,112</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20,190</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36.1 %</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44.7 %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51"/>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9.1 %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08"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1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3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4" w:lineRule="exact"/>
        <w:rPr>
          <w:sz w:val="20"/>
          <w:szCs w:val="20"/>
          <w:color w:val="auto"/>
        </w:rPr>
      </w:pPr>
    </w:p>
    <w:p>
      <w:pPr>
        <w:ind w:left="620" w:right="340" w:hanging="329"/>
        <w:spacing w:after="0" w:line="25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3"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3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2023-10-24T15:05:47Z</dcterms:created>
  <dcterms:modified xsi:type="dcterms:W3CDTF">2023-10-24T15:05:47Z</dcterms:modified>
</cp:coreProperties>
</file>