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35560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6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30"/>
            <w:col w:w="335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341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41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44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4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12,491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1,133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165.2471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Acquired 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1,133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-3545840</wp:posOffset>
            </wp:positionV>
            <wp:extent cx="7033895" cy="3684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8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1"/>
        <w:spacing w:after="0" w:line="253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$165.19 to $165.425. The Issuer undertakes to provide upon request a detailed breakout of the sale prices and the number of shares sold at each price.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79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ind w:left="656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-26035</wp:posOffset>
            </wp:positionV>
            <wp:extent cx="1338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-20955</wp:posOffset>
            </wp:positionV>
            <wp:extent cx="1822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5559425</wp:posOffset>
            </wp:positionH>
            <wp:positionV relativeFrom="paragraph">
              <wp:posOffset>-86360</wp:posOffset>
            </wp:positionV>
            <wp:extent cx="4826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260" w:firstLine="1"/>
        <w:spacing w:after="0" w:line="333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127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291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2021-02-01T17:32:48Z</dcterms:created>
  <dcterms:modified xsi:type="dcterms:W3CDTF">2021-02-01T17:32:48Z</dcterms:modified>
</cp:coreProperties>
</file>