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12700</wp:posOffset>
            </wp:positionV>
            <wp:extent cx="4166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27940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72" w:lineRule="exact"/>
        <w:rPr>
          <w:sz w:val="24"/>
          <w:szCs w:val="24"/>
          <w:color w:val="auto"/>
        </w:rPr>
      </w:pPr>
    </w:p>
    <w:tbl>
      <w:tblPr>
        <w:tblLayout w:type="fixed"/>
        <w:tblInd w:w="940" w:type="dxa"/>
        <w:tblCellMar>
          <w:top w:w="0" w:type="dxa"/>
          <w:left w:w="0" w:type="dxa"/>
          <w:bottom w:w="0" w:type="dxa"/>
          <w:right w:w="0" w:type="dxa"/>
        </w:tblCellMar>
      </w:tblPr>
      <w:tr>
        <w:trPr>
          <w:trHeight w:val="225"/>
        </w:trPr>
        <w:tc>
          <w:tcPr>
            <w:tcW w:w="2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8"/>
              </w:rPr>
              <w:t>DELAWARE</w:t>
            </w: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0"/>
              </w:rPr>
              <w:t>001-03761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75-0289970</w:t>
            </w:r>
          </w:p>
        </w:tc>
      </w:tr>
      <w:tr>
        <w:trPr>
          <w:trHeight w:val="144"/>
        </w:trPr>
        <w:tc>
          <w:tcPr>
            <w:tcW w:w="214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640"/>
              <w:spacing w:after="0" w:line="145" w:lineRule="exact"/>
              <w:rPr>
                <w:sz w:val="20"/>
                <w:szCs w:val="20"/>
                <w:color w:val="auto"/>
              </w:rPr>
            </w:pPr>
            <w:r>
              <w:rPr>
                <w:rFonts w:ascii="Arial" w:cs="Arial" w:eastAsia="Arial" w:hAnsi="Arial"/>
                <w:sz w:val="14"/>
                <w:szCs w:val="14"/>
                <w:b w:val="1"/>
                <w:bCs w:val="1"/>
                <w:color w:val="auto"/>
                <w:w w:val="92"/>
              </w:rPr>
              <w:t>(Commission</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of incorporation)</w:t>
            </w: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7"/>
              </w:rPr>
              <w:t>file 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511"/>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7"/>
              </w:rPr>
              <w:t>12500 TI BOULEVARD</w:t>
            </w:r>
          </w:p>
        </w:tc>
        <w:tc>
          <w:tcPr>
            <w:tcW w:w="1120" w:type="dxa"/>
            <w:vAlign w:val="bottom"/>
          </w:tcPr>
          <w:p>
            <w:pPr>
              <w:spacing w:after="0"/>
              <w:rPr>
                <w:sz w:val="24"/>
                <w:szCs w:val="24"/>
                <w:color w:val="auto"/>
              </w:rPr>
            </w:pPr>
          </w:p>
        </w:tc>
      </w:tr>
      <w:tr>
        <w:trPr>
          <w:trHeight w:val="212"/>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Arial" w:cs="Arial" w:eastAsia="Arial" w:hAnsi="Arial"/>
                <w:sz w:val="18"/>
                <w:szCs w:val="18"/>
                <w:b w:val="1"/>
                <w:bCs w:val="1"/>
                <w:color w:val="auto"/>
                <w:w w:val="96"/>
              </w:rPr>
              <w:t>DALLAS, TEXAS 75243</w:t>
            </w:r>
          </w:p>
        </w:tc>
        <w:tc>
          <w:tcPr>
            <w:tcW w:w="112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spacing w:after="0"/>
              <w:rPr>
                <w:sz w:val="16"/>
                <w:szCs w:val="16"/>
                <w:color w:val="auto"/>
              </w:rPr>
            </w:pPr>
          </w:p>
        </w:tc>
      </w:tr>
      <w:tr>
        <w:trPr>
          <w:trHeight w:val="378"/>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20" w:type="dxa"/>
            <w:vAlign w:val="bottom"/>
          </w:tcPr>
          <w:p>
            <w:pPr>
              <w:spacing w:after="0"/>
              <w:rPr>
                <w:sz w:val="24"/>
                <w:szCs w:val="24"/>
                <w:color w:val="auto"/>
              </w:rPr>
            </w:pPr>
          </w:p>
        </w:tc>
      </w:tr>
      <w:tr>
        <w:trPr>
          <w:trHeight w:val="25"/>
        </w:trPr>
        <w:tc>
          <w:tcPr>
            <w:tcW w:w="1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350" w:lineRule="exact"/>
        <w:rPr>
          <w:sz w:val="24"/>
          <w:szCs w:val="24"/>
          <w:color w:val="auto"/>
        </w:rPr>
      </w:pPr>
    </w:p>
    <w:p>
      <w:pPr>
        <w:ind w:right="380"/>
        <w:spacing w:after="0" w:line="25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7"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3"/>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60" w:type="dxa"/>
            <w:vAlign w:val="bottom"/>
            <w:gridSpan w:val="2"/>
            <w:vMerge w:val="continue"/>
          </w:tcPr>
          <w:p>
            <w:pPr>
              <w:spacing w:after="0"/>
              <w:rPr>
                <w:sz w:val="19"/>
                <w:szCs w:val="19"/>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Symbol(s)</w:t>
            </w:r>
          </w:p>
        </w:tc>
        <w:tc>
          <w:tcPr>
            <w:tcW w:w="4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32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340" w:type="dxa"/>
            <w:vAlign w:val="bottom"/>
          </w:tcPr>
          <w:p>
            <w:pPr>
              <w:spacing w:after="0"/>
              <w:rPr>
                <w:sz w:val="19"/>
                <w:szCs w:val="19"/>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29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133350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73660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Registrant’s news release dated October 26, 2021, regarding its third-quarter results of operations and financial condition is attached hereto as Exhibit 99.</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000" w:type="dxa"/>
            <w:vAlign w:val="bottom"/>
          </w:tcPr>
          <w:p>
            <w:pPr>
              <w:jc w:val="center"/>
              <w:ind w:right="248"/>
              <w:spacing w:after="0"/>
              <w:rPr>
                <w:sz w:val="20"/>
                <w:szCs w:val="20"/>
                <w:color w:val="auto"/>
              </w:rPr>
            </w:pPr>
            <w:r>
              <w:rPr>
                <w:rFonts w:ascii="Arial" w:cs="Arial" w:eastAsia="Arial" w:hAnsi="Arial"/>
                <w:sz w:val="14"/>
                <w:szCs w:val="14"/>
                <w:color w:val="auto"/>
                <w:w w:val="91"/>
              </w:rPr>
              <w:t>Designation</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0" w:type="dxa"/>
            <w:vAlign w:val="bottom"/>
          </w:tcPr>
          <w:p>
            <w:pPr>
              <w:jc w:val="center"/>
              <w:ind w:right="228"/>
              <w:spacing w:after="0" w:line="135" w:lineRule="exact"/>
              <w:rPr>
                <w:sz w:val="20"/>
                <w:szCs w:val="20"/>
                <w:color w:val="auto"/>
              </w:rPr>
            </w:pPr>
            <w:r>
              <w:rPr>
                <w:rFonts w:ascii="Arial" w:cs="Arial" w:eastAsia="Arial" w:hAnsi="Arial"/>
                <w:sz w:val="14"/>
                <w:szCs w:val="14"/>
                <w:color w:val="auto"/>
              </w:rPr>
              <w:t>of Exhibit</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tcPr>
          <w:p>
            <w:pPr>
              <w:jc w:val="center"/>
              <w:ind w:right="248"/>
              <w:spacing w:after="0" w:line="135" w:lineRule="exact"/>
              <w:rPr>
                <w:sz w:val="20"/>
                <w:szCs w:val="20"/>
                <w:color w:val="auto"/>
              </w:rPr>
            </w:pPr>
            <w:r>
              <w:rPr>
                <w:rFonts w:ascii="Arial" w:cs="Arial" w:eastAsia="Arial" w:hAnsi="Arial"/>
                <w:sz w:val="14"/>
                <w:szCs w:val="14"/>
                <w:color w:val="auto"/>
                <w:w w:val="98"/>
              </w:rPr>
              <w:t>in this</w:t>
            </w:r>
          </w:p>
        </w:tc>
        <w:tc>
          <w:tcPr>
            <w:tcW w:w="1620" w:type="dxa"/>
            <w:vAlign w:val="bottom"/>
            <w:vMerge w:val="restart"/>
          </w:tcPr>
          <w:p>
            <w:pPr>
              <w:ind w:left="320"/>
              <w:spacing w:after="0"/>
              <w:rPr>
                <w:sz w:val="20"/>
                <w:szCs w:val="20"/>
                <w:color w:val="auto"/>
              </w:rPr>
            </w:pPr>
            <w:r>
              <w:rPr>
                <w:rFonts w:ascii="Arial" w:cs="Arial" w:eastAsia="Arial" w:hAnsi="Arial"/>
                <w:sz w:val="14"/>
                <w:szCs w:val="14"/>
                <w:color w:val="auto"/>
                <w:w w:val="97"/>
              </w:rPr>
              <w:t>Description of Exhibit</w:t>
            </w:r>
          </w:p>
        </w:tc>
        <w:tc>
          <w:tcPr>
            <w:tcW w:w="0" w:type="dxa"/>
            <w:vAlign w:val="bottom"/>
          </w:tcPr>
          <w:p>
            <w:pPr>
              <w:spacing w:after="0"/>
              <w:rPr>
                <w:sz w:val="1"/>
                <w:szCs w:val="1"/>
                <w:color w:val="auto"/>
              </w:rPr>
            </w:pPr>
          </w:p>
        </w:tc>
      </w:tr>
      <w:tr>
        <w:trPr>
          <w:trHeight w:val="182"/>
        </w:trPr>
        <w:tc>
          <w:tcPr>
            <w:tcW w:w="1000" w:type="dxa"/>
            <w:vAlign w:val="bottom"/>
          </w:tcPr>
          <w:p>
            <w:pPr>
              <w:jc w:val="center"/>
              <w:ind w:right="248"/>
              <w:spacing w:after="0"/>
              <w:rPr>
                <w:sz w:val="20"/>
                <w:szCs w:val="20"/>
                <w:color w:val="auto"/>
              </w:rPr>
            </w:pPr>
            <w:r>
              <w:rPr>
                <w:rFonts w:ascii="Arial" w:cs="Arial" w:eastAsia="Arial" w:hAnsi="Arial"/>
                <w:sz w:val="14"/>
                <w:szCs w:val="14"/>
                <w:color w:val="auto"/>
                <w:w w:val="95"/>
              </w:rPr>
              <w:t>Report</w:t>
            </w: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4445</wp:posOffset>
            </wp:positionV>
            <wp:extent cx="6129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56" w:lineRule="exact"/>
        <w:rPr>
          <w:sz w:val="20"/>
          <w:szCs w:val="20"/>
          <w:color w:val="auto"/>
        </w:rPr>
      </w:pPr>
    </w:p>
    <w:p>
      <w:pPr>
        <w:ind w:left="1600" w:hanging="1068"/>
        <w:spacing w:after="0"/>
        <w:tabs>
          <w:tab w:leader="none" w:pos="1600" w:val="left"/>
        </w:tabs>
        <w:numPr>
          <w:ilvl w:val="0"/>
          <w:numId w:val="2"/>
        </w:numPr>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Registrant’s News Release</w:t>
        </w:r>
      </w:hyperlink>
    </w:p>
    <w:p>
      <w:pPr>
        <w:spacing w:after="0" w:line="23" w:lineRule="exact"/>
        <w:rPr>
          <w:sz w:val="20"/>
          <w:szCs w:val="20"/>
          <w:color w:val="auto"/>
        </w:rPr>
      </w:pPr>
    </w:p>
    <w:tbl>
      <w:tblPr>
        <w:tblLayout w:type="fixed"/>
        <w:tblInd w:w="480" w:type="dxa"/>
        <w:tblCellMar>
          <w:top w:w="0" w:type="dxa"/>
          <w:left w:w="0" w:type="dxa"/>
          <w:bottom w:w="0" w:type="dxa"/>
          <w:right w:w="0" w:type="dxa"/>
        </w:tblCellMar>
      </w:tblPr>
      <w:tr>
        <w:trPr>
          <w:trHeight w:val="229"/>
        </w:trPr>
        <w:tc>
          <w:tcPr>
            <w:tcW w:w="70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Dated October 26, 2021 (furnished pursuant to Item 2.02)</w:t>
            </w:r>
          </w:p>
        </w:tc>
      </w:tr>
      <w:tr>
        <w:trPr>
          <w:trHeight w:val="230"/>
        </w:trPr>
        <w:tc>
          <w:tcPr>
            <w:tcW w:w="700" w:type="dxa"/>
            <w:vAlign w:val="bottom"/>
          </w:tcPr>
          <w:p>
            <w:pPr>
              <w:jc w:val="right"/>
              <w:ind w:right="330"/>
              <w:spacing w:after="0"/>
              <w:rPr>
                <w:sz w:val="20"/>
                <w:szCs w:val="20"/>
                <w:color w:val="auto"/>
              </w:rPr>
            </w:pPr>
            <w:r>
              <w:rPr>
                <w:rFonts w:ascii="Arial" w:cs="Arial" w:eastAsia="Arial" w:hAnsi="Arial"/>
                <w:sz w:val="18"/>
                <w:szCs w:val="18"/>
                <w:color w:val="auto"/>
                <w:w w:val="86"/>
              </w:rPr>
              <w:t>104</w:t>
            </w:r>
          </w:p>
        </w:tc>
        <w:tc>
          <w:tcPr>
            <w:tcW w:w="6200" w:type="dxa"/>
            <w:vAlign w:val="bottom"/>
          </w:tcPr>
          <w:p>
            <w:pPr>
              <w:ind w:left="42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7320" w:type="dxa"/>
            <w:vAlign w:val="bottom"/>
            <w:gridSpan w:val="2"/>
          </w:tcPr>
          <w:p>
            <w:pPr>
              <w:ind w:left="2200"/>
              <w:spacing w:after="0"/>
              <w:rPr>
                <w:sz w:val="20"/>
                <w:szCs w:val="20"/>
                <w:color w:val="auto"/>
              </w:rPr>
            </w:pPr>
            <w:r>
              <w:rPr>
                <w:rFonts w:ascii="Arial" w:cs="Arial" w:eastAsia="Arial" w:hAnsi="Arial"/>
                <w:sz w:val="18"/>
                <w:szCs w:val="18"/>
                <w:color w:val="auto"/>
              </w:rPr>
              <w:t>TEXAS INSTRUMENTS INCORPORATED</w:t>
            </w:r>
          </w:p>
        </w:tc>
      </w:tr>
      <w:tr>
        <w:trPr>
          <w:trHeight w:val="459"/>
        </w:trPr>
        <w:tc>
          <w:tcPr>
            <w:tcW w:w="3880" w:type="dxa"/>
            <w:vAlign w:val="bottom"/>
          </w:tcPr>
          <w:p>
            <w:pPr>
              <w:spacing w:after="0"/>
              <w:rPr>
                <w:sz w:val="20"/>
                <w:szCs w:val="20"/>
                <w:color w:val="auto"/>
              </w:rPr>
            </w:pPr>
            <w:r>
              <w:rPr>
                <w:rFonts w:ascii="Arial" w:cs="Arial" w:eastAsia="Arial" w:hAnsi="Arial"/>
                <w:sz w:val="18"/>
                <w:szCs w:val="18"/>
                <w:color w:val="auto"/>
              </w:rPr>
              <w:t>Date: October 26, 2021</w:t>
            </w:r>
          </w:p>
        </w:tc>
        <w:tc>
          <w:tcPr>
            <w:tcW w:w="3040" w:type="dxa"/>
            <w:vAlign w:val="bottom"/>
          </w:tcPr>
          <w:p>
            <w:pPr>
              <w:ind w:left="22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22"/>
        </w:trPr>
        <w:tc>
          <w:tcPr>
            <w:tcW w:w="38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8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0"/>
        </w:trPr>
        <w:tc>
          <w:tcPr>
            <w:tcW w:w="38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third quarter 2021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DALLAS (Oct. 26, 2021) – Texas Instruments Incorporated (TI) (Nasdaq: TXN) today reported third quarter revenue of $4.64 billion, net income of $1.95 billion and earnings per share of $2.07.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Regarding the company's performance and returns to shareholders, Rich Templeton, TI's chairman, president and CEO, made the following comments:</w:t>
      </w:r>
    </w:p>
    <w:p>
      <w:pPr>
        <w:spacing w:after="0" w:line="248" w:lineRule="exact"/>
        <w:rPr>
          <w:sz w:val="20"/>
          <w:szCs w:val="20"/>
          <w:color w:val="auto"/>
        </w:rPr>
      </w:pPr>
    </w:p>
    <w:p>
      <w:pPr>
        <w:ind w:left="620" w:right="600" w:hanging="329"/>
        <w:spacing w:after="0" w:line="261"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22% from the same quarter a year ago due to strong demand in industrial, automotive and personal electronics. Analog revenue grew 24% and Embedded Processing grew 13% from the same quarter a year ago.</w:t>
      </w:r>
    </w:p>
    <w:p>
      <w:pPr>
        <w:spacing w:after="0" w:line="170" w:lineRule="exact"/>
        <w:rPr>
          <w:rFonts w:ascii="Arial" w:cs="Arial" w:eastAsia="Arial" w:hAnsi="Arial"/>
          <w:sz w:val="18"/>
          <w:szCs w:val="18"/>
          <w:color w:val="auto"/>
        </w:rPr>
      </w:pPr>
    </w:p>
    <w:p>
      <w:pPr>
        <w:ind w:left="620" w:right="120" w:hanging="329"/>
        <w:spacing w:after="0" w:line="263"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$8.5 billion for the trailing 12 months again underscored the strength of our business model. Free cash flow for the same period was $7.1 billion and 41% of revenue. This reflects the quality of our product portfolio, as well as the efficiency of our manufacturing strategy, including the benefit of 300-millimeter production.</w:t>
      </w:r>
    </w:p>
    <w:p>
      <w:pPr>
        <w:spacing w:after="0" w:line="183" w:lineRule="exact"/>
        <w:rPr>
          <w:rFonts w:ascii="Arial" w:cs="Arial" w:eastAsia="Arial" w:hAnsi="Arial"/>
          <w:sz w:val="18"/>
          <w:szCs w:val="18"/>
          <w:color w:val="auto"/>
        </w:rPr>
      </w:pPr>
    </w:p>
    <w:p>
      <w:pPr>
        <w:ind w:left="620" w:right="780" w:hanging="329"/>
        <w:spacing w:after="0" w:line="342" w:lineRule="auto"/>
        <w:tabs>
          <w:tab w:leader="none" w:pos="615"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returned $4.2 billion to owners in the past 12 months through dividends and stock repurchases. Over the same period, our dividend represented 53% of free cash flow, underscoring its sustainability. In September, we announced we would increase our dividend by 13%.</w:t>
      </w:r>
    </w:p>
    <w:p>
      <w:pPr>
        <w:spacing w:after="0" w:line="123" w:lineRule="exact"/>
        <w:rPr>
          <w:rFonts w:ascii="Arial" w:cs="Arial" w:eastAsia="Arial" w:hAnsi="Arial"/>
          <w:sz w:val="16"/>
          <w:szCs w:val="16"/>
          <w:color w:val="auto"/>
        </w:rPr>
      </w:pPr>
    </w:p>
    <w:p>
      <w:pPr>
        <w:ind w:left="620" w:right="580" w:hanging="329"/>
        <w:spacing w:after="0" w:line="27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fourth quarter outlook is for revenue in the range of $4.22 billion to $4.58 billion and earnings per share between $1.83 and $2.07. We continue to expect our 2021 annual operating tax rate to be about 14%."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45"/>
        </w:trPr>
        <w:tc>
          <w:tcPr>
            <w:tcW w:w="494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7"/>
        </w:trPr>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Q3 2021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Q3 2020</w:t>
            </w:r>
          </w:p>
        </w:tc>
        <w:tc>
          <w:tcPr>
            <w:tcW w:w="20" w:type="dxa"/>
            <w:vAlign w:val="bottom"/>
          </w:tcPr>
          <w:p>
            <w:pPr>
              <w:spacing w:after="0"/>
              <w:rPr>
                <w:sz w:val="22"/>
                <w:szCs w:val="22"/>
                <w:color w:val="auto"/>
              </w:rPr>
            </w:pPr>
          </w:p>
        </w:tc>
        <w:tc>
          <w:tcPr>
            <w:tcW w:w="1540" w:type="dxa"/>
            <w:vAlign w:val="bottom"/>
          </w:tcPr>
          <w:p>
            <w:pPr>
              <w:ind w:left="480"/>
              <w:spacing w:after="0"/>
              <w:rPr>
                <w:sz w:val="20"/>
                <w:szCs w:val="20"/>
                <w:color w:val="auto"/>
              </w:rPr>
            </w:pPr>
            <w:r>
              <w:rPr>
                <w:rFonts w:ascii="Arial" w:cs="Arial" w:eastAsia="Arial" w:hAnsi="Arial"/>
                <w:sz w:val="18"/>
                <w:szCs w:val="18"/>
                <w:color w:val="auto"/>
              </w:rPr>
              <w:t>Change</w:t>
            </w:r>
          </w:p>
        </w:tc>
      </w:tr>
      <w:tr>
        <w:trPr>
          <w:trHeight w:val="223"/>
        </w:trPr>
        <w:tc>
          <w:tcPr>
            <w:tcW w:w="494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4,643</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494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2,305</w:t>
            </w:r>
          </w:p>
        </w:tc>
        <w:tc>
          <w:tcPr>
            <w:tcW w:w="360" w:type="dxa"/>
            <w:vAlign w:val="bottom"/>
            <w:gridSpan w:val="5"/>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4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1,947</w:t>
            </w:r>
          </w:p>
        </w:tc>
        <w:tc>
          <w:tcPr>
            <w:tcW w:w="36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494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360" w:type="dxa"/>
            <w:vAlign w:val="bottom"/>
            <w:gridSpan w:val="5"/>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43 %</w:t>
            </w:r>
          </w:p>
        </w:tc>
      </w:tr>
      <w:tr>
        <w:trPr>
          <w:trHeight w:val="593"/>
        </w:trPr>
        <w:tc>
          <w:tcPr>
            <w:tcW w:w="494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45"/>
        </w:trPr>
        <w:tc>
          <w:tcPr>
            <w:tcW w:w="494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6"/>
        </w:trPr>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color w:val="auto"/>
                <w:w w:val="94"/>
              </w:rPr>
              <w:t>Trailing 12 Months</w:t>
            </w:r>
          </w:p>
        </w:tc>
        <w:tc>
          <w:tcPr>
            <w:tcW w:w="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r>
      <w:tr>
        <w:trPr>
          <w:trHeight w:val="223"/>
        </w:trPr>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Q3 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Q3 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Q3 2020</w:t>
            </w:r>
          </w:p>
        </w:tc>
        <w:tc>
          <w:tcPr>
            <w:tcW w:w="20" w:type="dxa"/>
            <w:vAlign w:val="bottom"/>
          </w:tcPr>
          <w:p>
            <w:pPr>
              <w:spacing w:after="0"/>
              <w:rPr>
                <w:sz w:val="19"/>
                <w:szCs w:val="19"/>
                <w:color w:val="auto"/>
              </w:rPr>
            </w:pPr>
          </w:p>
        </w:tc>
        <w:tc>
          <w:tcPr>
            <w:tcW w:w="1540" w:type="dxa"/>
            <w:vAlign w:val="bottom"/>
          </w:tcPr>
          <w:p>
            <w:pPr>
              <w:ind w:left="500"/>
              <w:spacing w:after="0"/>
              <w:rPr>
                <w:sz w:val="20"/>
                <w:szCs w:val="20"/>
                <w:color w:val="auto"/>
              </w:rPr>
            </w:pPr>
            <w:r>
              <w:rPr>
                <w:rFonts w:ascii="Arial" w:cs="Arial" w:eastAsia="Arial" w:hAnsi="Arial"/>
                <w:sz w:val="18"/>
                <w:szCs w:val="18"/>
                <w:color w:val="auto"/>
              </w:rPr>
              <w:t>Change</w:t>
            </w:r>
          </w:p>
        </w:tc>
      </w:tr>
      <w:tr>
        <w:trPr>
          <w:trHeight w:val="223"/>
        </w:trPr>
        <w:tc>
          <w:tcPr>
            <w:tcW w:w="494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Cash flow from operations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8,524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5,768</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4940" w:type="dxa"/>
            <w:vAlign w:val="bottom"/>
            <w:gridSpan w:val="4"/>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1,392</w:t>
            </w:r>
          </w:p>
        </w:tc>
        <w:tc>
          <w:tcPr>
            <w:tcW w:w="80" w:type="dxa"/>
            <w:vAlign w:val="bottom"/>
          </w:tcPr>
          <w:p>
            <w:pPr>
              <w:spacing w:after="0"/>
              <w:rPr>
                <w:sz w:val="19"/>
                <w:szCs w:val="19"/>
                <w:color w:val="auto"/>
              </w:rPr>
            </w:pPr>
          </w:p>
        </w:tc>
        <w:tc>
          <w:tcPr>
            <w:tcW w:w="360" w:type="dxa"/>
            <w:vAlign w:val="bottom"/>
            <w:gridSpan w:val="5"/>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132 %</w:t>
            </w:r>
          </w:p>
        </w:tc>
      </w:tr>
      <w:tr>
        <w:trPr>
          <w:trHeight w:val="229"/>
        </w:trPr>
        <w:tc>
          <w:tcPr>
            <w:tcW w:w="4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7,132</w:t>
            </w:r>
          </w:p>
        </w:tc>
        <w:tc>
          <w:tcPr>
            <w:tcW w:w="80" w:type="dxa"/>
            <w:vAlign w:val="bottom"/>
            <w:shd w:val="clear" w:color="auto" w:fill="CCEEFF"/>
          </w:tcPr>
          <w:p>
            <w:pPr>
              <w:spacing w:after="0"/>
              <w:rPr>
                <w:sz w:val="19"/>
                <w:szCs w:val="19"/>
                <w:color w:val="auto"/>
              </w:rPr>
            </w:pPr>
          </w:p>
        </w:tc>
        <w:tc>
          <w:tcPr>
            <w:tcW w:w="36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5,168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4940" w:type="dxa"/>
            <w:vAlign w:val="bottom"/>
            <w:gridSpan w:val="4"/>
          </w:tcPr>
          <w:p>
            <w:pPr>
              <w:ind w:left="20"/>
              <w:spacing w:after="0"/>
              <w:rPr>
                <w:sz w:val="20"/>
                <w:szCs w:val="20"/>
                <w:color w:val="auto"/>
              </w:rPr>
            </w:pPr>
            <w:r>
              <w:rPr>
                <w:rFonts w:ascii="Arial" w:cs="Arial" w:eastAsia="Arial" w:hAnsi="Arial"/>
                <w:sz w:val="18"/>
                <w:szCs w:val="18"/>
                <w:color w:val="auto"/>
              </w:rPr>
              <w:t>Free cash flow % of revenue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37.6 %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580"/>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Cash return</w:t>
            </w:r>
          </w:p>
        </w:tc>
        <w:tc>
          <w:tcPr>
            <w:tcW w:w="40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5"/>
        </w:trPr>
        <w:tc>
          <w:tcPr>
            <w:tcW w:w="494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6"/>
        </w:trPr>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5"/>
              </w:rPr>
              <w:t>Trailing 12 Months</w:t>
            </w:r>
          </w:p>
        </w:tc>
        <w:tc>
          <w:tcPr>
            <w:tcW w:w="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r>
      <w:tr>
        <w:trPr>
          <w:trHeight w:val="223"/>
        </w:trPr>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Q3 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Q3 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ind w:left="160"/>
              <w:spacing w:after="0"/>
              <w:rPr>
                <w:sz w:val="20"/>
                <w:szCs w:val="20"/>
                <w:color w:val="auto"/>
              </w:rPr>
            </w:pPr>
            <w:r>
              <w:rPr>
                <w:rFonts w:ascii="Arial" w:cs="Arial" w:eastAsia="Arial" w:hAnsi="Arial"/>
                <w:sz w:val="18"/>
                <w:szCs w:val="18"/>
                <w:color w:val="auto"/>
              </w:rPr>
              <w:t>Q3 2020</w:t>
            </w:r>
          </w:p>
        </w:tc>
        <w:tc>
          <w:tcPr>
            <w:tcW w:w="20" w:type="dxa"/>
            <w:vAlign w:val="bottom"/>
          </w:tcPr>
          <w:p>
            <w:pPr>
              <w:spacing w:after="0"/>
              <w:rPr>
                <w:sz w:val="19"/>
                <w:szCs w:val="19"/>
                <w:color w:val="auto"/>
              </w:rPr>
            </w:pPr>
          </w:p>
        </w:tc>
        <w:tc>
          <w:tcPr>
            <w:tcW w:w="1540" w:type="dxa"/>
            <w:vAlign w:val="bottom"/>
          </w:tcPr>
          <w:p>
            <w:pPr>
              <w:ind w:left="480"/>
              <w:spacing w:after="0"/>
              <w:rPr>
                <w:sz w:val="20"/>
                <w:szCs w:val="20"/>
                <w:color w:val="auto"/>
              </w:rPr>
            </w:pPr>
            <w:r>
              <w:rPr>
                <w:rFonts w:ascii="Arial" w:cs="Arial" w:eastAsia="Arial" w:hAnsi="Arial"/>
                <w:sz w:val="18"/>
                <w:szCs w:val="18"/>
                <w:color w:val="auto"/>
              </w:rPr>
              <w:t>Change</w:t>
            </w:r>
          </w:p>
        </w:tc>
      </w:tr>
      <w:tr>
        <w:trPr>
          <w:trHeight w:val="223"/>
        </w:trPr>
        <w:tc>
          <w:tcPr>
            <w:tcW w:w="494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3"/>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494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360" w:type="dxa"/>
            <w:vAlign w:val="bottom"/>
            <w:gridSpan w:val="5"/>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4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cash returned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4,161</w:t>
            </w:r>
          </w:p>
        </w:tc>
        <w:tc>
          <w:tcPr>
            <w:tcW w:w="360" w:type="dxa"/>
            <w:vAlign w:val="bottom"/>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1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280" w:type="dxa"/>
            <w:vAlign w:val="bottom"/>
            <w:gridSpan w:val="3"/>
          </w:tcPr>
          <w:p>
            <w:pPr>
              <w:jc w:val="center"/>
              <w:ind w:left="277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540" w:type="dxa"/>
            <w:vAlign w:val="bottom"/>
          </w:tcPr>
          <w:p>
            <w:pPr>
              <w:spacing w:after="0"/>
              <w:rPr>
                <w:sz w:val="22"/>
                <w:szCs w:val="22"/>
                <w:color w:val="auto"/>
              </w:rPr>
            </w:pPr>
          </w:p>
        </w:tc>
        <w:tc>
          <w:tcPr>
            <w:tcW w:w="28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w w:val="99"/>
              </w:rPr>
              <w:t>For Three Months Ended</w:t>
            </w:r>
          </w:p>
        </w:tc>
        <w:tc>
          <w:tcPr>
            <w:tcW w:w="0" w:type="dxa"/>
            <w:vAlign w:val="bottom"/>
          </w:tcPr>
          <w:p>
            <w:pPr>
              <w:spacing w:after="0"/>
              <w:rPr>
                <w:sz w:val="1"/>
                <w:szCs w:val="1"/>
                <w:color w:val="auto"/>
              </w:rPr>
            </w:pPr>
          </w:p>
        </w:tc>
      </w:tr>
      <w:tr>
        <w:trPr>
          <w:trHeight w:val="229"/>
        </w:trPr>
        <w:tc>
          <w:tcPr>
            <w:tcW w:w="774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(Millions of dollars, except share and per-share amounts)</w:t>
            </w:r>
          </w:p>
        </w:tc>
        <w:tc>
          <w:tcPr>
            <w:tcW w:w="12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3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388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Acquisition charges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charges/other</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5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2,305</w:t>
            </w: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 (OI&amp;E)</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and debt expense</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shares outstanding (millions):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923</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5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gridSpan w:val="2"/>
            <w:vMerge w:val="restart"/>
          </w:tcPr>
          <w:p>
            <w:pPr>
              <w:jc w:val="center"/>
              <w:ind w:left="3290"/>
              <w:spacing w:after="0"/>
              <w:rPr>
                <w:sz w:val="20"/>
                <w:szCs w:val="20"/>
                <w:color w:val="auto"/>
              </w:rPr>
            </w:pPr>
            <w:r>
              <w:rPr>
                <w:rFonts w:ascii="Arial" w:cs="Arial" w:eastAsia="Arial" w:hAnsi="Arial"/>
                <w:sz w:val="18"/>
                <w:szCs w:val="18"/>
                <w:b w:val="1"/>
                <w:bCs w:val="1"/>
                <w:color w:val="auto"/>
                <w:w w:val="91"/>
              </w:rPr>
              <w:t>Supplemental Information</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77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40" w:type="dxa"/>
            <w:vAlign w:val="bottom"/>
            <w:gridSpan w:val="2"/>
          </w:tcPr>
          <w:p>
            <w:pPr>
              <w:jc w:val="center"/>
              <w:ind w:left="3310"/>
              <w:spacing w:after="0"/>
              <w:rPr>
                <w:sz w:val="20"/>
                <w:szCs w:val="20"/>
                <w:color w:val="auto"/>
              </w:rPr>
            </w:pPr>
            <w:r>
              <w:rPr>
                <w:rFonts w:ascii="Arial" w:cs="Arial" w:eastAsia="Arial" w:hAnsi="Arial"/>
                <w:sz w:val="18"/>
                <w:szCs w:val="18"/>
                <w:b w:val="1"/>
                <w:bCs w:val="1"/>
                <w:color w:val="auto"/>
                <w:w w:val="89"/>
              </w:rPr>
              <w:t>(Quarterly, except as noted)</w:t>
            </w: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740" w:type="dxa"/>
            <w:vAlign w:val="bottom"/>
            <w:gridSpan w:val="2"/>
          </w:tcPr>
          <w:p>
            <w:pPr>
              <w:ind w:left="20"/>
              <w:spacing w:after="0"/>
              <w:rPr>
                <w:sz w:val="20"/>
                <w:szCs w:val="20"/>
                <w:color w:val="auto"/>
              </w:rPr>
            </w:pPr>
            <w:r>
              <w:rPr>
                <w:rFonts w:ascii="Arial" w:cs="Arial" w:eastAsia="Arial" w:hAnsi="Arial"/>
                <w:sz w:val="18"/>
                <w:szCs w:val="18"/>
                <w:color w:val="auto"/>
                <w:w w:val="98"/>
              </w:rPr>
              <w:t>Our annual operating tax rate, which does not include discrete tax items, was 14% in both periods.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Discrete tax items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 w:right="160"/>
        <w:spacing w:after="0" w:line="235"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allocated to RSUs</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80"/>
          </w:cols>
          <w:pgMar w:left="380" w:top="89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28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1"/>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5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4"/>
                <w:szCs w:val="24"/>
                <w:color w:val="auto"/>
              </w:rPr>
            </w:pPr>
          </w:p>
        </w:tc>
      </w:tr>
      <w:tr>
        <w:trPr>
          <w:trHeight w:val="223"/>
        </w:trPr>
        <w:tc>
          <w:tcPr>
            <w:tcW w:w="76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(Millions of dollars, except share amounts)</w:t>
            </w:r>
          </w:p>
        </w:tc>
        <w:tc>
          <w:tcPr>
            <w:tcW w:w="12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4,119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2,696</w:t>
            </w: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($9) and ($12)</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30"/>
        </w:trPr>
        <w:tc>
          <w:tcPr>
            <w:tcW w:w="7740" w:type="dxa"/>
            <w:vAlign w:val="bottom"/>
            <w:gridSpan w:val="2"/>
          </w:tcPr>
          <w:p>
            <w:pPr>
              <w:ind w:left="460"/>
              <w:spacing w:after="0"/>
              <w:rPr>
                <w:sz w:val="20"/>
                <w:szCs w:val="20"/>
                <w:color w:val="auto"/>
              </w:rPr>
            </w:pPr>
            <w:r>
              <w:rPr>
                <w:rFonts w:ascii="Arial" w:cs="Arial" w:eastAsia="Arial" w:hAnsi="Arial"/>
                <w:sz w:val="18"/>
                <w:szCs w:val="18"/>
                <w:color w:val="auto"/>
              </w:rPr>
              <w:t>Raw materials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Work in process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29"/>
        </w:trPr>
        <w:tc>
          <w:tcPr>
            <w:tcW w:w="774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Finished goods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r>
      <w:tr>
        <w:trPr>
          <w:trHeight w:val="223"/>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1,863</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r>
      <w:tr>
        <w:trPr>
          <w:trHeight w:val="223"/>
        </w:trPr>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23"/>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13,585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9,259</w:t>
            </w:r>
          </w:p>
        </w:tc>
      </w:tr>
      <w:tr>
        <w:trPr>
          <w:trHeight w:val="223"/>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6,661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5,698</w:t>
            </w: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depreciation</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r>
      <w:tr>
        <w:trPr>
          <w:trHeight w:val="223"/>
        </w:trPr>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r>
      <w:tr>
        <w:trPr>
          <w:trHeight w:val="23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Acquisition-related intangibles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Capitalized software licenses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Overfunded retirement plans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7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assets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r>
      <w:tr>
        <w:trPr>
          <w:trHeight w:val="248"/>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23,273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18,207</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596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compensation</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9"/>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23"/>
        </w:trPr>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2,413</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w:t>
            </w: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w:t>
            </w:r>
          </w:p>
        </w:tc>
      </w:tr>
      <w:tr>
        <w:trPr>
          <w:trHeight w:val="23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Underfunded retirement plans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7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11,122</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9,882</w:t>
            </w:r>
          </w:p>
        </w:tc>
      </w:tr>
      <w:tr>
        <w:trPr>
          <w:trHeight w:val="21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Preferred stock, $25 par value. Authorized – 10,000,000 shares; none issued</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Common stock, $1 par value. Authorized – 2,400,000,000 shares</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Shares issued – 1,740,815,939</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2,563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2,257</w:t>
            </w: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44,847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41,305</w:t>
            </w: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Shares: September 30, 2021 – 817,400,928; September 30, 2020 – 823,174,578</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(36,687)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(36,643)</w:t>
            </w:r>
          </w:p>
        </w:tc>
      </w:tr>
      <w:tr>
        <w:trPr>
          <w:trHeight w:val="229"/>
        </w:trPr>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12,151</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8,325</w:t>
            </w:r>
          </w:p>
        </w:tc>
      </w:tr>
      <w:tr>
        <w:trPr>
          <w:trHeight w:val="223"/>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23,273</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18,207</w:t>
            </w:r>
          </w:p>
        </w:tc>
      </w:tr>
      <w:tr>
        <w:trPr>
          <w:trHeight w:val="20"/>
        </w:trPr>
        <w:tc>
          <w:tcPr>
            <w:tcW w:w="7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8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0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380" w:top="89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28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540" w:type="dxa"/>
            <w:vAlign w:val="bottom"/>
          </w:tcPr>
          <w:p>
            <w:pPr>
              <w:spacing w:after="0"/>
              <w:rPr>
                <w:sz w:val="22"/>
                <w:szCs w:val="22"/>
                <w:color w:val="auto"/>
              </w:rPr>
            </w:pPr>
          </w:p>
        </w:tc>
        <w:tc>
          <w:tcPr>
            <w:tcW w:w="28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w w:val="99"/>
              </w:rPr>
              <w:t>For Three Months Ended</w:t>
            </w:r>
          </w:p>
        </w:tc>
        <w:tc>
          <w:tcPr>
            <w:tcW w:w="0" w:type="dxa"/>
            <w:vAlign w:val="bottom"/>
          </w:tcPr>
          <w:p>
            <w:pPr>
              <w:spacing w:after="0"/>
              <w:rPr>
                <w:sz w:val="1"/>
                <w:szCs w:val="1"/>
                <w:color w:val="auto"/>
              </w:rPr>
            </w:pPr>
          </w:p>
        </w:tc>
      </w:tr>
      <w:tr>
        <w:trPr>
          <w:trHeight w:val="229"/>
        </w:trPr>
        <w:tc>
          <w:tcPr>
            <w:tcW w:w="774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(Millions of dollars)</w:t>
            </w:r>
          </w:p>
        </w:tc>
        <w:tc>
          <w:tcPr>
            <w:tcW w:w="12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1,947</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Adjustments to net income:</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tcPr>
          <w:p>
            <w:pPr>
              <w:ind w:left="46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Amortization of acquisition-related intangibles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7740" w:type="dxa"/>
            <w:vAlign w:val="bottom"/>
            <w:gridSpan w:val="2"/>
          </w:tcPr>
          <w:p>
            <w:pPr>
              <w:ind w:left="460"/>
              <w:spacing w:after="0"/>
              <w:rPr>
                <w:sz w:val="20"/>
                <w:szCs w:val="20"/>
                <w:color w:val="auto"/>
              </w:rPr>
            </w:pPr>
            <w:r>
              <w:rPr>
                <w:rFonts w:ascii="Arial" w:cs="Arial" w:eastAsia="Arial" w:hAnsi="Arial"/>
                <w:sz w:val="18"/>
                <w:szCs w:val="18"/>
                <w:color w:val="auto"/>
              </w:rPr>
              <w:t>Amortization of capitalized software</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Stock compensation</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7740" w:type="dxa"/>
            <w:vAlign w:val="bottom"/>
            <w:gridSpan w:val="2"/>
          </w:tcPr>
          <w:p>
            <w:pPr>
              <w:ind w:left="460"/>
              <w:spacing w:after="0"/>
              <w:rPr>
                <w:sz w:val="20"/>
                <w:szCs w:val="20"/>
                <w:color w:val="auto"/>
              </w:rPr>
            </w:pPr>
            <w:r>
              <w:rPr>
                <w:rFonts w:ascii="Arial" w:cs="Arial" w:eastAsia="Arial" w:hAnsi="Arial"/>
                <w:sz w:val="18"/>
                <w:szCs w:val="18"/>
                <w:color w:val="auto"/>
              </w:rPr>
              <w:t>Gains on sales of assets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Deferred taxes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Increase (decrease) from changes in:</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7740" w:type="dxa"/>
            <w:vAlign w:val="bottom"/>
            <w:gridSpan w:val="2"/>
          </w:tcPr>
          <w:p>
            <w:pPr>
              <w:ind w:left="46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7740" w:type="dxa"/>
            <w:vAlign w:val="bottom"/>
            <w:gridSpan w:val="2"/>
          </w:tcPr>
          <w:p>
            <w:pPr>
              <w:ind w:left="46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Accrued compensation</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7740" w:type="dxa"/>
            <w:vAlign w:val="bottom"/>
            <w:gridSpan w:val="2"/>
          </w:tcPr>
          <w:p>
            <w:pPr>
              <w:ind w:left="460"/>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2,428</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(486)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asset sales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Purchases of short-term investments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(1,693)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short-term investments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(884)</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1,495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Stock repurchases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80"/>
          </w:cols>
          <w:pgMar w:left="380" w:top="89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Segment results</w:t>
            </w:r>
          </w:p>
        </w:tc>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45"/>
        </w:trPr>
        <w:tc>
          <w:tcPr>
            <w:tcW w:w="662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7"/>
        </w:trPr>
        <w:tc>
          <w:tcPr>
            <w:tcW w:w="122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rPr>
              <w:t>Q3 2021</w:t>
            </w:r>
          </w:p>
        </w:tc>
        <w:tc>
          <w:tcPr>
            <w:tcW w:w="26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Q3 2020</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223"/>
        </w:trPr>
        <w:tc>
          <w:tcPr>
            <w:tcW w:w="6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Analog:</w:t>
            </w: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30"/>
        </w:trPr>
        <w:tc>
          <w:tcPr>
            <w:tcW w:w="662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2,865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662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662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6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4"/>
          </w:tcPr>
          <w:p>
            <w:pPr>
              <w:jc w:val="right"/>
              <w:ind w:right="670"/>
              <w:spacing w:after="0" w:line="202" w:lineRule="exact"/>
              <w:rPr>
                <w:sz w:val="20"/>
                <w:szCs w:val="20"/>
                <w:color w:val="auto"/>
              </w:rPr>
            </w:pPr>
            <w:r>
              <w:rPr>
                <w:rFonts w:ascii="Arial" w:cs="Arial" w:eastAsia="Arial" w:hAnsi="Arial"/>
                <w:sz w:val="18"/>
                <w:szCs w:val="18"/>
                <w:b w:val="1"/>
                <w:bCs w:val="1"/>
                <w:color w:val="auto"/>
              </w:rPr>
              <w:t>For 12 Months Ended</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0"/>
        </w:trPr>
        <w:tc>
          <w:tcPr>
            <w:tcW w:w="6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operations (GAAP)</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8,524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5,768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(1,392)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7,132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5,168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3"/>
        </w:trPr>
        <w:tc>
          <w:tcPr>
            <w:tcW w:w="63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17,588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13,735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48.5 %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4"/>
        </w:trPr>
        <w:tc>
          <w:tcPr>
            <w:tcW w:w="636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40.6 %</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37.6 %</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9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21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620" w:right="720" w:hanging="329"/>
        <w:spacing w:after="0" w:line="258" w:lineRule="auto"/>
        <w:tabs>
          <w:tab w:leader="none" w:pos="61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duration and scope of the COVID-19 pandemic, government and other third-party responses to it and the consequences for the global economy, including to our business and the businesses of our suppliers, customers and distributors;</w:t>
      </w:r>
    </w:p>
    <w:p>
      <w:pPr>
        <w:ind w:left="620" w:right="60" w:hanging="329"/>
        <w:spacing w:after="0" w:line="249"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ind w:left="620" w:hanging="329"/>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20" w:lineRule="exact"/>
        <w:rPr>
          <w:rFonts w:ascii="Arial" w:cs="Arial" w:eastAsia="Arial" w:hAnsi="Arial"/>
          <w:sz w:val="17"/>
          <w:szCs w:val="17"/>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9" w:lineRule="exact"/>
        <w:rPr>
          <w:rFonts w:ascii="Arial" w:cs="Arial" w:eastAsia="Arial" w:hAnsi="Arial"/>
          <w:sz w:val="18"/>
          <w:szCs w:val="18"/>
          <w:color w:val="auto"/>
        </w:rPr>
      </w:pPr>
    </w:p>
    <w:p>
      <w:pPr>
        <w:ind w:left="620" w:right="3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10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ind w:left="620" w:hanging="329"/>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20" w:right="1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ind w:left="620" w:right="6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60" w:hanging="329"/>
        <w:spacing w:after="0" w:line="265" w:lineRule="auto"/>
        <w:tabs>
          <w:tab w:leader="none" w:pos="615"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9" w:lineRule="exact"/>
        <w:rPr>
          <w:rFonts w:ascii="Arial" w:cs="Arial" w:eastAsia="Arial" w:hAnsi="Arial"/>
          <w:sz w:val="18"/>
          <w:szCs w:val="18"/>
          <w:color w:val="auto"/>
        </w:rPr>
      </w:pPr>
    </w:p>
    <w:p>
      <w:pPr>
        <w:ind w:left="620" w:right="38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20" w:lineRule="exact"/>
        <w:rPr>
          <w:rFonts w:ascii="Arial" w:cs="Arial" w:eastAsia="Arial" w:hAnsi="Arial"/>
          <w:sz w:val="17"/>
          <w:szCs w:val="17"/>
          <w:color w:val="auto"/>
        </w:rPr>
      </w:pPr>
    </w:p>
    <w:p>
      <w:pPr>
        <w:ind w:left="620" w:right="10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10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 w:cs="Arial" w:eastAsia="Arial" w:hAnsi="Arial"/>
          <w:sz w:val="17"/>
          <w:szCs w:val="17"/>
          <w:u w:val="single" w:color="auto"/>
          <w:color w:val="3A3AFF"/>
        </w:rPr>
        <w:t>TI.com</w:t>
      </w:r>
      <w:r>
        <w:rPr>
          <w:rFonts w:ascii="Arial" w:cs="Arial" w:eastAsia="Arial" w:hAnsi="Arial"/>
          <w:sz w:val="17"/>
          <w:szCs w:val="17"/>
          <w:color w:val="auto"/>
        </w:rPr>
        <w:t>.</w:t>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2021-10-26T15:15:29Z</dcterms:created>
  <dcterms:modified xsi:type="dcterms:W3CDTF">2021-10-26T15:15:29Z</dcterms:modified>
</cp:coreProperties>
</file>