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2"/>
              </w:rPr>
              <w:t>26,012</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413,349</w:t>
            </w:r>
            <w:r>
              <w:rPr>
                <w:rFonts w:ascii="Arial" w:cs="Arial" w:eastAsia="Arial" w:hAnsi="Arial"/>
                <w:sz w:val="22"/>
                <w:szCs w:val="22"/>
                <w:color w:val="008000"/>
                <w:w w:val="88"/>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151,550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2,977.57</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479.73</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03/20/2009</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401.61</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401.61</w:t>
            </w:r>
          </w:p>
        </w:tc>
        <w:tc>
          <w:tcPr>
            <w:tcW w:w="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16.6</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30,224.78</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1-31-09. (Interests in this account are denominated in units. Consequently, share amount shown is an estimate.) This statement does not include changes in beneficial ownership of shares held in this account occurring after 1-31-09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1-31-09. (Interests in this account are denominated in units. Consequently, share amount shown is an estimate.) This statement does not include changes in beneficial ownership of shares held in such account occurring after 1-31-09 that are eligible for deferred reporting on Form 5. Beneficial ownership by reporting person disclaimed.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03/24/2009</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2019-12-16T23:53:43Z</dcterms:created>
  <dcterms:modified xsi:type="dcterms:W3CDTF">2019-12-16T23:53:43Z</dcterms:modified>
</cp:coreProperties>
</file>