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492125</wp:posOffset>
            </wp:positionV>
            <wp:extent cx="72377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431800</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62865</wp:posOffset>
            </wp:positionV>
            <wp:extent cx="4236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41275</wp:posOffset>
            </wp:positionV>
            <wp:extent cx="42367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369" w:lineRule="exact"/>
        <w:rPr>
          <w:sz w:val="24"/>
          <w:szCs w:val="24"/>
          <w:color w:val="auto"/>
        </w:rPr>
      </w:pPr>
    </w:p>
    <w:p>
      <w:pPr>
        <w:ind w:left="780" w:right="140" w:hanging="754"/>
        <w:spacing w:after="0" w:line="256" w:lineRule="auto"/>
        <w:tabs>
          <w:tab w:leader="none" w:pos="7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08" w:lineRule="exact"/>
        <w:rPr>
          <w:sz w:val="24"/>
          <w:szCs w:val="24"/>
          <w:color w:val="auto"/>
        </w:rPr>
      </w:pPr>
    </w:p>
    <w:p>
      <w:pPr>
        <w:ind w:left="780" w:right="120" w:hanging="754"/>
        <w:spacing w:after="0" w:line="256" w:lineRule="auto"/>
        <w:tabs>
          <w:tab w:leader="none" w:pos="7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34290</wp:posOffset>
            </wp:positionV>
            <wp:extent cx="4236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21590</wp:posOffset>
            </wp:positionV>
            <wp:extent cx="42367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34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4220" w:type="dxa"/>
            <w:vAlign w:val="bottom"/>
          </w:tcPr>
          <w:p>
            <w:pPr>
              <w:jc w:val="center"/>
              <w:ind w:right="1519"/>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tcPr>
          <w:p>
            <w:pPr>
              <w:jc w:val="right"/>
              <w:ind w:right="579"/>
              <w:spacing w:after="0"/>
              <w:rPr>
                <w:sz w:val="20"/>
                <w:szCs w:val="20"/>
                <w:color w:val="auto"/>
              </w:rPr>
            </w:pPr>
            <w:r>
              <w:rPr>
                <w:rFonts w:ascii="Arial" w:cs="Arial" w:eastAsia="Arial" w:hAnsi="Arial"/>
                <w:sz w:val="18"/>
                <w:szCs w:val="18"/>
                <w:b w:val="1"/>
                <w:bCs w:val="1"/>
                <w:color w:val="auto"/>
              </w:rPr>
              <w:t>75-0289970</w:t>
            </w:r>
          </w:p>
        </w:tc>
      </w:tr>
      <w:tr>
        <w:trPr>
          <w:trHeight w:val="218"/>
        </w:trPr>
        <w:tc>
          <w:tcPr>
            <w:tcW w:w="4220" w:type="dxa"/>
            <w:vAlign w:val="bottom"/>
          </w:tcPr>
          <w:p>
            <w:pPr>
              <w:jc w:val="center"/>
              <w:ind w:right="1519"/>
              <w:spacing w:after="0"/>
              <w:rPr>
                <w:sz w:val="20"/>
                <w:szCs w:val="20"/>
                <w:color w:val="auto"/>
              </w:rPr>
            </w:pPr>
            <w:r>
              <w:rPr>
                <w:rFonts w:ascii="Arial" w:cs="Arial" w:eastAsia="Arial" w:hAnsi="Arial"/>
                <w:sz w:val="14"/>
                <w:szCs w:val="14"/>
                <w:b w:val="1"/>
                <w:bCs w:val="1"/>
                <w:color w:val="auto"/>
                <w:w w:val="94"/>
              </w:rPr>
              <w:t>(State of Incorporation)</w:t>
            </w:r>
          </w:p>
        </w:tc>
        <w:tc>
          <w:tcPr>
            <w:tcW w:w="3820" w:type="dxa"/>
            <w:vAlign w:val="bottom"/>
          </w:tcPr>
          <w:p>
            <w:pPr>
              <w:jc w:val="center"/>
              <w:ind w:left="15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63"/>
        </w:trPr>
        <w:tc>
          <w:tcPr>
            <w:tcW w:w="4220" w:type="dxa"/>
            <w:vAlign w:val="bottom"/>
          </w:tcPr>
          <w:p>
            <w:pPr>
              <w:jc w:val="center"/>
              <w:ind w:right="1519"/>
              <w:spacing w:after="0"/>
              <w:rPr>
                <w:sz w:val="20"/>
                <w:szCs w:val="20"/>
                <w:color w:val="auto"/>
              </w:rPr>
            </w:pPr>
            <w:r>
              <w:rPr>
                <w:rFonts w:ascii="Arial" w:cs="Arial" w:eastAsia="Arial" w:hAnsi="Arial"/>
                <w:sz w:val="18"/>
                <w:szCs w:val="18"/>
                <w:b w:val="1"/>
                <w:bCs w:val="1"/>
                <w:color w:val="auto"/>
                <w:w w:val="90"/>
              </w:rPr>
              <w:t>12500 TI Boulevard, Dallas, Texas</w:t>
            </w:r>
          </w:p>
        </w:tc>
        <w:tc>
          <w:tcPr>
            <w:tcW w:w="3820" w:type="dxa"/>
            <w:vAlign w:val="bottom"/>
          </w:tcPr>
          <w:p>
            <w:pPr>
              <w:jc w:val="right"/>
              <w:ind w:right="799"/>
              <w:spacing w:after="0"/>
              <w:rPr>
                <w:sz w:val="20"/>
                <w:szCs w:val="20"/>
                <w:color w:val="auto"/>
              </w:rPr>
            </w:pPr>
            <w:r>
              <w:rPr>
                <w:rFonts w:ascii="Arial" w:cs="Arial" w:eastAsia="Arial" w:hAnsi="Arial"/>
                <w:sz w:val="18"/>
                <w:szCs w:val="18"/>
                <w:b w:val="1"/>
                <w:bCs w:val="1"/>
                <w:color w:val="auto"/>
              </w:rPr>
              <w:t>75243</w:t>
            </w:r>
          </w:p>
        </w:tc>
      </w:tr>
      <w:tr>
        <w:trPr>
          <w:trHeight w:val="218"/>
        </w:trPr>
        <w:tc>
          <w:tcPr>
            <w:tcW w:w="4220" w:type="dxa"/>
            <w:vAlign w:val="bottom"/>
          </w:tcPr>
          <w:p>
            <w:pPr>
              <w:jc w:val="center"/>
              <w:ind w:right="15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20" w:type="dxa"/>
            <w:vAlign w:val="bottom"/>
          </w:tcPr>
          <w:p>
            <w:pPr>
              <w:jc w:val="center"/>
              <w:ind w:left="1539"/>
              <w:spacing w:after="0"/>
              <w:rPr>
                <w:sz w:val="20"/>
                <w:szCs w:val="20"/>
                <w:color w:val="auto"/>
              </w:rPr>
            </w:pPr>
            <w:r>
              <w:rPr>
                <w:rFonts w:ascii="Arial" w:cs="Arial" w:eastAsia="Arial" w:hAnsi="Arial"/>
                <w:sz w:val="14"/>
                <w:szCs w:val="14"/>
                <w:b w:val="1"/>
                <w:bCs w:val="1"/>
                <w:color w:val="auto"/>
                <w:w w:val="98"/>
              </w:rPr>
              <w:t>(Zip Code)</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1514475</wp:posOffset>
            </wp:positionH>
            <wp:positionV relativeFrom="paragraph">
              <wp:posOffset>194945</wp:posOffset>
            </wp:positionV>
            <wp:extent cx="42367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367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8" w:lineRule="exact"/>
        <w:rPr>
          <w:sz w:val="24"/>
          <w:szCs w:val="24"/>
          <w:color w:val="auto"/>
        </w:rPr>
      </w:pPr>
    </w:p>
    <w:tbl>
      <w:tblPr>
        <w:tblLayout w:type="fixed"/>
        <w:tblInd w:w="30" w:type="dxa"/>
        <w:tblCellMar>
          <w:top w:w="0" w:type="dxa"/>
          <w:left w:w="0" w:type="dxa"/>
          <w:bottom w:w="0" w:type="dxa"/>
          <w:right w:w="0" w:type="dxa"/>
        </w:tblCellMar>
      </w:tblPr>
      <w:tr>
        <w:trPr>
          <w:trHeight w:val="257"/>
        </w:trPr>
        <w:tc>
          <w:tcPr>
            <w:tcW w:w="37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r>
        <w:trPr>
          <w:trHeight w:val="237"/>
        </w:trPr>
        <w:tc>
          <w:tcPr>
            <w:tcW w:w="37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TXN</w:t>
            </w:r>
          </w:p>
        </w:tc>
        <w:tc>
          <w:tcPr>
            <w:tcW w:w="5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r>
        <w:trPr>
          <w:trHeight w:val="27"/>
        </w:trPr>
        <w:tc>
          <w:tcPr>
            <w:tcW w:w="370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ind w:right="4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38" w:lineRule="exact"/>
        <w:rPr>
          <w:sz w:val="24"/>
          <w:szCs w:val="24"/>
          <w:color w:val="auto"/>
        </w:rPr>
      </w:pPr>
    </w:p>
    <w:p>
      <w:pPr>
        <w:ind w:right="240"/>
        <w:spacing w:after="0" w:line="29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976" w:right="239" w:bottom="1440" w:gutter="0" w:footer="0" w:header="0"/>
        </w:sectPr>
      </w:pP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4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660"/>
              <w:spacing w:after="0"/>
              <w:rPr>
                <w:sz w:val="20"/>
                <w:szCs w:val="20"/>
                <w:color w:val="auto"/>
              </w:rPr>
            </w:pPr>
            <w:r>
              <w:rPr>
                <w:rFonts w:ascii="Arial" w:cs="Arial" w:eastAsia="Arial" w:hAnsi="Arial"/>
                <w:sz w:val="18"/>
                <w:szCs w:val="18"/>
                <w:color w:val="auto"/>
              </w:rPr>
              <w:t>Accelerated filer</w:t>
            </w:r>
          </w:p>
        </w:tc>
      </w:tr>
      <w:tr>
        <w:trPr>
          <w:trHeight w:val="270"/>
        </w:trPr>
        <w:tc>
          <w:tcPr>
            <w:tcW w:w="2880" w:type="dxa"/>
            <w:vAlign w:val="bottom"/>
          </w:tcPr>
          <w:p>
            <w:pPr>
              <w:spacing w:after="0"/>
              <w:rPr>
                <w:sz w:val="20"/>
                <w:szCs w:val="20"/>
                <w:color w:val="auto"/>
              </w:rPr>
            </w:pPr>
            <w:r>
              <w:rPr>
                <w:rFonts w:ascii="Arial" w:cs="Arial" w:eastAsia="Arial" w:hAnsi="Arial"/>
                <w:sz w:val="18"/>
                <w:szCs w:val="18"/>
                <w:color w:val="auto"/>
              </w:rPr>
              <w:t>Non-accelerated filer</w:t>
            </w:r>
          </w:p>
        </w:tc>
        <w:tc>
          <w:tcPr>
            <w:tcW w:w="274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660"/>
              <w:spacing w:after="0"/>
              <w:rPr>
                <w:sz w:val="20"/>
                <w:szCs w:val="20"/>
                <w:color w:val="auto"/>
              </w:rPr>
            </w:pPr>
            <w:r>
              <w:rPr>
                <w:rFonts w:ascii="Arial" w:cs="Arial" w:eastAsia="Arial" w:hAnsi="Arial"/>
                <w:sz w:val="18"/>
                <w:szCs w:val="18"/>
                <w:color w:val="auto"/>
                <w:w w:val="91"/>
              </w:rPr>
              <w:t>Smaller reporting company</w:t>
            </w:r>
          </w:p>
        </w:tc>
      </w:tr>
      <w:tr>
        <w:trPr>
          <w:trHeight w:val="270"/>
        </w:trPr>
        <w:tc>
          <w:tcPr>
            <w:tcW w:w="28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74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spacing w:after="0"/>
              <w:rPr>
                <w:sz w:val="23"/>
                <w:szCs w:val="23"/>
                <w:color w:val="auto"/>
              </w:rPr>
            </w:pPr>
          </w:p>
        </w:tc>
      </w:tr>
    </w:tbl>
    <w:p>
      <w:pPr>
        <w:spacing w:after="0" w:line="94"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Exchange Act). Y</w:t>
      </w:r>
      <w:r>
        <w:rPr>
          <w:rFonts w:ascii="Arial" w:cs="Arial" w:eastAsia="Arial" w:hAnsi="Arial"/>
          <w:sz w:val="16"/>
          <w:szCs w:val="16"/>
          <w:color w:val="auto"/>
        </w:rPr>
        <w:t>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129"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934,775,441</w:t>
      </w:r>
    </w:p>
    <w:p>
      <w:pPr>
        <w:spacing w:after="0" w:line="23" w:lineRule="exact"/>
        <w:rPr>
          <w:sz w:val="24"/>
          <w:szCs w:val="24"/>
          <w:color w:val="auto"/>
        </w:rPr>
      </w:pPr>
    </w:p>
    <w:p>
      <w:pPr>
        <w:jc w:val="center"/>
        <w:ind w:left="620"/>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ind w:left="620"/>
        <w:spacing w:after="0"/>
        <w:rPr>
          <w:sz w:val="20"/>
          <w:szCs w:val="20"/>
          <w:color w:val="auto"/>
        </w:rPr>
      </w:pPr>
      <w:r>
        <w:rPr>
          <w:rFonts w:ascii="Arial" w:cs="Arial" w:eastAsia="Arial" w:hAnsi="Arial"/>
          <w:sz w:val="18"/>
          <w:szCs w:val="18"/>
          <w:color w:val="auto"/>
        </w:rPr>
        <w:t>October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164465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820" w:space="320"/>
            <w:col w:w="280"/>
          </w:cols>
          <w:pgMar w:left="240" w:top="97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57"/>
        </w:trPr>
        <w:tc>
          <w:tcPr>
            <w:tcW w:w="62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22"/>
                <w:szCs w:val="22"/>
                <w:color w:val="auto"/>
              </w:rPr>
            </w:pPr>
          </w:p>
        </w:tc>
      </w:tr>
      <w:tr>
        <w:trPr>
          <w:trHeight w:val="33"/>
        </w:trPr>
        <w:tc>
          <w:tcPr>
            <w:tcW w:w="6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22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6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11,033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12,067</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Cost of revenue (COR)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1,325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3,966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4,197</w:t>
            </w:r>
          </w:p>
        </w:tc>
      </w:tr>
      <w:tr>
        <w:trPr>
          <w:trHeight w:val="33"/>
        </w:trPr>
        <w:tc>
          <w:tcPr>
            <w:tcW w:w="6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2,446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2,804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7,067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7,870</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1,158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1,159</w:t>
            </w: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1,270</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79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238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239</w:t>
            </w: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r>
      <w:tr>
        <w:trPr>
          <w:trHeight w:val="217"/>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1,589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1,937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4,474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5,197</w:t>
            </w: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Interest and debt expense</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89</w:t>
            </w:r>
          </w:p>
        </w:tc>
      </w:tr>
      <w:tr>
        <w:trPr>
          <w:trHeight w:val="33"/>
        </w:trPr>
        <w:tc>
          <w:tcPr>
            <w:tcW w:w="6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4,471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5,183</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524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842</w:t>
            </w:r>
          </w:p>
        </w:tc>
      </w:tr>
      <w:tr>
        <w:trPr>
          <w:trHeight w:val="33"/>
        </w:trPr>
        <w:tc>
          <w:tcPr>
            <w:tcW w:w="6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3,947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4,341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 (EPS):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54"/>
        </w:trPr>
        <w:tc>
          <w:tcPr>
            <w:tcW w:w="622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4.19</w:t>
            </w:r>
          </w:p>
        </w:tc>
        <w:tc>
          <w:tcPr>
            <w:tcW w:w="120" w:type="dxa"/>
            <w:vAlign w:val="bottom"/>
          </w:tcPr>
          <w:p>
            <w:pPr>
              <w:spacing w:after="0"/>
              <w:rPr>
                <w:sz w:val="22"/>
                <w:szCs w:val="22"/>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4.41</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6"/>
        </w:trPr>
        <w:tc>
          <w:tcPr>
            <w:tcW w:w="6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4.12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4.32</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54"/>
        </w:trPr>
        <w:tc>
          <w:tcPr>
            <w:tcW w:w="622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935</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969</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937</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976</w:t>
            </w: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76"/>
        </w:trPr>
        <w:tc>
          <w:tcPr>
            <w:tcW w:w="6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950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953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997</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3,947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4,341</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Income allocated to RSUs</w:t>
            </w:r>
          </w:p>
        </w:tc>
        <w:tc>
          <w:tcPr>
            <w:tcW w:w="400" w:type="dxa"/>
            <w:vAlign w:val="bottom"/>
          </w:tcPr>
          <w:p>
            <w:pPr>
              <w:spacing w:after="0"/>
              <w:rPr>
                <w:sz w:val="19"/>
                <w:szCs w:val="19"/>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6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1,559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4,307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57"/>
        </w:trPr>
        <w:tc>
          <w:tcPr>
            <w:tcW w:w="62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22"/>
                <w:szCs w:val="22"/>
                <w:color w:val="auto"/>
              </w:rPr>
            </w:pPr>
          </w:p>
        </w:tc>
      </w:tr>
      <w:tr>
        <w:trPr>
          <w:trHeight w:val="33"/>
        </w:trPr>
        <w:tc>
          <w:tcPr>
            <w:tcW w:w="6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22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6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1,425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4,341</w:t>
            </w:r>
          </w:p>
        </w:tc>
      </w:tr>
      <w:tr>
        <w:trPr>
          <w:trHeight w:val="224"/>
        </w:trPr>
        <w:tc>
          <w:tcPr>
            <w:tcW w:w="62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 net of taxes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actuarial losses of defined benefit plans:</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6220" w:type="dxa"/>
            <w:vAlign w:val="bottom"/>
            <w:gridSpan w:val="2"/>
          </w:tcPr>
          <w:p>
            <w:pPr>
              <w:ind w:left="220"/>
              <w:spacing w:after="0"/>
              <w:rPr>
                <w:sz w:val="20"/>
                <w:szCs w:val="20"/>
                <w:color w:val="auto"/>
              </w:rPr>
            </w:pPr>
            <w:r>
              <w:rPr>
                <w:rFonts w:ascii="Arial" w:cs="Arial" w:eastAsia="Arial" w:hAnsi="Arial"/>
                <w:sz w:val="16"/>
                <w:szCs w:val="16"/>
                <w:color w:val="auto"/>
              </w:rPr>
              <w:t>Adjustments</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r>
      <w:tr>
        <w:trPr>
          <w:trHeight w:val="224"/>
        </w:trPr>
        <w:tc>
          <w:tcPr>
            <w:tcW w:w="6220" w:type="dxa"/>
            <w:vAlign w:val="bottom"/>
            <w:gridSpan w:val="2"/>
          </w:tcPr>
          <w:p>
            <w:pPr>
              <w:ind w:left="120"/>
              <w:spacing w:after="0"/>
              <w:rPr>
                <w:sz w:val="20"/>
                <w:szCs w:val="20"/>
                <w:color w:val="auto"/>
              </w:rPr>
            </w:pPr>
            <w:r>
              <w:rPr>
                <w:rFonts w:ascii="Arial" w:cs="Arial" w:eastAsia="Arial" w:hAnsi="Arial"/>
                <w:sz w:val="16"/>
                <w:szCs w:val="16"/>
                <w:color w:val="auto"/>
              </w:rPr>
              <w:t>Prior service credit of defined benefit plans: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24"/>
        </w:trPr>
        <w:tc>
          <w:tcPr>
            <w:tcW w:w="6220" w:type="dxa"/>
            <w:vAlign w:val="bottom"/>
            <w:gridSpan w:val="2"/>
          </w:tcPr>
          <w:p>
            <w:pPr>
              <w:ind w:left="12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3"/>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62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Change in fair value</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17"/>
        </w:trPr>
        <w:tc>
          <w:tcPr>
            <w:tcW w:w="6220" w:type="dxa"/>
            <w:vAlign w:val="bottom"/>
            <w:gridSpan w:val="2"/>
          </w:tcPr>
          <w:p>
            <w:pPr>
              <w:ind w:left="1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30</w:t>
            </w:r>
          </w:p>
        </w:tc>
      </w:tr>
      <w:tr>
        <w:trPr>
          <w:trHeight w:val="33"/>
        </w:trPr>
        <w:tc>
          <w:tcPr>
            <w:tcW w:w="6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comprehensive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1,439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1,587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3,977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4,371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December 31,</w:t>
            </w:r>
          </w:p>
        </w:tc>
      </w:tr>
      <w:tr>
        <w:trPr>
          <w:trHeight w:val="257"/>
        </w:trPr>
        <w:tc>
          <w:tcPr>
            <w:tcW w:w="860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140" w:type="dxa"/>
            <w:vAlign w:val="bottom"/>
          </w:tcPr>
          <w:p>
            <w:pPr>
              <w:spacing w:after="0"/>
              <w:rPr>
                <w:sz w:val="22"/>
                <w:szCs w:val="22"/>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8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860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4"/>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3,893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2,438</w:t>
            </w: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1,795</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6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($13) and ($19)</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1,342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1,207</w:t>
            </w:r>
          </w:p>
        </w:tc>
      </w:tr>
      <w:tr>
        <w:trPr>
          <w:trHeight w:val="224"/>
        </w:trPr>
        <w:tc>
          <w:tcPr>
            <w:tcW w:w="860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181</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955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1,070</w:t>
            </w:r>
          </w:p>
        </w:tc>
      </w:tr>
      <w:tr>
        <w:trPr>
          <w:trHeight w:val="224"/>
        </w:trPr>
        <w:tc>
          <w:tcPr>
            <w:tcW w:w="8600" w:type="dxa"/>
            <w:vAlign w:val="bottom"/>
            <w:gridSpan w:val="2"/>
          </w:tcPr>
          <w:p>
            <w:pPr>
              <w:ind w:left="220"/>
              <w:spacing w:after="0"/>
              <w:rPr>
                <w:sz w:val="20"/>
                <w:szCs w:val="20"/>
                <w:color w:val="auto"/>
              </w:rPr>
            </w:pPr>
            <w:r>
              <w:rPr>
                <w:rFonts w:ascii="Arial" w:cs="Arial" w:eastAsia="Arial" w:hAnsi="Arial"/>
                <w:sz w:val="16"/>
                <w:szCs w:val="16"/>
                <w:color w:val="auto"/>
              </w:rPr>
              <w:t>Finished goods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966</w:t>
            </w:r>
          </w:p>
        </w:tc>
      </w:tr>
      <w:tr>
        <w:trPr>
          <w:trHeight w:val="33"/>
        </w:trPr>
        <w:tc>
          <w:tcPr>
            <w:tcW w:w="8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2,217</w:t>
            </w:r>
          </w:p>
        </w:tc>
      </w:tr>
      <w:tr>
        <w:trPr>
          <w:trHeight w:val="217"/>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440</w:t>
            </w:r>
          </w:p>
        </w:tc>
      </w:tr>
      <w:tr>
        <w:trPr>
          <w:trHeight w:val="33"/>
        </w:trPr>
        <w:tc>
          <w:tcPr>
            <w:tcW w:w="8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8,097</w:t>
            </w:r>
          </w:p>
        </w:tc>
      </w:tr>
      <w:tr>
        <w:trPr>
          <w:trHeight w:val="21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5,683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5,425</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(2,242)</w:t>
            </w:r>
          </w:p>
        </w:tc>
      </w:tr>
      <w:tr>
        <w:trPr>
          <w:trHeight w:val="217"/>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Property, plant and equipment</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3,318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3,183</w:t>
            </w:r>
          </w:p>
        </w:tc>
      </w:tr>
      <w:tr>
        <w:trPr>
          <w:trHeight w:val="33"/>
        </w:trPr>
        <w:tc>
          <w:tcPr>
            <w:tcW w:w="8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298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w:t>
            </w:r>
          </w:p>
        </w:tc>
      </w:tr>
      <w:tr>
        <w:trPr>
          <w:trHeight w:val="224"/>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4,362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4,362</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628</w:t>
            </w:r>
          </w:p>
        </w:tc>
      </w:tr>
      <w:tr>
        <w:trPr>
          <w:trHeight w:val="224"/>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Deferred tax assets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295</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w:t>
            </w:r>
          </w:p>
        </w:tc>
      </w:tr>
      <w:tr>
        <w:trPr>
          <w:trHeight w:val="224"/>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Overfunded retirement plans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106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92</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w:t>
            </w:r>
          </w:p>
        </w:tc>
      </w:tr>
      <w:tr>
        <w:trPr>
          <w:trHeight w:val="24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17,992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17,137</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8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4"/>
        </w:trPr>
        <w:tc>
          <w:tcPr>
            <w:tcW w:w="860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499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749</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478</w:t>
            </w: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Accrued compensation</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609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724</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Income taxes payable</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w:t>
            </w: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444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420</w:t>
            </w:r>
          </w:p>
        </w:tc>
      </w:tr>
      <w:tr>
        <w:trPr>
          <w:trHeight w:val="33"/>
        </w:trPr>
        <w:tc>
          <w:tcPr>
            <w:tcW w:w="8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2,474</w:t>
            </w:r>
          </w:p>
        </w:tc>
      </w:tr>
      <w:tr>
        <w:trPr>
          <w:trHeight w:val="21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5,302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4,319</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118</w:t>
            </w:r>
          </w:p>
        </w:tc>
      </w:tr>
      <w:tr>
        <w:trPr>
          <w:trHeight w:val="224"/>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42</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1,190</w:t>
            </w:r>
          </w:p>
        </w:tc>
      </w:tr>
      <w:tr>
        <w:trPr>
          <w:trHeight w:val="21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9,007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8,143</w:t>
            </w:r>
          </w:p>
        </w:tc>
      </w:tr>
      <w:tr>
        <w:trPr>
          <w:trHeight w:val="33"/>
        </w:trPr>
        <w:tc>
          <w:tcPr>
            <w:tcW w:w="8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54"/>
        </w:trPr>
        <w:tc>
          <w:tcPr>
            <w:tcW w:w="8600" w:type="dxa"/>
            <w:vAlign w:val="bottom"/>
            <w:gridSpan w:val="2"/>
          </w:tcPr>
          <w:p>
            <w:pPr>
              <w:ind w:left="140"/>
              <w:spacing w:after="0"/>
              <w:rPr>
                <w:sz w:val="20"/>
                <w:szCs w:val="20"/>
                <w:color w:val="auto"/>
              </w:rPr>
            </w:pPr>
            <w:r>
              <w:rPr>
                <w:rFonts w:ascii="Arial" w:cs="Arial" w:eastAsia="Arial" w:hAnsi="Arial"/>
                <w:sz w:val="16"/>
                <w:szCs w:val="16"/>
                <w:color w:val="auto"/>
              </w:rPr>
              <w:t>Preferred stock, $25 par value. Authorized – 10,000,000 shares</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60"/>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Participating cumulative preferred – None issued</w:t>
            </w:r>
          </w:p>
        </w:tc>
        <w:tc>
          <w:tcPr>
            <w:tcW w:w="1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r>
      <w:tr>
        <w:trPr>
          <w:trHeight w:val="240"/>
        </w:trPr>
        <w:tc>
          <w:tcPr>
            <w:tcW w:w="860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60"/>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1,741</w:t>
            </w: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Paid-in capital</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rPr>
              <w:t>2,058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1,950</w:t>
            </w: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8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39,674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37,906</w:t>
            </w: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Treasury common stock at cost</w:t>
            </w: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33"/>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8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September 30, 2019 – 805,637,804; December 31, 2018 – 795,665,646</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(34,045)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(32,130)</w:t>
            </w:r>
          </w:p>
        </w:tc>
      </w:tr>
      <w:tr>
        <w:trPr>
          <w:trHeight w:val="224"/>
        </w:trPr>
        <w:tc>
          <w:tcPr>
            <w:tcW w:w="8600" w:type="dxa"/>
            <w:vAlign w:val="bottom"/>
            <w:gridSpan w:val="2"/>
          </w:tcPr>
          <w:p>
            <w:pPr>
              <w:ind w:left="120"/>
              <w:spacing w:after="0"/>
              <w:rPr>
                <w:sz w:val="20"/>
                <w:szCs w:val="20"/>
                <w:color w:val="auto"/>
              </w:rPr>
            </w:pPr>
            <w:r>
              <w:rPr>
                <w:rFonts w:ascii="Arial" w:cs="Arial" w:eastAsia="Arial" w:hAnsi="Arial"/>
                <w:sz w:val="16"/>
                <w:szCs w:val="16"/>
                <w:color w:val="auto"/>
              </w:rPr>
              <w:t>Accumulated other comprehensive income (loss), net of taxes (AOCI)</w:t>
            </w:r>
          </w:p>
        </w:tc>
        <w:tc>
          <w:tcPr>
            <w:tcW w:w="1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(443)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(473)</w:t>
            </w:r>
          </w:p>
        </w:tc>
      </w:tr>
      <w:tr>
        <w:trPr>
          <w:trHeight w:val="33"/>
        </w:trPr>
        <w:tc>
          <w:tcPr>
            <w:tcW w:w="8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8,994</w:t>
            </w:r>
          </w:p>
        </w:tc>
      </w:tr>
      <w:tr>
        <w:trPr>
          <w:trHeight w:val="247"/>
        </w:trPr>
        <w:tc>
          <w:tcPr>
            <w:tcW w:w="860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17,992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17,137</w:t>
            </w:r>
          </w:p>
        </w:tc>
      </w:tr>
      <w:tr>
        <w:trPr>
          <w:trHeight w:val="24"/>
        </w:trPr>
        <w:tc>
          <w:tcPr>
            <w:tcW w:w="8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00"/>
          </w:cols>
          <w:pgMar w:left="240" w:top="121" w:right="259" w:bottom="6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678"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3"/>
              </w:rPr>
              <w:t>For Nine Months Ended</w:t>
            </w:r>
          </w:p>
        </w:tc>
      </w:tr>
      <w:tr>
        <w:trPr>
          <w:trHeight w:val="257"/>
        </w:trPr>
        <w:tc>
          <w:tcPr>
            <w:tcW w:w="886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tcPr>
          <w:p>
            <w:pPr>
              <w:spacing w:after="0"/>
              <w:rPr>
                <w:sz w:val="22"/>
                <w:szCs w:val="22"/>
                <w:color w:val="auto"/>
              </w:rPr>
            </w:pPr>
          </w:p>
        </w:tc>
        <w:tc>
          <w:tcPr>
            <w:tcW w:w="1500" w:type="dxa"/>
            <w:vAlign w:val="bottom"/>
            <w:gridSpan w:val="3"/>
          </w:tcPr>
          <w:p>
            <w:pPr>
              <w:jc w:val="center"/>
              <w:ind w:left="419"/>
              <w:spacing w:after="0"/>
              <w:rPr>
                <w:sz w:val="20"/>
                <w:szCs w:val="20"/>
                <w:color w:val="auto"/>
              </w:rPr>
            </w:pPr>
            <w:r>
              <w:rPr>
                <w:rFonts w:ascii="Arial" w:cs="Arial" w:eastAsia="Arial" w:hAnsi="Arial"/>
                <w:sz w:val="16"/>
                <w:szCs w:val="16"/>
                <w:b w:val="1"/>
                <w:bCs w:val="1"/>
                <w:color w:val="auto"/>
                <w:w w:val="91"/>
              </w:rPr>
              <w:t>September 30,</w:t>
            </w:r>
          </w:p>
        </w:tc>
        <w:tc>
          <w:tcPr>
            <w:tcW w:w="760" w:type="dxa"/>
            <w:vAlign w:val="bottom"/>
          </w:tcPr>
          <w:p>
            <w:pPr>
              <w:spacing w:after="0"/>
              <w:rPr>
                <w:sz w:val="22"/>
                <w:szCs w:val="22"/>
                <w:color w:val="auto"/>
              </w:rPr>
            </w:pPr>
          </w:p>
        </w:tc>
      </w:tr>
      <w:tr>
        <w:trPr>
          <w:trHeight w:val="33"/>
        </w:trPr>
        <w:tc>
          <w:tcPr>
            <w:tcW w:w="8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8860" w:type="dxa"/>
            <w:vAlign w:val="bottom"/>
            <w:gridSpan w:val="2"/>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8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3,947</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4,341</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Adjustments to net income: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8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522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432</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239</w:t>
            </w:r>
          </w:p>
        </w:tc>
      </w:tr>
      <w:tr>
        <w:trPr>
          <w:trHeight w:val="224"/>
        </w:trPr>
        <w:tc>
          <w:tcPr>
            <w:tcW w:w="886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34</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190</w:t>
            </w:r>
          </w:p>
        </w:tc>
      </w:tr>
      <w:tr>
        <w:trPr>
          <w:trHeight w:val="224"/>
        </w:trPr>
        <w:tc>
          <w:tcPr>
            <w:tcW w:w="886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Increase (decrease) from changes in:</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w:t>
            </w:r>
          </w:p>
        </w:tc>
      </w:tr>
      <w:tr>
        <w:trPr>
          <w:trHeight w:val="224"/>
        </w:trPr>
        <w:tc>
          <w:tcPr>
            <w:tcW w:w="886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w:t>
            </w:r>
          </w:p>
        </w:tc>
      </w:tr>
      <w:tr>
        <w:trPr>
          <w:trHeight w:val="224"/>
        </w:trPr>
        <w:tc>
          <w:tcPr>
            <w:tcW w:w="886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r>
      <w:tr>
        <w:trPr>
          <w:trHeight w:val="224"/>
        </w:trPr>
        <w:tc>
          <w:tcPr>
            <w:tcW w:w="886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Changes in funded status of retirement plans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4,895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5,044</w:t>
            </w:r>
          </w:p>
        </w:tc>
      </w:tr>
      <w:tr>
        <w:trPr>
          <w:trHeight w:val="237"/>
        </w:trPr>
        <w:tc>
          <w:tcPr>
            <w:tcW w:w="8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37"/>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(684)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(808)</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asset sales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Purchases of short-term investments</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(1,374)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(5,308)</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short-term investments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4,545</w:t>
            </w: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(1,583)</w:t>
            </w:r>
          </w:p>
        </w:tc>
      </w:tr>
      <w:tr>
        <w:trPr>
          <w:trHeight w:val="237"/>
        </w:trPr>
        <w:tc>
          <w:tcPr>
            <w:tcW w:w="8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37"/>
        </w:trPr>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1,500</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Repayment of debt</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Dividends paid</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(2,167)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(1,819)</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(2,471)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(3,091)</w:t>
            </w:r>
          </w:p>
        </w:tc>
      </w:tr>
      <w:tr>
        <w:trPr>
          <w:trHeight w:val="224"/>
        </w:trPr>
        <w:tc>
          <w:tcPr>
            <w:tcW w:w="8860" w:type="dxa"/>
            <w:vAlign w:val="bottom"/>
            <w:gridSpan w:val="2"/>
          </w:tcPr>
          <w:p>
            <w:pPr>
              <w:ind w:left="120"/>
              <w:spacing w:after="0"/>
              <w:rPr>
                <w:sz w:val="20"/>
                <w:szCs w:val="20"/>
                <w:color w:val="auto"/>
              </w:rPr>
            </w:pPr>
            <w:r>
              <w:rPr>
                <w:rFonts w:ascii="Arial" w:cs="Arial" w:eastAsia="Arial" w:hAnsi="Arial"/>
                <w:sz w:val="16"/>
                <w:szCs w:val="16"/>
                <w:color w:val="auto"/>
              </w:rPr>
              <w:t>Proceeds from common stock transactions</w:t>
            </w: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491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335</w:t>
            </w:r>
          </w:p>
        </w:tc>
      </w:tr>
      <w:tr>
        <w:trPr>
          <w:trHeight w:val="33"/>
        </w:trPr>
        <w:tc>
          <w:tcPr>
            <w:tcW w:w="8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7"/>
        </w:trPr>
        <w:tc>
          <w:tcPr>
            <w:tcW w:w="8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17"/>
        </w:trPr>
        <w:tc>
          <w:tcPr>
            <w:tcW w:w="8860" w:type="dxa"/>
            <w:vAlign w:val="bottom"/>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(3,441)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(3,615)</w:t>
            </w:r>
          </w:p>
        </w:tc>
      </w:tr>
      <w:tr>
        <w:trPr>
          <w:trHeight w:val="33"/>
        </w:trPr>
        <w:tc>
          <w:tcPr>
            <w:tcW w:w="8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8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bl>
    <w:p>
      <w:pPr>
        <w:spacing w:after="0" w:line="13"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3773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at beginning of period</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40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1,455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57"/>
        </w:trPr>
        <w:tc>
          <w:tcPr>
            <w:tcW w:w="400" w:type="dxa"/>
            <w:vAlign w:val="bottom"/>
          </w:tcPr>
          <w:p>
            <w:pPr>
              <w:spacing w:after="0"/>
              <w:rPr>
                <w:sz w:val="22"/>
                <w:szCs w:val="22"/>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2,438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1,656</w:t>
            </w:r>
          </w:p>
        </w:tc>
      </w:tr>
      <w:tr>
        <w:trPr>
          <w:trHeight w:val="33"/>
        </w:trPr>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3,893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1,502</w:t>
            </w:r>
          </w:p>
        </w:tc>
      </w:tr>
      <w:tr>
        <w:trPr>
          <w:trHeight w:val="33"/>
        </w:trPr>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40" w:space="720"/>
            <w:col w:w="2540"/>
          </w:cols>
          <w:pgMar w:left="240" w:top="121" w:right="259" w:bottom="1440" w:gutter="0" w:footer="0" w:header="0"/>
          <w:type w:val="continuous"/>
        </w:sectPr>
      </w:pP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400"/>
          </w:cols>
          <w:pgMar w:left="240" w:top="12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12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which are established along major categories of products as follows:</w:t>
      </w:r>
    </w:p>
    <w:p>
      <w:pPr>
        <w:spacing w:after="0" w:line="170" w:lineRule="exact"/>
        <w:rPr>
          <w:sz w:val="20"/>
          <w:szCs w:val="20"/>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consisting of the following product lines: Power, Signal Chain and High Volume.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consisting of the following product lines: Connected Microcontrollers and Processors.</w:t>
      </w:r>
    </w:p>
    <w:p>
      <w:pPr>
        <w:spacing w:after="0" w:line="225" w:lineRule="exact"/>
        <w:rPr>
          <w:sz w:val="20"/>
          <w:szCs w:val="20"/>
          <w:color w:val="auto"/>
        </w:rPr>
      </w:pPr>
    </w:p>
    <w:p>
      <w:pPr>
        <w:ind w:right="460"/>
        <w:spacing w:after="0" w:line="244"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products, calculators and custom ASIC products.</w:t>
      </w:r>
    </w:p>
    <w:p>
      <w:pPr>
        <w:spacing w:after="0" w:line="19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57"/>
        </w:trPr>
        <w:tc>
          <w:tcPr>
            <w:tcW w:w="6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22"/>
                <w:szCs w:val="22"/>
                <w:color w:val="auto"/>
              </w:rPr>
            </w:pPr>
          </w:p>
        </w:tc>
      </w:tr>
      <w:tr>
        <w:trPr>
          <w:trHeight w:val="33"/>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Analog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2,674</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7,726</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8,163</w:t>
            </w: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724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2,310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2,763</w:t>
            </w: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373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997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1,141</w:t>
            </w: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11,033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12,067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6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Analog</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1,231</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3,427</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3,876</w:t>
            </w: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Embedded Processing</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747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971</w:t>
            </w: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350</w:t>
            </w: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4,474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5,197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following geographic area information includes revenue based on product shipment destination. The revenue information is not necessarily indicative of the geographic area in which the end applications containing our products are ultimately consumed because our products tend to be shipped to the locations where our customers manufacture their products. Specifically, many of our products are shipped to our customers in China who may include these parts in the manufacture of their own end products, which they may in turn export to their customers around the world.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ind w:left="140"/>
              <w:spacing w:after="0"/>
              <w:rPr>
                <w:sz w:val="20"/>
                <w:szCs w:val="20"/>
                <w:color w:val="auto"/>
              </w:rPr>
            </w:pPr>
            <w:r>
              <w:rPr>
                <w:rFonts w:ascii="Arial" w:cs="Arial" w:eastAsia="Arial" w:hAnsi="Arial"/>
                <w:sz w:val="16"/>
                <w:szCs w:val="16"/>
                <w:b w:val="1"/>
                <w:bCs w:val="1"/>
                <w:color w:val="auto"/>
              </w:rPr>
              <w:t>For Three Months Ended</w:t>
            </w:r>
          </w:p>
        </w:tc>
        <w:tc>
          <w:tcPr>
            <w:tcW w:w="280" w:type="dxa"/>
            <w:vAlign w:val="bottom"/>
          </w:tcPr>
          <w:p>
            <w:pPr>
              <w:spacing w:after="0"/>
              <w:rPr>
                <w:sz w:val="18"/>
                <w:szCs w:val="18"/>
                <w:color w:val="auto"/>
              </w:rPr>
            </w:pPr>
          </w:p>
        </w:tc>
        <w:tc>
          <w:tcPr>
            <w:tcW w:w="22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Nine Months Ended</w:t>
            </w:r>
          </w:p>
        </w:tc>
      </w:tr>
      <w:tr>
        <w:trPr>
          <w:trHeight w:val="257"/>
        </w:trPr>
        <w:tc>
          <w:tcPr>
            <w:tcW w:w="6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Pr>
          <w:p>
            <w:pPr>
              <w:spacing w:after="0"/>
              <w:rPr>
                <w:sz w:val="22"/>
                <w:szCs w:val="22"/>
                <w:color w:val="auto"/>
              </w:rPr>
            </w:pPr>
          </w:p>
        </w:tc>
      </w:tr>
      <w:tr>
        <w:trPr>
          <w:trHeight w:val="33"/>
        </w:trPr>
        <w:tc>
          <w:tcPr>
            <w:tcW w:w="6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3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jc w:val="right"/>
              <w:ind w:right="359"/>
              <w:spacing w:after="0"/>
              <w:rPr>
                <w:sz w:val="20"/>
                <w:szCs w:val="20"/>
                <w:color w:val="auto"/>
              </w:rPr>
            </w:pPr>
            <w:r>
              <w:rPr>
                <w:rFonts w:ascii="Arial" w:cs="Arial" w:eastAsia="Arial" w:hAnsi="Arial"/>
                <w:sz w:val="16"/>
                <w:szCs w:val="16"/>
                <w:b w:val="1"/>
                <w:bCs w:val="1"/>
                <w:color w:val="auto"/>
                <w:w w:val="84"/>
              </w:rPr>
              <w:t>2018</w:t>
            </w: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504</w:t>
            </w:r>
          </w:p>
        </w:tc>
        <w:tc>
          <w:tcPr>
            <w:tcW w:w="10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665</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1,468</w:t>
            </w:r>
          </w:p>
        </w:tc>
        <w:tc>
          <w:tcPr>
            <w:tcW w:w="120" w:type="dxa"/>
            <w:vAlign w:val="bottom"/>
          </w:tcPr>
          <w:p>
            <w:pPr>
              <w:spacing w:after="0"/>
              <w:rPr>
                <w:sz w:val="19"/>
                <w:szCs w:val="19"/>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1,783</w:t>
            </w: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Asia (a)</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6,512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7,075</w:t>
            </w: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Europe, Middle East and Africa</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699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2,151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2,304</w:t>
            </w:r>
          </w:p>
        </w:tc>
      </w:tr>
      <w:tr>
        <w:trPr>
          <w:trHeight w:val="33"/>
        </w:trPr>
        <w:tc>
          <w:tcPr>
            <w:tcW w:w="6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Japan</w:t>
            </w: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198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607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656</w:t>
            </w:r>
          </w:p>
        </w:tc>
      </w:tr>
      <w:tr>
        <w:trPr>
          <w:trHeight w:val="224"/>
        </w:trPr>
        <w:tc>
          <w:tcPr>
            <w:tcW w:w="6220" w:type="dxa"/>
            <w:vAlign w:val="bottom"/>
          </w:tcPr>
          <w:p>
            <w:pPr>
              <w:ind w:left="120"/>
              <w:spacing w:after="0"/>
              <w:rPr>
                <w:sz w:val="20"/>
                <w:szCs w:val="20"/>
                <w:color w:val="auto"/>
              </w:rPr>
            </w:pPr>
            <w:r>
              <w:rPr>
                <w:rFonts w:ascii="Arial" w:cs="Arial" w:eastAsia="Arial" w:hAnsi="Arial"/>
                <w:sz w:val="16"/>
                <w:szCs w:val="16"/>
                <w:color w:val="auto"/>
              </w:rPr>
              <w:t>Rest of world</w:t>
            </w:r>
          </w:p>
        </w:tc>
        <w:tc>
          <w:tcPr>
            <w:tcW w:w="24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295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249</w:t>
            </w:r>
          </w:p>
        </w:tc>
      </w:tr>
      <w:tr>
        <w:trPr>
          <w:trHeight w:val="33"/>
        </w:trPr>
        <w:tc>
          <w:tcPr>
            <w:tcW w:w="6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2"/>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3,771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11,033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12,067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340" w:hanging="332"/>
        <w:spacing w:after="0" w:line="277"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from products shipped into China was $1.9 billion and $2.0 billion in the third quarters of 2019 and 2018, respectively, and $5.4 billion and $5.3 billion in the first nine months of 2019 and 2018, respectively.</w:t>
      </w:r>
    </w:p>
    <w:p>
      <w:pPr>
        <w:spacing w:after="0" w:line="19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The consolidated financial statements have been prepared in accordance with accounting principles generally accepted in the United States (GAAP) and on the same basis as the audited financial statements included in our annual report on Form 10-K for the year ended December 31, 2018, except for the effects of adopting Accounting Standards Update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The Consolidated Statements of Income, Comprehensive Income and Cash Flows for the periods ended September 30, 2019 and 2018, and the Consolidated Balance Sheet as of September 30, 2019, are not audited but reflect all adjustments that are of a normal recurring nature and are necessary for a fair statement of the results of the periods shown.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GAAP for a complete set of financial statements, they should be read in conjunction with the audited consolidated financial statements and notes included in our annual report on Form 10-K for the year ended December 31, 2018. The results for the three- and nine-month periods are not necessarily indicative of a full year’s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8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not to terminate the lease when it is reasonably certain that we will exercise such options.</w:t>
      </w:r>
    </w:p>
    <w:p>
      <w:pPr>
        <w:spacing w:after="0" w:line="173"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 as shown in the table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900" w:type="dxa"/>
            <w:vAlign w:val="bottom"/>
            <w:gridSpan w:val="9"/>
          </w:tcPr>
          <w:p>
            <w:pPr>
              <w:jc w:val="center"/>
              <w:ind w:right="100"/>
              <w:spacing w:after="0"/>
              <w:rPr>
                <w:sz w:val="20"/>
                <w:szCs w:val="20"/>
                <w:color w:val="auto"/>
              </w:rPr>
            </w:pPr>
            <w:r>
              <w:rPr>
                <w:rFonts w:ascii="Arial" w:cs="Arial" w:eastAsia="Arial" w:hAnsi="Arial"/>
                <w:sz w:val="16"/>
                <w:szCs w:val="16"/>
                <w:b w:val="1"/>
                <w:bCs w:val="1"/>
                <w:color w:val="auto"/>
                <w:w w:val="92"/>
              </w:rPr>
              <w:t>For Three Months Ended September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47"/>
        </w:trPr>
        <w:tc>
          <w:tcPr>
            <w:tcW w:w="4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17"/>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59"/>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2"/>
              </w:rPr>
              <w:t>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960" w:type="dxa"/>
            <w:vAlign w:val="bottom"/>
          </w:tcPr>
          <w:p>
            <w:pPr>
              <w:jc w:val="center"/>
              <w:ind w:left="59"/>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200" w:type="dxa"/>
            <w:vAlign w:val="bottom"/>
          </w:tcPr>
          <w:p>
            <w:pPr>
              <w:spacing w:after="0"/>
              <w:rPr>
                <w:sz w:val="18"/>
                <w:szCs w:val="18"/>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2"/>
              </w:rPr>
              <w:t>Income</w:t>
            </w: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1,425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RSUs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6"/>
                <w:szCs w:val="16"/>
                <w:color w:val="auto"/>
              </w:rPr>
              <w:t>Income allocated to common stock</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1,416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1.51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969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1.61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effect of stock compensation plans</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57"/>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1,425</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RSUs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6"/>
                <w:szCs w:val="16"/>
                <w:color w:val="auto"/>
              </w:rPr>
              <w:t>Income allocated to common stock</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1,417</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950</w:t>
            </w:r>
          </w:p>
        </w:tc>
        <w:tc>
          <w:tcPr>
            <w:tcW w:w="140" w:type="dxa"/>
            <w:vAlign w:val="bottom"/>
            <w:tcBorders>
              <w:top w:val="single" w:sz="8" w:color="auto"/>
              <w:bottom w:val="single" w:sz="8" w:color="auto"/>
            </w:tcBorders>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1.49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1,559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989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1.58</w:t>
            </w:r>
          </w:p>
        </w:tc>
      </w:tr>
      <w:tr>
        <w:trPr>
          <w:trHeight w:val="24"/>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595"/>
        </w:trPr>
        <w:tc>
          <w:tcPr>
            <w:tcW w:w="4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00" w:type="dxa"/>
            <w:vAlign w:val="bottom"/>
            <w:gridSpan w:val="9"/>
          </w:tcPr>
          <w:p>
            <w:pPr>
              <w:jc w:val="center"/>
              <w:ind w:right="80"/>
              <w:spacing w:after="0"/>
              <w:rPr>
                <w:sz w:val="20"/>
                <w:szCs w:val="20"/>
                <w:color w:val="auto"/>
              </w:rPr>
            </w:pPr>
            <w:r>
              <w:rPr>
                <w:rFonts w:ascii="Arial" w:cs="Arial" w:eastAsia="Arial" w:hAnsi="Arial"/>
                <w:sz w:val="16"/>
                <w:szCs w:val="16"/>
                <w:b w:val="1"/>
                <w:bCs w:val="1"/>
                <w:color w:val="auto"/>
                <w:w w:val="92"/>
              </w:rPr>
              <w:t>For Nine Months Ended September 30,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7"/>
        </w:trPr>
        <w:tc>
          <w:tcPr>
            <w:tcW w:w="4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17"/>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59"/>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2"/>
              </w:rPr>
              <w:t>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960" w:type="dxa"/>
            <w:vAlign w:val="bottom"/>
          </w:tcPr>
          <w:p>
            <w:pPr>
              <w:jc w:val="center"/>
              <w:ind w:left="59"/>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EPS</w:t>
            </w:r>
          </w:p>
        </w:tc>
        <w:tc>
          <w:tcPr>
            <w:tcW w:w="200" w:type="dxa"/>
            <w:vAlign w:val="bottom"/>
          </w:tcPr>
          <w:p>
            <w:pPr>
              <w:spacing w:after="0"/>
              <w:rPr>
                <w:sz w:val="18"/>
                <w:szCs w:val="18"/>
                <w:color w:val="auto"/>
              </w:rPr>
            </w:pPr>
          </w:p>
        </w:tc>
        <w:tc>
          <w:tcPr>
            <w:tcW w:w="124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2"/>
              </w:rPr>
              <w:t>Income</w:t>
            </w:r>
          </w:p>
        </w:tc>
        <w:tc>
          <w:tcPr>
            <w:tcW w:w="8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Shares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EPS</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3,947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RSUs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6"/>
                <w:szCs w:val="16"/>
                <w:color w:val="auto"/>
              </w:rPr>
              <w:t>Income allocated to common stock</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3,922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937</w:t>
            </w:r>
          </w:p>
        </w:tc>
        <w:tc>
          <w:tcPr>
            <w:tcW w:w="50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4.19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4,307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976</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4.41</w:t>
            </w: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r>
      <w:tr>
        <w:trPr>
          <w:trHeight w:val="20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Dilutive effect of stock compensation plans</w:t>
            </w:r>
          </w:p>
        </w:tc>
        <w:tc>
          <w:tcPr>
            <w:tcW w:w="2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257"/>
        </w:trPr>
        <w:tc>
          <w:tcPr>
            <w:tcW w:w="4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3,947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RSUs</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7"/>
        </w:trPr>
        <w:tc>
          <w:tcPr>
            <w:tcW w:w="4240" w:type="dxa"/>
            <w:vAlign w:val="bottom"/>
          </w:tcPr>
          <w:p>
            <w:pPr>
              <w:ind w:left="20"/>
              <w:spacing w:after="0"/>
              <w:rPr>
                <w:sz w:val="20"/>
                <w:szCs w:val="20"/>
                <w:color w:val="auto"/>
              </w:rPr>
            </w:pPr>
            <w:r>
              <w:rPr>
                <w:rFonts w:ascii="Arial" w:cs="Arial" w:eastAsia="Arial" w:hAnsi="Arial"/>
                <w:sz w:val="16"/>
                <w:szCs w:val="16"/>
                <w:color w:val="auto"/>
              </w:rPr>
              <w:t>Income allocated to common stock</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3,922</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953</w:t>
            </w:r>
          </w:p>
        </w:tc>
        <w:tc>
          <w:tcPr>
            <w:tcW w:w="140" w:type="dxa"/>
            <w:vAlign w:val="bottom"/>
            <w:tcBorders>
              <w:top w:val="single" w:sz="8" w:color="auto"/>
              <w:bottom w:val="single" w:sz="8" w:color="auto"/>
            </w:tcBorders>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4.12</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4,307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997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4.32</w:t>
            </w:r>
          </w:p>
        </w:tc>
      </w:tr>
      <w:tr>
        <w:trPr>
          <w:trHeight w:val="24"/>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Potentially dilutive securities representing 6 million and 4 million shares of common stock that were outstanding during the third quarters of 2019 and 2018, and 7 million and 4 million shares outstanding during the first nine months of 2019 and 2018, respectively, were excluded from the computation of diluted earnings per common share during these periods because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values of financial instruments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fair values of our derivative financial instruments were not material as of September 30, 2019. Our investments in cash equivalents, short-term investments and certain long-term investments, as well as our deferred compensation liabilities, are carried at fair value. The carrying values for other current financial assets and liabilities, such as accounts receivable and accounts payable, approximate fair value due to the short maturity of such instruments. As of September 30, 2019, the carrying value of long-term debt, including the current portion, was $5.80 billion, and the estimated fair value was $6.32 billion. The estimated fair value is measured using broker-dealer quotes, which are Level 2 inputs. See Note 4 for a description of fair value and the definition of Level 2 inputs.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2016-02, Leases (Topic 842)</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effective January 1, 2019, using the modified retrospective transition method applied to leases existing at, or entered into after, the adoption date. The reported results for 2019 reflect the application of the new accounting guidance, while the reported results for prior periods are not adjusted and continue to be reported in accordance with our historical accounting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In addition, we elected the package of practical expedients permitted under the transition guidance that allowed us to apply prior conclusions related to lease definition, classification and initial direct costs.</w:t>
      </w:r>
    </w:p>
    <w:p>
      <w:pPr>
        <w:spacing w:after="0" w:line="19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adoption of the new standard resulted in the recognition of $229 million of lease liabilities with corresponding lease assets as of January 1, 2019. The standard did not materially impact our results of operations and had no impact on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standards were also adopted: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gridSpan w:val="2"/>
          </w:tcPr>
          <w:p>
            <w:pPr>
              <w:ind w:left="820"/>
              <w:spacing w:after="0"/>
              <w:rPr>
                <w:sz w:val="20"/>
                <w:szCs w:val="20"/>
                <w:color w:val="auto"/>
              </w:rPr>
            </w:pPr>
            <w:r>
              <w:rPr>
                <w:rFonts w:ascii="Arial" w:cs="Arial" w:eastAsia="Arial" w:hAnsi="Arial"/>
                <w:sz w:val="16"/>
                <w:szCs w:val="16"/>
                <w:b w:val="1"/>
                <w:bCs w:val="1"/>
                <w:color w:val="auto"/>
              </w:rPr>
              <w:t>ASU</w:t>
            </w:r>
          </w:p>
        </w:tc>
        <w:tc>
          <w:tcPr>
            <w:tcW w:w="7380" w:type="dxa"/>
            <w:vAlign w:val="bottom"/>
            <w:gridSpan w:val="2"/>
          </w:tcPr>
          <w:p>
            <w:pPr>
              <w:ind w:left="3240"/>
              <w:spacing w:after="0"/>
              <w:rPr>
                <w:sz w:val="20"/>
                <w:szCs w:val="20"/>
                <w:color w:val="auto"/>
              </w:rPr>
            </w:pPr>
            <w:r>
              <w:rPr>
                <w:rFonts w:ascii="Arial" w:cs="Arial" w:eastAsia="Arial" w:hAnsi="Arial"/>
                <w:sz w:val="16"/>
                <w:szCs w:val="16"/>
                <w:b w:val="1"/>
                <w:bCs w:val="1"/>
                <w:color w:val="auto"/>
              </w:rPr>
              <w:t>Description</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33"/>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0"/>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ASU No. 2017-12</w:t>
            </w:r>
          </w:p>
        </w:tc>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and Hedging (Topic 815): Targeted Improvements to Accounting for Hedging Activities</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 2019</w:t>
            </w:r>
          </w:p>
        </w:tc>
      </w:tr>
      <w:tr>
        <w:trPr>
          <w:trHeight w:val="220"/>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ASU No. 2018-14</w:t>
            </w:r>
          </w:p>
        </w:tc>
        <w:tc>
          <w:tcPr>
            <w:tcW w:w="7380" w:type="dxa"/>
            <w:vAlign w:val="bottom"/>
            <w:gridSpan w:val="2"/>
          </w:tcPr>
          <w:p>
            <w:pPr>
              <w:ind w:left="20"/>
              <w:spacing w:after="0"/>
              <w:rPr>
                <w:sz w:val="20"/>
                <w:szCs w:val="20"/>
                <w:color w:val="auto"/>
              </w:rPr>
            </w:pPr>
            <w:r>
              <w:rPr>
                <w:rFonts w:ascii="Arial" w:cs="Arial" w:eastAsia="Arial" w:hAnsi="Arial"/>
                <w:sz w:val="16"/>
                <w:szCs w:val="16"/>
                <w:i w:val="1"/>
                <w:iCs w:val="1"/>
                <w:color w:val="auto"/>
              </w:rPr>
              <w:t>Compensation – Retirement Benefits – Defined Benefit Plans – General (Subtopic 715-20): Disclosure</w:t>
            </w:r>
          </w:p>
        </w:tc>
        <w:tc>
          <w:tcPr>
            <w:tcW w:w="1920" w:type="dxa"/>
            <w:vAlign w:val="bottom"/>
          </w:tcPr>
          <w:p>
            <w:pPr>
              <w:jc w:val="center"/>
              <w:spacing w:after="0"/>
              <w:rPr>
                <w:sz w:val="20"/>
                <w:szCs w:val="20"/>
                <w:color w:val="auto"/>
              </w:rPr>
            </w:pPr>
            <w:r>
              <w:rPr>
                <w:rFonts w:ascii="Arial" w:cs="Arial" w:eastAsia="Arial" w:hAnsi="Arial"/>
                <w:sz w:val="16"/>
                <w:szCs w:val="16"/>
                <w:color w:val="auto"/>
                <w:w w:val="90"/>
              </w:rPr>
              <w:t>January 1, 2019</w:t>
            </w:r>
          </w:p>
        </w:tc>
      </w:tr>
      <w:tr>
        <w:trPr>
          <w:trHeight w:val="20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i w:val="1"/>
                <w:iCs w:val="1"/>
                <w:color w:val="auto"/>
              </w:rPr>
              <w:t>Framework – Changes to the Disclosure Requirements for Defined Benefit Plans</w:t>
            </w:r>
          </w:p>
        </w:tc>
        <w:tc>
          <w:tcPr>
            <w:tcW w:w="1920" w:type="dxa"/>
            <w:vAlign w:val="bottom"/>
          </w:tcPr>
          <w:p>
            <w:pPr>
              <w:spacing w:after="0"/>
              <w:rPr>
                <w:sz w:val="17"/>
                <w:szCs w:val="17"/>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standards – standards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ASU No. 2016-13, Financial Instruments – Credit Losses (Topic 326): Measurement of Credit Losses on Financial Instruments</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This standard requires entities to use a current lifetime expected credit loss methodology to measure impairments of certain financial assets. Using this methodology will result in earlier recognition of losses than under the current incurred loss approach, which requires waiting to recognize a loss until it is probable of being incurred. Credit losses relating to available-for-sale debt securities will be recorded through an allowance for credit losses rather than as a reduction to the amortized cost basis of the securities. We plan to adopt this standard when effective, beginning January 1, 2020, applying the guidance on a modified retrospective basis. We are currently evaluating the potential impact of this standard, but we do not expect it to have a material impact on our financial position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standards</w:t>
      </w:r>
    </w:p>
    <w:p>
      <w:pPr>
        <w:spacing w:after="0" w:line="23"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We are evaluating the impact of the following standards, but we do not expect them to have a material impact on our financial position or results of operations. We plan to adopt these standards as of their effective dates.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60" w:type="dxa"/>
            <w:vAlign w:val="bottom"/>
            <w:gridSpan w:val="2"/>
          </w:tcPr>
          <w:p>
            <w:pPr>
              <w:ind w:left="820"/>
              <w:spacing w:after="0"/>
              <w:rPr>
                <w:sz w:val="20"/>
                <w:szCs w:val="20"/>
                <w:color w:val="auto"/>
              </w:rPr>
            </w:pPr>
            <w:r>
              <w:rPr>
                <w:rFonts w:ascii="Arial" w:cs="Arial" w:eastAsia="Arial" w:hAnsi="Arial"/>
                <w:sz w:val="16"/>
                <w:szCs w:val="16"/>
                <w:b w:val="1"/>
                <w:bCs w:val="1"/>
                <w:color w:val="auto"/>
              </w:rPr>
              <w:t>ASU</w:t>
            </w:r>
          </w:p>
        </w:tc>
        <w:tc>
          <w:tcPr>
            <w:tcW w:w="7380" w:type="dxa"/>
            <w:vAlign w:val="bottom"/>
            <w:gridSpan w:val="2"/>
          </w:tcPr>
          <w:p>
            <w:pPr>
              <w:ind w:left="3240"/>
              <w:spacing w:after="0"/>
              <w:rPr>
                <w:sz w:val="20"/>
                <w:szCs w:val="20"/>
                <w:color w:val="auto"/>
              </w:rPr>
            </w:pPr>
            <w:r>
              <w:rPr>
                <w:rFonts w:ascii="Arial" w:cs="Arial" w:eastAsia="Arial" w:hAnsi="Arial"/>
                <w:sz w:val="16"/>
                <w:szCs w:val="16"/>
                <w:b w:val="1"/>
                <w:bCs w:val="1"/>
                <w:color w:val="auto"/>
              </w:rPr>
              <w:t>Description</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Effective Date</w:t>
            </w:r>
          </w:p>
        </w:tc>
      </w:tr>
      <w:tr>
        <w:trPr>
          <w:trHeight w:val="33"/>
        </w:trPr>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3"/>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ASU No. 2018-13</w:t>
            </w: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6"/>
              </w:rPr>
              <w:t>Fair Value Measurement (Topic 820): Disclosure Framework – Changes to the Disclosure Requirements for</w:t>
            </w: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2020</w:t>
            </w:r>
          </w:p>
        </w:tc>
      </w:tr>
      <w:tr>
        <w:trPr>
          <w:trHeight w:val="219"/>
        </w:trPr>
        <w:tc>
          <w:tcPr>
            <w:tcW w:w="1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Fair Value Measurement</w:t>
            </w:r>
          </w:p>
        </w:tc>
        <w:tc>
          <w:tcPr>
            <w:tcW w:w="1920" w:type="dxa"/>
            <w:vAlign w:val="bottom"/>
            <w:tcBorders>
              <w:bottom w:val="single" w:sz="8" w:color="CCEEFF"/>
            </w:tcBorders>
            <w:shd w:val="clear" w:color="auto" w:fill="CCEEFF"/>
          </w:tcPr>
          <w:p>
            <w:pPr>
              <w:spacing w:after="0"/>
              <w:rPr>
                <w:sz w:val="19"/>
                <w:szCs w:val="19"/>
                <w:color w:val="auto"/>
              </w:rPr>
            </w:pPr>
          </w:p>
        </w:tc>
      </w:tr>
      <w:tr>
        <w:trPr>
          <w:trHeight w:val="220"/>
        </w:trPr>
        <w:tc>
          <w:tcPr>
            <w:tcW w:w="2060" w:type="dxa"/>
            <w:vAlign w:val="bottom"/>
            <w:gridSpan w:val="2"/>
          </w:tcPr>
          <w:p>
            <w:pPr>
              <w:ind w:left="20"/>
              <w:spacing w:after="0"/>
              <w:rPr>
                <w:sz w:val="20"/>
                <w:szCs w:val="20"/>
                <w:color w:val="auto"/>
              </w:rPr>
            </w:pPr>
            <w:r>
              <w:rPr>
                <w:rFonts w:ascii="Arial" w:cs="Arial" w:eastAsia="Arial" w:hAnsi="Arial"/>
                <w:sz w:val="16"/>
                <w:szCs w:val="16"/>
                <w:color w:val="auto"/>
              </w:rPr>
              <w:t>ASU No. 2018-15</w:t>
            </w:r>
          </w:p>
        </w:tc>
        <w:tc>
          <w:tcPr>
            <w:tcW w:w="7380" w:type="dxa"/>
            <w:vAlign w:val="bottom"/>
            <w:gridSpan w:val="2"/>
          </w:tcPr>
          <w:p>
            <w:pPr>
              <w:ind w:left="20"/>
              <w:spacing w:after="0"/>
              <w:rPr>
                <w:sz w:val="20"/>
                <w:szCs w:val="20"/>
                <w:color w:val="auto"/>
              </w:rPr>
            </w:pPr>
            <w:r>
              <w:rPr>
                <w:rFonts w:ascii="Arial" w:cs="Arial" w:eastAsia="Arial" w:hAnsi="Arial"/>
                <w:sz w:val="16"/>
                <w:szCs w:val="16"/>
                <w:i w:val="1"/>
                <w:iCs w:val="1"/>
                <w:color w:val="auto"/>
              </w:rPr>
              <w:t>Intangibles – Goodwill and Other – Internal-Use Software (Subtopic 350-40): Customer’s Accounting for</w:t>
            </w:r>
          </w:p>
        </w:tc>
        <w:tc>
          <w:tcPr>
            <w:tcW w:w="1920" w:type="dxa"/>
            <w:vAlign w:val="bottom"/>
          </w:tcPr>
          <w:p>
            <w:pPr>
              <w:jc w:val="center"/>
              <w:spacing w:after="0"/>
              <w:rPr>
                <w:sz w:val="20"/>
                <w:szCs w:val="20"/>
                <w:color w:val="auto"/>
              </w:rPr>
            </w:pPr>
            <w:r>
              <w:rPr>
                <w:rFonts w:ascii="Arial" w:cs="Arial" w:eastAsia="Arial" w:hAnsi="Arial"/>
                <w:sz w:val="16"/>
                <w:szCs w:val="16"/>
                <w:color w:val="auto"/>
                <w:w w:val="90"/>
              </w:rPr>
              <w:t>January 1, 2020</w:t>
            </w:r>
          </w:p>
        </w:tc>
      </w:tr>
      <w:tr>
        <w:trPr>
          <w:trHeight w:val="206"/>
        </w:trPr>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920" w:type="dxa"/>
            <w:vAlign w:val="bottom"/>
          </w:tcPr>
          <w:p>
            <w:pPr>
              <w:spacing w:after="0"/>
              <w:rPr>
                <w:sz w:val="17"/>
                <w:szCs w:val="17"/>
                <w:color w:val="auto"/>
              </w:rPr>
            </w:pPr>
          </w:p>
        </w:tc>
      </w:tr>
    </w:tbl>
    <w:p>
      <w:pPr>
        <w:spacing w:after="0" w:line="37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estimated annual effective tax rate is about 16%, which does not include discrete tax items. This differs from the 21% statutory corporate tax rate due to the effect of U.S. tax benefits.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is based on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For Three Months Ended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For Nine Months Ended</w:t>
            </w:r>
          </w:p>
        </w:tc>
        <w:tc>
          <w:tcPr>
            <w:tcW w:w="160" w:type="dxa"/>
            <w:vAlign w:val="bottom"/>
          </w:tcPr>
          <w:p>
            <w:pPr>
              <w:spacing w:after="0"/>
              <w:rPr>
                <w:sz w:val="18"/>
                <w:szCs w:val="18"/>
                <w:color w:val="auto"/>
              </w:rPr>
            </w:pPr>
          </w:p>
        </w:tc>
      </w:tr>
      <w:tr>
        <w:trPr>
          <w:trHeight w:val="257"/>
        </w:trPr>
        <w:tc>
          <w:tcPr>
            <w:tcW w:w="6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3"/>
        </w:trPr>
        <w:tc>
          <w:tcPr>
            <w:tcW w:w="6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17"/>
        </w:trPr>
        <w:tc>
          <w:tcPr>
            <w:tcW w:w="6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2018</w:t>
            </w:r>
          </w:p>
        </w:tc>
        <w:tc>
          <w:tcPr>
            <w:tcW w:w="160" w:type="dxa"/>
            <w:vAlign w:val="bottom"/>
          </w:tcPr>
          <w:p>
            <w:pPr>
              <w:spacing w:after="0"/>
              <w:rPr>
                <w:sz w:val="18"/>
                <w:szCs w:val="18"/>
                <w:color w:val="auto"/>
              </w:rPr>
            </w:pPr>
          </w:p>
        </w:tc>
      </w:tr>
      <w:tr>
        <w:trPr>
          <w:trHeight w:val="33"/>
        </w:trPr>
        <w:tc>
          <w:tcPr>
            <w:tcW w:w="6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30"/>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calculated using the estimated annual effective tax rate</w:t>
            </w:r>
          </w:p>
        </w:tc>
        <w:tc>
          <w:tcPr>
            <w:tcW w:w="260" w:type="dxa"/>
            <w:vAlign w:val="bottom"/>
            <w:tcBorders>
              <w:bottom w:val="single" w:sz="8" w:color="CCEEFF"/>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257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5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715</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6000" w:type="dxa"/>
            <w:vAlign w:val="bottom"/>
          </w:tcPr>
          <w:p>
            <w:pPr>
              <w:ind w:left="20"/>
              <w:spacing w:after="0"/>
              <w:rPr>
                <w:sz w:val="20"/>
                <w:szCs w:val="20"/>
                <w:color w:val="auto"/>
              </w:rPr>
            </w:pPr>
            <w:r>
              <w:rPr>
                <w:rFonts w:ascii="Arial" w:cs="Arial" w:eastAsia="Arial" w:hAnsi="Arial"/>
                <w:sz w:val="16"/>
                <w:szCs w:val="16"/>
                <w:color w:val="auto"/>
              </w:rPr>
              <w:t>Discrete tax items</w:t>
            </w:r>
          </w:p>
        </w:tc>
        <w:tc>
          <w:tcPr>
            <w:tcW w:w="260" w:type="dxa"/>
            <w:vAlign w:val="bottom"/>
          </w:tcPr>
          <w:p>
            <w:pPr>
              <w:spacing w:after="0"/>
              <w:rPr>
                <w:sz w:val="19"/>
                <w:szCs w:val="19"/>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b w:val="1"/>
                <w:bCs w:val="1"/>
                <w:color w:val="auto"/>
              </w:rPr>
              <w:t>(191)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w:t>
            </w:r>
          </w:p>
        </w:tc>
        <w:tc>
          <w:tcPr>
            <w:tcW w:w="160" w:type="dxa"/>
            <w:vAlign w:val="bottom"/>
          </w:tcPr>
          <w:p>
            <w:pPr>
              <w:spacing w:after="0"/>
              <w:rPr>
                <w:sz w:val="19"/>
                <w:szCs w:val="19"/>
                <w:color w:val="auto"/>
              </w:rPr>
            </w:pPr>
          </w:p>
        </w:tc>
      </w:tr>
      <w:tr>
        <w:trPr>
          <w:trHeight w:val="33"/>
        </w:trPr>
        <w:tc>
          <w:tcPr>
            <w:tcW w:w="6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155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524</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60" w:type="dxa"/>
            <w:vAlign w:val="bottom"/>
            <w:shd w:val="clear" w:color="auto" w:fill="CCEEFF"/>
          </w:tcPr>
          <w:p>
            <w:pPr>
              <w:spacing w:after="0"/>
              <w:rPr>
                <w:sz w:val="23"/>
                <w:szCs w:val="23"/>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166"/>
        </w:trPr>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effective tax rate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12 %</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6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and equity investments measured at fair value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Available-for-sale debt investments and trading securities are stated at fair value, which is generally based on market prices or broker quotes. See </w:t>
      </w:r>
      <w:r>
        <w:rPr>
          <w:rFonts w:ascii="Arial" w:cs="Arial" w:eastAsia="Arial" w:hAnsi="Arial"/>
          <w:sz w:val="18"/>
          <w:szCs w:val="18"/>
          <w:i w:val="1"/>
          <w:iCs w:val="1"/>
          <w:color w:val="auto"/>
        </w:rPr>
        <w:t>Fair-value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considerations </w:t>
      </w:r>
      <w:r>
        <w:rPr>
          <w:rFonts w:ascii="Arial" w:cs="Arial" w:eastAsia="Arial" w:hAnsi="Arial"/>
          <w:sz w:val="18"/>
          <w:szCs w:val="18"/>
          <w:color w:val="auto"/>
        </w:rPr>
        <w:t>below. Unrealized gains and losses from available-for-sale debt securities are recorded as an increase or decrease, net of taxes, in AOCI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Sheets. Other-than-temporary impairments on available-for-sale debt securities are recorded in OI&amp;E in our Consolidated Statements of Income.</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investments</w:t>
      </w:r>
    </w:p>
    <w:p>
      <w:pPr>
        <w:spacing w:after="0" w:line="22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58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5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Cash and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Long-Term</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Cash and Cash</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Long-Term</w:t>
            </w:r>
          </w:p>
        </w:tc>
      </w:tr>
      <w:tr>
        <w:trPr>
          <w:trHeight w:val="210"/>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60" w:type="dxa"/>
            <w:vAlign w:val="bottom"/>
          </w:tcPr>
          <w:p>
            <w:pPr>
              <w:spacing w:after="0"/>
              <w:rPr>
                <w:sz w:val="18"/>
                <w:szCs w:val="18"/>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Equivalents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r>
      <w:tr>
        <w:trPr>
          <w:trHeight w:val="33"/>
        </w:trPr>
        <w:tc>
          <w:tcPr>
            <w:tcW w:w="3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Available-for-sale debt securities: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1,510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580" w:type="dxa"/>
            <w:vAlign w:val="bottom"/>
          </w:tcPr>
          <w:p>
            <w:pPr>
              <w:ind w:left="120"/>
              <w:spacing w:after="0"/>
              <w:rPr>
                <w:sz w:val="20"/>
                <w:szCs w:val="20"/>
                <w:color w:val="auto"/>
              </w:rPr>
            </w:pPr>
            <w:r>
              <w:rPr>
                <w:rFonts w:ascii="Arial" w:cs="Arial" w:eastAsia="Arial" w:hAnsi="Arial"/>
                <w:sz w:val="16"/>
                <w:szCs w:val="16"/>
                <w:color w:val="auto"/>
              </w:rPr>
              <w:t>Corporate obligations</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377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748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99"/>
              </w:rPr>
              <w:t>U.S. government agency and Treasury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color w:val="auto"/>
              </w:rPr>
              <w:t>Trading securities: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r>
      <w:tr>
        <w:trPr>
          <w:trHeight w:val="217"/>
        </w:trPr>
        <w:tc>
          <w:tcPr>
            <w:tcW w:w="358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3,435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257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226</w:t>
            </w: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Equity-method investments</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w:t>
            </w:r>
          </w:p>
        </w:tc>
      </w:tr>
      <w:tr>
        <w:trPr>
          <w:trHeight w:val="224"/>
        </w:trPr>
        <w:tc>
          <w:tcPr>
            <w:tcW w:w="3580" w:type="dxa"/>
            <w:vAlign w:val="bottom"/>
          </w:tcPr>
          <w:p>
            <w:pPr>
              <w:ind w:left="12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33"/>
        </w:trPr>
        <w:tc>
          <w:tcPr>
            <w:tcW w:w="3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3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47"/>
        </w:trPr>
        <w:tc>
          <w:tcPr>
            <w:tcW w:w="358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3,893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1,174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1,795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251</w:t>
            </w:r>
          </w:p>
        </w:tc>
      </w:tr>
      <w:tr>
        <w:trPr>
          <w:trHeight w:val="24"/>
        </w:trPr>
        <w:tc>
          <w:tcPr>
            <w:tcW w:w="3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September 30, 2019 and December 31, 2018, unrealized gains and losses associated with our available-for-sale investments were not material. We did not recognize any credit losses related to available-for-sale investments for the first nine months of 2019 and 2018.</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Proceeds from sales, redemptions and maturities of short-term available-for-sale investments were $220 million and $1.72 billion for the third quarters of 2019 and 2018, respectively, and $2.00 billion and $4.55 billion for the first nine months of 2019 and 2018, respectively. Gross realized gains and losses from these sales were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our available-for-sale debt investments as of September 30, 2019:</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5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10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One year or less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4,553</w:t>
            </w:r>
          </w:p>
        </w:tc>
      </w:tr>
      <w:tr>
        <w:trPr>
          <w:trHeight w:val="224"/>
        </w:trPr>
        <w:tc>
          <w:tcPr>
            <w:tcW w:w="10200" w:type="dxa"/>
            <w:vAlign w:val="bottom"/>
          </w:tcPr>
          <w:p>
            <w:pPr>
              <w:ind w:left="20"/>
              <w:spacing w:after="0"/>
              <w:rPr>
                <w:sz w:val="20"/>
                <w:szCs w:val="20"/>
                <w:color w:val="auto"/>
              </w:rPr>
            </w:pPr>
            <w:r>
              <w:rPr>
                <w:rFonts w:ascii="Arial" w:cs="Arial" w:eastAsia="Arial" w:hAnsi="Arial"/>
                <w:sz w:val="16"/>
                <w:szCs w:val="16"/>
                <w:color w:val="auto"/>
              </w:rPr>
              <w:t>One to two years</w:t>
            </w:r>
          </w:p>
        </w:tc>
        <w:tc>
          <w:tcPr>
            <w:tcW w:w="16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other-than-temporary declines and impairments in the values of our debt investments in the first nine months of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225" w:lineRule="exact"/>
        <w:rPr>
          <w:sz w:val="20"/>
          <w:szCs w:val="20"/>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20" w:right="40" w:hanging="328"/>
        <w:spacing w:after="0" w:line="255"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Uses inputs other than Level 1 that are either directly or indirectly observable as of the reporting date through correlation with market data,</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85" w:lineRule="exact"/>
        <w:rPr>
          <w:rFonts w:ascii="Arial" w:cs="Arial" w:eastAsia="Arial" w:hAnsi="Arial"/>
          <w:sz w:val="18"/>
          <w:szCs w:val="18"/>
          <w:color w:val="auto"/>
        </w:rPr>
      </w:pPr>
    </w:p>
    <w:p>
      <w:pPr>
        <w:ind w:left="620" w:hanging="328"/>
        <w:spacing w:after="0" w:line="264" w:lineRule="auto"/>
        <w:tabs>
          <w:tab w:leader="none" w:pos="61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 These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are generally determined using pricing models that utilize management estimates of market participant assumptions. As of September 30, 2019 and December 31, 2018, we had no Level 3 assets or liabilities.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September 30, 2019</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33"/>
        </w:trPr>
        <w:tc>
          <w:tcPr>
            <w:tcW w:w="3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4"/>
        </w:trPr>
        <w:tc>
          <w:tcPr>
            <w:tcW w:w="3600" w:type="dxa"/>
            <w:vAlign w:val="bottom"/>
          </w:tcPr>
          <w:p>
            <w:pPr>
              <w:ind w:left="12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1,510</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1,510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747</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747</w:t>
            </w:r>
          </w:p>
        </w:tc>
      </w:tr>
      <w:tr>
        <w:trPr>
          <w:trHeight w:val="33"/>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7"/>
        </w:trPr>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Corporate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1,221</w:t>
            </w:r>
          </w:p>
        </w:tc>
      </w:tr>
      <w:tr>
        <w:trPr>
          <w:trHeight w:val="224"/>
        </w:trPr>
        <w:tc>
          <w:tcPr>
            <w:tcW w:w="3600" w:type="dxa"/>
            <w:vAlign w:val="bottom"/>
          </w:tcPr>
          <w:p>
            <w:pPr>
              <w:ind w:left="120"/>
              <w:spacing w:after="0"/>
              <w:rPr>
                <w:sz w:val="20"/>
                <w:szCs w:val="20"/>
                <w:color w:val="auto"/>
              </w:rPr>
            </w:pPr>
            <w:r>
              <w:rPr>
                <w:rFonts w:ascii="Arial" w:cs="Arial" w:eastAsia="Arial" w:hAnsi="Arial"/>
                <w:sz w:val="16"/>
                <w:szCs w:val="16"/>
                <w:color w:val="auto"/>
                <w:w w:val="99"/>
              </w:rPr>
              <w:t>U.S. government agency and Treasury securities</w:t>
            </w:r>
          </w:p>
        </w:tc>
        <w:tc>
          <w:tcPr>
            <w:tcW w:w="22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b w:val="1"/>
                <w:bCs w:val="1"/>
                <w:color w:val="auto"/>
              </w:rPr>
              <w:t>1,821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auto"/>
              </w:rPr>
              <w:t>1,821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2,035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2,035</w:t>
            </w:r>
          </w:p>
        </w:tc>
      </w:tr>
      <w:tr>
        <w:trPr>
          <w:trHeight w:val="33"/>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257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w:t>
            </w:r>
          </w:p>
        </w:tc>
      </w:tr>
      <w:tr>
        <w:trPr>
          <w:trHeight w:val="247"/>
        </w:trPr>
        <w:tc>
          <w:tcPr>
            <w:tcW w:w="36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3,588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1,278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4,866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4,229</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6"/>
        </w:trPr>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
        </w:trPr>
        <w:tc>
          <w:tcPr>
            <w:tcW w:w="3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7"/>
        </w:trPr>
        <w:tc>
          <w:tcPr>
            <w:tcW w:w="3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280</w:t>
            </w:r>
          </w:p>
        </w:tc>
        <w:tc>
          <w:tcPr>
            <w:tcW w:w="340" w:type="dxa"/>
            <w:vAlign w:val="bottom"/>
            <w:tcBorders>
              <w:bottom w:val="single" w:sz="8" w:color="CCEEFF"/>
            </w:tcBorders>
            <w:gridSpan w:val="2"/>
            <w:shd w:val="clear" w:color="auto" w:fill="CCEEFF"/>
          </w:tcPr>
          <w:p>
            <w:pPr>
              <w:jc w:val="right"/>
              <w:ind w:right="64"/>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c>
          <w:tcPr>
            <w:tcW w:w="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246</w:t>
            </w:r>
          </w:p>
        </w:tc>
      </w:tr>
      <w:tr>
        <w:trPr>
          <w:trHeight w:val="247"/>
        </w:trPr>
        <w:tc>
          <w:tcPr>
            <w:tcW w:w="36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246</w:t>
            </w:r>
          </w:p>
        </w:tc>
      </w:tr>
      <w:tr>
        <w:trPr>
          <w:trHeight w:val="24"/>
        </w:trPr>
        <w:tc>
          <w:tcPr>
            <w:tcW w:w="3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Goodwill was $4.36 billion as of September 30, 2019 and December 31, 2018. There was no impairment of goodwill during the first nine months of 2019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2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September 30, 2019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80" w:type="dxa"/>
            <w:vAlign w:val="bottom"/>
            <w:gridSpan w:val="4"/>
          </w:tcPr>
          <w:p>
            <w:pPr>
              <w:ind w:left="20"/>
              <w:spacing w:after="0"/>
              <w:rPr>
                <w:sz w:val="20"/>
                <w:szCs w:val="20"/>
                <w:color w:val="auto"/>
              </w:rPr>
            </w:pPr>
            <w:r>
              <w:rPr>
                <w:rFonts w:ascii="Arial" w:cs="Arial" w:eastAsia="Arial" w:hAnsi="Arial"/>
                <w:sz w:val="16"/>
                <w:szCs w:val="16"/>
                <w:b w:val="1"/>
                <w:bCs w:val="1"/>
                <w:color w:val="auto"/>
                <w:w w:val="99"/>
              </w:rPr>
              <w:t>December 31, 2018</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80" w:type="dxa"/>
            <w:vAlign w:val="bottom"/>
          </w:tcPr>
          <w:p>
            <w:pPr>
              <w:spacing w:after="0"/>
              <w:rPr>
                <w:sz w:val="2"/>
                <w:szCs w:val="2"/>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Gross Carrying</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Gross Carrying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(Years)</w:t>
            </w:r>
          </w:p>
        </w:tc>
        <w:tc>
          <w:tcPr>
            <w:tcW w:w="220" w:type="dxa"/>
            <w:vAlign w:val="bottom"/>
          </w:tcPr>
          <w:p>
            <w:pPr>
              <w:spacing w:after="0"/>
              <w:rPr>
                <w:sz w:val="18"/>
                <w:szCs w:val="18"/>
                <w:color w:val="auto"/>
              </w:rPr>
            </w:pPr>
          </w:p>
        </w:tc>
        <w:tc>
          <w:tcPr>
            <w:tcW w:w="100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Net</w:t>
            </w:r>
          </w:p>
        </w:tc>
        <w:tc>
          <w:tcPr>
            <w:tcW w:w="22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7 - 10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2,000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1,610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2,125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24"/>
        </w:trPr>
        <w:tc>
          <w:tcPr>
            <w:tcW w:w="22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240" w:type="dxa"/>
            <w:vAlign w:val="bottom"/>
          </w:tcPr>
          <w:p>
            <w:pPr>
              <w:jc w:val="right"/>
              <w:ind w:right="49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734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2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2,000</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2,935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2,307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Amortization of acquisition-related intangibles was $79 million and $80 million for the third quarters of 2019 and 2018, respectively, and $238 million and $239 million for the first nine months of 2019 and 2018, respectively. Fully amortized assets are written off against accumulated amortization.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89"/>
              </w:rPr>
              <w:t>U.S.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w w:val="89"/>
              </w:rPr>
              <w:t>U.S.</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4"/>
              </w:rPr>
              <w:t>Non-U.S.</w:t>
            </w:r>
          </w:p>
        </w:tc>
        <w:tc>
          <w:tcPr>
            <w:tcW w:w="780" w:type="dxa"/>
            <w:vAlign w:val="bottom"/>
          </w:tcPr>
          <w:p>
            <w:pPr>
              <w:spacing w:after="0"/>
              <w:rPr>
                <w:sz w:val="17"/>
                <w:szCs w:val="17"/>
                <w:color w:val="auto"/>
              </w:rPr>
            </w:pPr>
          </w:p>
        </w:tc>
      </w:tr>
      <w:tr>
        <w:trPr>
          <w:trHeight w:val="210"/>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1"/>
              </w:rPr>
              <w:t>Defined Benefit</w:t>
            </w:r>
          </w:p>
        </w:tc>
        <w:tc>
          <w:tcPr>
            <w:tcW w:w="240" w:type="dxa"/>
            <w:vAlign w:val="bottom"/>
          </w:tcPr>
          <w:p>
            <w:pPr>
              <w:spacing w:after="0"/>
              <w:rPr>
                <w:sz w:val="18"/>
                <w:szCs w:val="18"/>
                <w:color w:val="auto"/>
              </w:rPr>
            </w:pPr>
          </w:p>
        </w:tc>
        <w:tc>
          <w:tcPr>
            <w:tcW w:w="1700" w:type="dxa"/>
            <w:vAlign w:val="bottom"/>
            <w:gridSpan w:val="4"/>
          </w:tcPr>
          <w:p>
            <w:pPr>
              <w:jc w:val="center"/>
              <w:ind w:left="39"/>
              <w:spacing w:after="0"/>
              <w:rPr>
                <w:sz w:val="20"/>
                <w:szCs w:val="20"/>
                <w:color w:val="auto"/>
              </w:rPr>
            </w:pPr>
            <w:r>
              <w:rPr>
                <w:rFonts w:ascii="Arial" w:cs="Arial" w:eastAsia="Arial" w:hAnsi="Arial"/>
                <w:sz w:val="16"/>
                <w:szCs w:val="16"/>
                <w:b w:val="1"/>
                <w:bCs w:val="1"/>
                <w:color w:val="auto"/>
                <w:w w:val="93"/>
              </w:rPr>
              <w:t>Retiree Health Care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1"/>
              </w:rPr>
              <w:t>Defined Benefit</w:t>
            </w:r>
          </w:p>
        </w:tc>
      </w:tr>
      <w:tr>
        <w:trPr>
          <w:trHeight w:val="33"/>
        </w:trPr>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For Three Months Ended September 30,</w:t>
            </w:r>
          </w:p>
        </w:tc>
        <w:tc>
          <w:tcPr>
            <w:tcW w:w="24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33"/>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940" w:type="dxa"/>
            <w:vAlign w:val="bottom"/>
            <w:tcBorders>
              <w:bottom w:val="single" w:sz="8" w:color="CCEEFF"/>
            </w:tcBorders>
            <w:gridSpan w:val="3"/>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r>
      <w:tr>
        <w:trPr>
          <w:trHeight w:val="224"/>
        </w:trPr>
        <w:tc>
          <w:tcPr>
            <w:tcW w:w="42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w:t>
            </w:r>
          </w:p>
        </w:tc>
      </w:tr>
      <w:tr>
        <w:trPr>
          <w:trHeight w:val="33"/>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24"/>
        </w:trPr>
        <w:tc>
          <w:tcPr>
            <w:tcW w:w="422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w:t>
            </w:r>
          </w:p>
        </w:tc>
      </w:tr>
      <w:tr>
        <w:trPr>
          <w:trHeight w:val="33"/>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4220" w:type="dxa"/>
            <w:vAlign w:val="bottom"/>
          </w:tcPr>
          <w:p>
            <w:pPr>
              <w:ind w:left="20"/>
              <w:spacing w:after="0"/>
              <w:rPr>
                <w:sz w:val="20"/>
                <w:szCs w:val="20"/>
                <w:color w:val="auto"/>
              </w:rPr>
            </w:pPr>
            <w:r>
              <w:rPr>
                <w:rFonts w:ascii="Arial" w:cs="Arial" w:eastAsia="Arial" w:hAnsi="Arial"/>
                <w:sz w:val="16"/>
                <w:szCs w:val="16"/>
                <w:color w:val="auto"/>
              </w:rPr>
              <w:t>Net periodic benefit costs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w:t>
            </w:r>
          </w:p>
        </w:tc>
      </w:tr>
      <w:tr>
        <w:trPr>
          <w:trHeight w:val="33"/>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Settlement losses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47"/>
        </w:trPr>
        <w:tc>
          <w:tcPr>
            <w:tcW w:w="4220" w:type="dxa"/>
            <w:vAlign w:val="bottom"/>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w:t>
            </w:r>
          </w:p>
        </w:tc>
      </w:tr>
      <w:tr>
        <w:trPr>
          <w:trHeight w:val="24"/>
        </w:trPr>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87"/>
        </w:trPr>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gridSpan w:val="3"/>
          </w:tcPr>
          <w:p>
            <w:pPr>
              <w:jc w:val="center"/>
              <w:ind w:right="79"/>
              <w:spacing w:after="0"/>
              <w:rPr>
                <w:sz w:val="20"/>
                <w:szCs w:val="20"/>
                <w:color w:val="auto"/>
              </w:rPr>
            </w:pPr>
            <w:r>
              <w:rPr>
                <w:rFonts w:ascii="Arial" w:cs="Arial" w:eastAsia="Arial" w:hAnsi="Arial"/>
                <w:sz w:val="16"/>
                <w:szCs w:val="16"/>
                <w:b w:val="1"/>
                <w:bCs w:val="1"/>
                <w:color w:val="auto"/>
                <w:w w:val="89"/>
              </w:rPr>
              <w:t>U.S.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gridSpan w:val="3"/>
          </w:tcPr>
          <w:p>
            <w:pPr>
              <w:jc w:val="center"/>
              <w:ind w:right="539"/>
              <w:spacing w:after="0"/>
              <w:rPr>
                <w:sz w:val="20"/>
                <w:szCs w:val="20"/>
                <w:color w:val="auto"/>
              </w:rPr>
            </w:pPr>
            <w:r>
              <w:rPr>
                <w:rFonts w:ascii="Arial" w:cs="Arial" w:eastAsia="Arial" w:hAnsi="Arial"/>
                <w:sz w:val="16"/>
                <w:szCs w:val="16"/>
                <w:b w:val="1"/>
                <w:bCs w:val="1"/>
                <w:color w:val="auto"/>
                <w:w w:val="89"/>
              </w:rPr>
              <w:t>U.S.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94"/>
              </w:rPr>
              <w:t>Non-U.S.</w:t>
            </w:r>
          </w:p>
        </w:tc>
        <w:tc>
          <w:tcPr>
            <w:tcW w:w="780" w:type="dxa"/>
            <w:vAlign w:val="bottom"/>
          </w:tcPr>
          <w:p>
            <w:pPr>
              <w:spacing w:after="0"/>
              <w:rPr>
                <w:sz w:val="24"/>
                <w:szCs w:val="24"/>
                <w:color w:val="auto"/>
              </w:rPr>
            </w:pPr>
          </w:p>
        </w:tc>
      </w:tr>
      <w:tr>
        <w:trPr>
          <w:trHeight w:val="210"/>
        </w:trPr>
        <w:tc>
          <w:tcPr>
            <w:tcW w:w="4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1"/>
              </w:rPr>
              <w:t>Defined Benefit</w:t>
            </w:r>
          </w:p>
        </w:tc>
        <w:tc>
          <w:tcPr>
            <w:tcW w:w="240" w:type="dxa"/>
            <w:vAlign w:val="bottom"/>
          </w:tcPr>
          <w:p>
            <w:pPr>
              <w:spacing w:after="0"/>
              <w:rPr>
                <w:sz w:val="18"/>
                <w:szCs w:val="18"/>
                <w:color w:val="auto"/>
              </w:rPr>
            </w:pPr>
          </w:p>
        </w:tc>
        <w:tc>
          <w:tcPr>
            <w:tcW w:w="1700" w:type="dxa"/>
            <w:vAlign w:val="bottom"/>
            <w:gridSpan w:val="4"/>
          </w:tcPr>
          <w:p>
            <w:pPr>
              <w:jc w:val="center"/>
              <w:ind w:left="39"/>
              <w:spacing w:after="0"/>
              <w:rPr>
                <w:sz w:val="20"/>
                <w:szCs w:val="20"/>
                <w:color w:val="auto"/>
              </w:rPr>
            </w:pPr>
            <w:r>
              <w:rPr>
                <w:rFonts w:ascii="Arial" w:cs="Arial" w:eastAsia="Arial" w:hAnsi="Arial"/>
                <w:sz w:val="16"/>
                <w:szCs w:val="16"/>
                <w:b w:val="1"/>
                <w:bCs w:val="1"/>
                <w:color w:val="auto"/>
                <w:w w:val="93"/>
              </w:rPr>
              <w:t>Retiree Health Care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4"/>
          </w:tcPr>
          <w:p>
            <w:pPr>
              <w:jc w:val="center"/>
              <w:ind w:right="159"/>
              <w:spacing w:after="0"/>
              <w:rPr>
                <w:sz w:val="20"/>
                <w:szCs w:val="20"/>
                <w:color w:val="auto"/>
              </w:rPr>
            </w:pPr>
            <w:r>
              <w:rPr>
                <w:rFonts w:ascii="Arial" w:cs="Arial" w:eastAsia="Arial" w:hAnsi="Arial"/>
                <w:sz w:val="16"/>
                <w:szCs w:val="16"/>
                <w:b w:val="1"/>
                <w:bCs w:val="1"/>
                <w:color w:val="auto"/>
                <w:w w:val="91"/>
              </w:rPr>
              <w:t>Defined Benefit</w:t>
            </w:r>
          </w:p>
        </w:tc>
      </w:tr>
      <w:tr>
        <w:trPr>
          <w:trHeight w:val="33"/>
        </w:trPr>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For Nine Months Ended September 30,</w:t>
            </w:r>
          </w:p>
        </w:tc>
        <w:tc>
          <w:tcPr>
            <w:tcW w:w="240" w:type="dxa"/>
            <w:vAlign w:val="bottom"/>
          </w:tcPr>
          <w:p>
            <w:pPr>
              <w:spacing w:after="0"/>
              <w:rPr>
                <w:sz w:val="18"/>
                <w:szCs w:val="18"/>
                <w:color w:val="auto"/>
              </w:rPr>
            </w:pPr>
          </w:p>
        </w:tc>
        <w:tc>
          <w:tcPr>
            <w:tcW w:w="78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r>
      <w:tr>
        <w:trPr>
          <w:trHeight w:val="33"/>
        </w:trPr>
        <w:tc>
          <w:tcPr>
            <w:tcW w:w="4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940" w:type="dxa"/>
            <w:vAlign w:val="bottom"/>
            <w:tcBorders>
              <w:bottom w:val="single" w:sz="8" w:color="CCEEFF"/>
            </w:tcBorders>
            <w:gridSpan w:val="3"/>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w:t>
            </w:r>
          </w:p>
        </w:tc>
      </w:tr>
      <w:tr>
        <w:trPr>
          <w:trHeight w:val="224"/>
        </w:trPr>
        <w:tc>
          <w:tcPr>
            <w:tcW w:w="42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34</w:t>
            </w:r>
          </w:p>
        </w:tc>
      </w:tr>
      <w:tr>
        <w:trPr>
          <w:trHeight w:val="33"/>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4"/>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r>
      <w:tr>
        <w:trPr>
          <w:trHeight w:val="224"/>
        </w:trPr>
        <w:tc>
          <w:tcPr>
            <w:tcW w:w="4220" w:type="dxa"/>
            <w:vAlign w:val="bottom"/>
          </w:tcPr>
          <w:p>
            <w:pPr>
              <w:ind w:left="20"/>
              <w:spacing w:after="0"/>
              <w:rPr>
                <w:sz w:val="20"/>
                <w:szCs w:val="20"/>
                <w:color w:val="auto"/>
              </w:rPr>
            </w:pPr>
            <w:r>
              <w:rPr>
                <w:rFonts w:ascii="Arial" w:cs="Arial" w:eastAsia="Arial" w:hAnsi="Arial"/>
                <w:sz w:val="16"/>
                <w:szCs w:val="16"/>
                <w:color w:val="auto"/>
              </w:rPr>
              <w:t>Recognized net actuarial loss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33"/>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4220" w:type="dxa"/>
            <w:vAlign w:val="bottom"/>
          </w:tcPr>
          <w:p>
            <w:pPr>
              <w:ind w:left="20"/>
              <w:spacing w:after="0"/>
              <w:rPr>
                <w:sz w:val="20"/>
                <w:szCs w:val="20"/>
                <w:color w:val="auto"/>
              </w:rPr>
            </w:pPr>
            <w:r>
              <w:rPr>
                <w:rFonts w:ascii="Arial" w:cs="Arial" w:eastAsia="Arial" w:hAnsi="Arial"/>
                <w:sz w:val="16"/>
                <w:szCs w:val="16"/>
                <w:color w:val="auto"/>
              </w:rPr>
              <w:t>Net periodic benefit costs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w:t>
            </w:r>
          </w:p>
        </w:tc>
      </w:tr>
      <w:tr>
        <w:trPr>
          <w:trHeight w:val="33"/>
        </w:trPr>
        <w:tc>
          <w:tcPr>
            <w:tcW w:w="4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Settlement losses</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r>
      <w:tr>
        <w:trPr>
          <w:trHeight w:val="247"/>
        </w:trPr>
        <w:tc>
          <w:tcPr>
            <w:tcW w:w="4220" w:type="dxa"/>
            <w:vAlign w:val="bottom"/>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27</w:t>
            </w:r>
          </w:p>
        </w:tc>
      </w:tr>
      <w:tr>
        <w:trPr>
          <w:trHeight w:val="24"/>
        </w:trPr>
        <w:tc>
          <w:tcPr>
            <w:tcW w:w="4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maintain a line of credit to support commercial paper borrowings, if any, and to provide additional liquidity through bank loans. As of September 30, 2019,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September 30, 2019, our credit facility was undrawn, and we had no commercial paper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retired $750 million of maturing debt in August 2019.</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the first quarter of 2019, we issued a principal amount of $750 million of fixed-rate, long-term debt due in 2039. We incurred $7 million of issuance and other related costs. We received $743 million in proceeds, net of the original issuance discount, to be used for general corporate purposes.</w:t>
      </w:r>
    </w:p>
    <w:p>
      <w:pPr>
        <w:spacing w:after="0" w:line="14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the third quarter of 2019, we issued a principal amount of $750 million of fixed-rate, long-term debt due in 2029. We incurred $5 million of issuance and other related costs. We received $748 million in proceeds, net of the original issuance discount, to be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December 31,</w:t>
            </w:r>
          </w:p>
        </w:tc>
      </w:tr>
      <w:tr>
        <w:trPr>
          <w:trHeight w:val="257"/>
        </w:trPr>
        <w:tc>
          <w:tcPr>
            <w:tcW w:w="8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2019 at 1.65%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750</w:t>
            </w:r>
          </w:p>
        </w:tc>
      </w:tr>
      <w:tr>
        <w:trPr>
          <w:trHeight w:val="254"/>
        </w:trPr>
        <w:tc>
          <w:tcPr>
            <w:tcW w:w="8500" w:type="dxa"/>
            <w:vAlign w:val="bottom"/>
          </w:tcPr>
          <w:p>
            <w:pPr>
              <w:ind w:left="20"/>
              <w:spacing w:after="0"/>
              <w:rPr>
                <w:sz w:val="20"/>
                <w:szCs w:val="20"/>
                <w:color w:val="auto"/>
              </w:rPr>
            </w:pPr>
            <w:r>
              <w:rPr>
                <w:rFonts w:ascii="Arial" w:cs="Arial" w:eastAsia="Arial" w:hAnsi="Arial"/>
                <w:sz w:val="16"/>
                <w:szCs w:val="16"/>
                <w:color w:val="auto"/>
              </w:rPr>
              <w:t>Notes due 2020 at 1.75%</w:t>
            </w: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500</w:t>
            </w:r>
          </w:p>
        </w:tc>
      </w:tr>
      <w:tr>
        <w:trPr>
          <w:trHeight w:val="26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2021 at 2.75%</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550</w:t>
            </w:r>
          </w:p>
        </w:tc>
      </w:tr>
      <w:tr>
        <w:trPr>
          <w:trHeight w:val="254"/>
        </w:trPr>
        <w:tc>
          <w:tcPr>
            <w:tcW w:w="8500" w:type="dxa"/>
            <w:vAlign w:val="bottom"/>
          </w:tcPr>
          <w:p>
            <w:pPr>
              <w:ind w:left="20"/>
              <w:spacing w:after="0"/>
              <w:rPr>
                <w:sz w:val="20"/>
                <w:szCs w:val="20"/>
                <w:color w:val="auto"/>
              </w:rPr>
            </w:pPr>
            <w:r>
              <w:rPr>
                <w:rFonts w:ascii="Arial" w:cs="Arial" w:eastAsia="Arial" w:hAnsi="Arial"/>
                <w:sz w:val="16"/>
                <w:szCs w:val="16"/>
                <w:color w:val="auto"/>
              </w:rPr>
              <w:t>Notes due 2022 at 1.85%</w:t>
            </w: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500</w:t>
            </w:r>
          </w:p>
        </w:tc>
      </w:tr>
      <w:tr>
        <w:trPr>
          <w:trHeight w:val="26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2023 at 2.25%</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r>
      <w:tr>
        <w:trPr>
          <w:trHeight w:val="254"/>
        </w:trPr>
        <w:tc>
          <w:tcPr>
            <w:tcW w:w="8500" w:type="dxa"/>
            <w:vAlign w:val="bottom"/>
          </w:tcPr>
          <w:p>
            <w:pPr>
              <w:ind w:left="20"/>
              <w:spacing w:after="0"/>
              <w:rPr>
                <w:sz w:val="20"/>
                <w:szCs w:val="20"/>
                <w:color w:val="auto"/>
              </w:rPr>
            </w:pPr>
            <w:r>
              <w:rPr>
                <w:rFonts w:ascii="Arial" w:cs="Arial" w:eastAsia="Arial" w:hAnsi="Arial"/>
                <w:sz w:val="16"/>
                <w:szCs w:val="16"/>
                <w:color w:val="auto"/>
              </w:rPr>
              <w:t>Notes due 2024 at 2.625%</w:t>
            </w: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300</w:t>
            </w:r>
          </w:p>
        </w:tc>
      </w:tr>
      <w:tr>
        <w:trPr>
          <w:trHeight w:val="26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2027 at 2.90%</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r>
      <w:tr>
        <w:trPr>
          <w:trHeight w:val="254"/>
        </w:trPr>
        <w:tc>
          <w:tcPr>
            <w:tcW w:w="8500" w:type="dxa"/>
            <w:vAlign w:val="bottom"/>
          </w:tcPr>
          <w:p>
            <w:pPr>
              <w:ind w:left="20"/>
              <w:spacing w:after="0"/>
              <w:rPr>
                <w:sz w:val="20"/>
                <w:szCs w:val="20"/>
                <w:color w:val="auto"/>
              </w:rPr>
            </w:pPr>
            <w:r>
              <w:rPr>
                <w:rFonts w:ascii="Arial" w:cs="Arial" w:eastAsia="Arial" w:hAnsi="Arial"/>
                <w:sz w:val="16"/>
                <w:szCs w:val="16"/>
                <w:color w:val="auto"/>
              </w:rPr>
              <w:t>Notes due 2029 at 2.25%</w:t>
            </w: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60"/>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2039 at 3.875%</w:t>
            </w: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54"/>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Notes due 2048 at 4.15%</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1,500</w:t>
            </w:r>
          </w:p>
        </w:tc>
      </w:tr>
      <w:tr>
        <w:trPr>
          <w:trHeight w:val="23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5,850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5,100</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(32)</w:t>
            </w: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5,801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5,068</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auto"/>
              </w:rPr>
              <w:t>(499)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(749)</w:t>
            </w:r>
          </w:p>
        </w:tc>
      </w:tr>
      <w:tr>
        <w:trPr>
          <w:trHeight w:val="33"/>
        </w:trPr>
        <w:tc>
          <w:tcPr>
            <w:tcW w:w="8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2"/>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4,319</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Interest and debt expense was $43 million and $36 million for the third quarters of 2019 and 2018, respectively, and $125 million and $89 million for the first nine months of 2019 and 2018, respectively. This was net of the amortized discounts, premiums and issuance costs. Capitalized interest was not material.</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equity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AOCI</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(32,130)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r>
      <w:tr>
        <w:trPr>
          <w:trHeight w:val="237"/>
        </w:trPr>
        <w:tc>
          <w:tcPr>
            <w:tcW w:w="5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($0.77 per share)</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420" w:type="dxa"/>
            <w:vAlign w:val="bottom"/>
          </w:tcPr>
          <w:p>
            <w:pPr>
              <w:ind w:left="20"/>
              <w:spacing w:after="0"/>
              <w:rPr>
                <w:sz w:val="20"/>
                <w:szCs w:val="20"/>
                <w:color w:val="auto"/>
              </w:rPr>
            </w:pPr>
            <w:r>
              <w:rPr>
                <w:rFonts w:ascii="Arial" w:cs="Arial" w:eastAsia="Arial" w:hAnsi="Arial"/>
                <w:sz w:val="16"/>
                <w:szCs w:val="16"/>
                <w:color w:val="auto"/>
              </w:rPr>
              <w:t>Balance, March 31, 2019</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1,927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38,396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(33,080)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($0.77 per share)</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420" w:type="dxa"/>
            <w:vAlign w:val="bottom"/>
          </w:tcPr>
          <w:p>
            <w:pPr>
              <w:ind w:left="20"/>
              <w:spacing w:after="0"/>
              <w:rPr>
                <w:sz w:val="20"/>
                <w:szCs w:val="20"/>
                <w:color w:val="auto"/>
              </w:rPr>
            </w:pPr>
            <w:r>
              <w:rPr>
                <w:rFonts w:ascii="Arial" w:cs="Arial" w:eastAsia="Arial" w:hAnsi="Arial"/>
                <w:sz w:val="16"/>
                <w:szCs w:val="16"/>
                <w:color w:val="auto"/>
              </w:rPr>
              <w:t>Balance, June 30, 2019</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38,974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(457)</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b w:val="1"/>
                <w:bCs w:val="1"/>
                <w:color w:val="auto"/>
              </w:rPr>
              <w:t>Net income</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1,425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Dividends declared and paid ($0.77 per share)</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(721)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b w:val="1"/>
                <w:bCs w:val="1"/>
                <w:color w:val="auto"/>
              </w:rPr>
              <w:t>Common stock issued for stock-based awards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Stock repurchases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b w:val="1"/>
                <w:bCs w:val="1"/>
                <w:color w:val="auto"/>
              </w:rPr>
              <w:t>Stock compensation</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rPr>
              <w:t>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Other comprehensive income (loss), net of taxes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b w:val="1"/>
                <w:bCs w:val="1"/>
                <w:color w:val="auto"/>
              </w:rPr>
              <w:t>Dividend equivalents on RSUs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Other</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r>
      <w:tr>
        <w:trPr>
          <w:trHeight w:val="247"/>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1,741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39,674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(34,045)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(443)</w:t>
            </w:r>
          </w:p>
        </w:tc>
      </w:tr>
      <w:tr>
        <w:trPr>
          <w:trHeight w:val="24"/>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Paid-in</w:t>
            </w:r>
          </w:p>
        </w:tc>
        <w:tc>
          <w:tcPr>
            <w:tcW w:w="160" w:type="dxa"/>
            <w:vAlign w:val="bottom"/>
          </w:tcPr>
          <w:p>
            <w:pPr>
              <w:spacing w:after="0"/>
              <w:rPr>
                <w:sz w:val="17"/>
                <w:szCs w:val="17"/>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Retained</w:t>
            </w: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Stock</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Capital</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Earnings</w:t>
            </w:r>
          </w:p>
        </w:tc>
        <w:tc>
          <w:tcPr>
            <w:tcW w:w="16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22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AOCI</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r>
      <w:tr>
        <w:trPr>
          <w:trHeight w:val="237"/>
        </w:trPr>
        <w:tc>
          <w:tcPr>
            <w:tcW w:w="5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7"/>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1,366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declared and paid ($0.62 per share)</w:t>
            </w: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Stock compensation</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Dividend equivalents on RSUs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Cumulative effect of accounting changes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March 31, 2018</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35,619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w:t>
            </w:r>
          </w:p>
        </w:tc>
      </w:tr>
      <w:tr>
        <w:trPr>
          <w:trHeight w:val="237"/>
        </w:trPr>
        <w:tc>
          <w:tcPr>
            <w:tcW w:w="5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54"/>
        </w:trPr>
        <w:tc>
          <w:tcPr>
            <w:tcW w:w="5420" w:type="dxa"/>
            <w:vAlign w:val="bottom"/>
          </w:tcPr>
          <w:p>
            <w:pPr>
              <w:ind w:left="140"/>
              <w:spacing w:after="0"/>
              <w:rPr>
                <w:sz w:val="20"/>
                <w:szCs w:val="20"/>
                <w:color w:val="auto"/>
              </w:rPr>
            </w:pPr>
            <w:r>
              <w:rPr>
                <w:rFonts w:ascii="Arial" w:cs="Arial" w:eastAsia="Arial" w:hAnsi="Arial"/>
                <w:sz w:val="16"/>
                <w:szCs w:val="16"/>
                <w:color w:val="auto"/>
              </w:rPr>
              <w:t>Dividends declared and paid ($0.62 per share)</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21</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 equivalents on RSUs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June 30, 2018</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w:t>
            </w:r>
          </w:p>
        </w:tc>
      </w:tr>
      <w:tr>
        <w:trPr>
          <w:trHeight w:val="237"/>
        </w:trPr>
        <w:tc>
          <w:tcPr>
            <w:tcW w:w="5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54"/>
        </w:trPr>
        <w:tc>
          <w:tcPr>
            <w:tcW w:w="5420" w:type="dxa"/>
            <w:vAlign w:val="bottom"/>
          </w:tcPr>
          <w:p>
            <w:pPr>
              <w:ind w:left="140"/>
              <w:spacing w:after="0"/>
              <w:rPr>
                <w:sz w:val="20"/>
                <w:szCs w:val="20"/>
                <w:color w:val="auto"/>
              </w:rPr>
            </w:pPr>
            <w:r>
              <w:rPr>
                <w:rFonts w:ascii="Arial" w:cs="Arial" w:eastAsia="Arial" w:hAnsi="Arial"/>
                <w:sz w:val="16"/>
                <w:szCs w:val="16"/>
                <w:color w:val="auto"/>
              </w:rPr>
              <w:t>Dividends declared and paid ($0.62 per share)</w:t>
            </w:r>
          </w:p>
        </w:tc>
        <w:tc>
          <w:tcPr>
            <w:tcW w:w="18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0"/>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Common stock issued for stock-based awards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Stock repurchases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Stock compensation</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taxes</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17</w:t>
            </w:r>
          </w:p>
        </w:tc>
      </w:tr>
      <w:tr>
        <w:trPr>
          <w:trHeight w:val="33"/>
        </w:trPr>
        <w:tc>
          <w:tcPr>
            <w:tcW w:w="5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7"/>
        </w:trPr>
        <w:tc>
          <w:tcPr>
            <w:tcW w:w="5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Dividend equivalents on RSUs</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5420" w:type="dxa"/>
            <w:vAlign w:val="bottom"/>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2"/>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September 30,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1,918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37,378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(30,167)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September 30,</w:t>
            </w:r>
          </w:p>
        </w:tc>
      </w:tr>
      <w:tr>
        <w:trPr>
          <w:trHeight w:val="257"/>
        </w:trPr>
        <w:tc>
          <w:tcPr>
            <w:tcW w:w="10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r>
      <w:tr>
        <w:trPr>
          <w:trHeight w:val="33"/>
        </w:trPr>
        <w:tc>
          <w:tcPr>
            <w:tcW w:w="10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w:t>
            </w:r>
          </w:p>
        </w:tc>
      </w:tr>
      <w:tr>
        <w:trPr>
          <w:trHeight w:val="257"/>
        </w:trPr>
        <w:tc>
          <w:tcPr>
            <w:tcW w:w="10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7"/>
        </w:trPr>
        <w:tc>
          <w:tcPr>
            <w:tcW w:w="10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w:t>
            </w:r>
          </w:p>
        </w:tc>
      </w:tr>
      <w:tr>
        <w:trPr>
          <w:trHeight w:val="224"/>
        </w:trPr>
        <w:tc>
          <w:tcPr>
            <w:tcW w:w="100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272</w:t>
            </w: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Details of our operating leases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2180" w:type="dxa"/>
            <w:vAlign w:val="bottom"/>
            <w:gridSpan w:val="2"/>
          </w:tcPr>
          <w:p>
            <w:pPr>
              <w:jc w:val="center"/>
              <w:ind w:left="99"/>
              <w:spacing w:after="0"/>
              <w:rPr>
                <w:sz w:val="20"/>
                <w:szCs w:val="20"/>
                <w:color w:val="auto"/>
              </w:rPr>
            </w:pPr>
            <w:r>
              <w:rPr>
                <w:rFonts w:ascii="Arial" w:cs="Arial" w:eastAsia="Arial" w:hAnsi="Arial"/>
                <w:sz w:val="16"/>
                <w:szCs w:val="16"/>
                <w:b w:val="1"/>
                <w:bCs w:val="1"/>
                <w:color w:val="auto"/>
                <w:w w:val="93"/>
              </w:rPr>
              <w:t>For Three Months Ended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jc w:val="center"/>
              <w:ind w:right="99"/>
              <w:spacing w:after="0"/>
              <w:rPr>
                <w:sz w:val="20"/>
                <w:szCs w:val="20"/>
                <w:color w:val="auto"/>
              </w:rPr>
            </w:pPr>
            <w:r>
              <w:rPr>
                <w:rFonts w:ascii="Arial" w:cs="Arial" w:eastAsia="Arial" w:hAnsi="Arial"/>
                <w:sz w:val="16"/>
                <w:szCs w:val="16"/>
                <w:b w:val="1"/>
                <w:bCs w:val="1"/>
                <w:color w:val="auto"/>
                <w:w w:val="93"/>
              </w:rPr>
              <w:t>For Nine Months Ended</w:t>
            </w:r>
          </w:p>
        </w:tc>
      </w:tr>
      <w:tr>
        <w:trPr>
          <w:trHeight w:val="257"/>
        </w:trPr>
        <w:tc>
          <w:tcPr>
            <w:tcW w:w="6620" w:type="dxa"/>
            <w:vAlign w:val="bottom"/>
          </w:tcPr>
          <w:p>
            <w:pPr>
              <w:spacing w:after="0"/>
              <w:rPr>
                <w:sz w:val="22"/>
                <w:szCs w:val="22"/>
                <w:color w:val="auto"/>
              </w:rPr>
            </w:pPr>
          </w:p>
        </w:tc>
        <w:tc>
          <w:tcPr>
            <w:tcW w:w="1720" w:type="dxa"/>
            <w:vAlign w:val="bottom"/>
          </w:tcPr>
          <w:p>
            <w:pPr>
              <w:jc w:val="center"/>
              <w:ind w:left="559"/>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0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September 30,</w:t>
            </w:r>
          </w:p>
        </w:tc>
      </w:tr>
      <w:tr>
        <w:trPr>
          <w:trHeight w:val="33"/>
        </w:trPr>
        <w:tc>
          <w:tcPr>
            <w:tcW w:w="66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17"/>
        </w:trPr>
        <w:tc>
          <w:tcPr>
            <w:tcW w:w="6620" w:type="dxa"/>
            <w:vAlign w:val="bottom"/>
          </w:tcPr>
          <w:p>
            <w:pPr>
              <w:spacing w:after="0"/>
              <w:rPr>
                <w:sz w:val="18"/>
                <w:szCs w:val="18"/>
                <w:color w:val="auto"/>
              </w:rPr>
            </w:pPr>
          </w:p>
        </w:tc>
        <w:tc>
          <w:tcPr>
            <w:tcW w:w="1720" w:type="dxa"/>
            <w:vAlign w:val="bottom"/>
          </w:tcPr>
          <w:p>
            <w:pPr>
              <w:jc w:val="center"/>
              <w:ind w:left="559"/>
              <w:spacing w:after="0"/>
              <w:rPr>
                <w:sz w:val="20"/>
                <w:szCs w:val="20"/>
                <w:color w:val="auto"/>
              </w:rPr>
            </w:pPr>
            <w:r>
              <w:rPr>
                <w:rFonts w:ascii="Arial" w:cs="Arial" w:eastAsia="Arial" w:hAnsi="Arial"/>
                <w:sz w:val="16"/>
                <w:szCs w:val="16"/>
                <w:b w:val="1"/>
                <w:bCs w:val="1"/>
                <w:color w:val="auto"/>
                <w:w w:val="89"/>
              </w:rPr>
              <w:t>2019</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2019</w:t>
            </w:r>
          </w:p>
        </w:tc>
      </w:tr>
      <w:tr>
        <w:trPr>
          <w:trHeight w:val="33"/>
        </w:trPr>
        <w:tc>
          <w:tcPr>
            <w:tcW w:w="66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cost</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1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jc w:val="right"/>
              <w:ind w:right="59"/>
              <w:spacing w:after="0"/>
              <w:rPr>
                <w:sz w:val="20"/>
                <w:szCs w:val="20"/>
                <w:color w:val="auto"/>
              </w:rPr>
            </w:pPr>
            <w:r>
              <w:rPr>
                <w:rFonts w:ascii="Arial" w:cs="Arial" w:eastAsia="Arial" w:hAnsi="Arial"/>
                <w:sz w:val="16"/>
                <w:szCs w:val="16"/>
                <w:color w:val="auto"/>
              </w:rPr>
              <w:t>32</w:t>
            </w:r>
          </w:p>
        </w:tc>
      </w:tr>
      <w:tr>
        <w:trPr>
          <w:trHeight w:val="33"/>
        </w:trPr>
        <w:tc>
          <w:tcPr>
            <w:tcW w:w="6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16"/>
        </w:trPr>
        <w:tc>
          <w:tcPr>
            <w:tcW w:w="66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33"/>
        </w:trPr>
        <w:tc>
          <w:tcPr>
            <w:tcW w:w="6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37"/>
        </w:trPr>
        <w:tc>
          <w:tcPr>
            <w:tcW w:w="6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Operating cash flows for leases</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r>
      <w:tr>
        <w:trPr>
          <w:trHeight w:val="216"/>
        </w:trPr>
        <w:tc>
          <w:tcPr>
            <w:tcW w:w="6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assets obtained in exchange for new lease liabilities</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w:t>
            </w:r>
          </w:p>
        </w:tc>
      </w:tr>
      <w:tr>
        <w:trPr>
          <w:trHeight w:val="216"/>
        </w:trPr>
        <w:tc>
          <w:tcPr>
            <w:tcW w:w="66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7"/>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7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6"/>
                <w:szCs w:val="16"/>
                <w:color w:val="auto"/>
                <w:w w:val="94"/>
              </w:rPr>
              <w:t>8.3 years</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7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465"/>
        </w:trPr>
        <w:tc>
          <w:tcPr>
            <w:tcW w:w="6620" w:type="dxa"/>
            <w:vAlign w:val="bottom"/>
          </w:tcPr>
          <w:p>
            <w:pPr>
              <w:spacing w:after="0"/>
              <w:rPr>
                <w:sz w:val="20"/>
                <w:szCs w:val="20"/>
                <w:color w:val="auto"/>
              </w:rPr>
            </w:pPr>
            <w:r>
              <w:rPr>
                <w:rFonts w:ascii="Arial" w:cs="Arial" w:eastAsia="Arial" w:hAnsi="Arial"/>
                <w:sz w:val="18"/>
                <w:szCs w:val="18"/>
                <w:color w:val="auto"/>
                <w:w w:val="94"/>
              </w:rPr>
              <w:t>The following table presents the maturities of lease liabilities as of September 30, 2019:</w:t>
            </w: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w w:val="92"/>
              </w:rPr>
              <w:t>Operating Leases</w:t>
            </w:r>
          </w:p>
        </w:tc>
      </w:tr>
      <w:tr>
        <w:trPr>
          <w:trHeight w:val="33"/>
        </w:trPr>
        <w:tc>
          <w:tcPr>
            <w:tcW w:w="9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74</w:t>
            </w:r>
          </w:p>
        </w:tc>
      </w:tr>
      <w:tr>
        <w:trPr>
          <w:trHeight w:val="3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50</w:t>
            </w:r>
          </w:p>
        </w:tc>
      </w:tr>
      <w:tr>
        <w:trPr>
          <w:trHeight w:val="33"/>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159</w:t>
            </w:r>
          </w:p>
        </w:tc>
      </w:tr>
      <w:tr>
        <w:trPr>
          <w:trHeight w:val="33"/>
        </w:trPr>
        <w:tc>
          <w:tcPr>
            <w:tcW w:w="9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w:t>
            </w:r>
          </w:p>
        </w:tc>
      </w:tr>
      <w:tr>
        <w:trPr>
          <w:trHeight w:val="224"/>
        </w:trPr>
        <w:tc>
          <w:tcPr>
            <w:tcW w:w="9800" w:type="dxa"/>
            <w:vAlign w:val="bottom"/>
          </w:tcPr>
          <w:p>
            <w:pPr>
              <w:ind w:left="20"/>
              <w:spacing w:after="0"/>
              <w:rPr>
                <w:sz w:val="20"/>
                <w:szCs w:val="20"/>
                <w:color w:val="auto"/>
              </w:rPr>
            </w:pPr>
            <w:r>
              <w:rPr>
                <w:rFonts w:ascii="Arial" w:cs="Arial" w:eastAsia="Arial" w:hAnsi="Arial"/>
                <w:sz w:val="16"/>
                <w:szCs w:val="16"/>
                <w:color w:val="auto"/>
              </w:rPr>
              <w:t>Imputed lease interest</w:t>
            </w:r>
          </w:p>
        </w:tc>
        <w:tc>
          <w:tcPr>
            <w:tcW w:w="14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9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72"/>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346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Changes in accrued restructuring balances are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w:t>
            </w:r>
          </w:p>
        </w:tc>
      </w:tr>
      <w:tr>
        <w:trPr>
          <w:trHeight w:val="224"/>
        </w:trPr>
        <w:tc>
          <w:tcPr>
            <w:tcW w:w="10200" w:type="dxa"/>
            <w:vAlign w:val="bottom"/>
          </w:tcPr>
          <w:p>
            <w:pPr>
              <w:ind w:left="20"/>
              <w:spacing w:after="0"/>
              <w:rPr>
                <w:sz w:val="20"/>
                <w:szCs w:val="20"/>
                <w:color w:val="auto"/>
              </w:rPr>
            </w:pPr>
            <w:r>
              <w:rPr>
                <w:rFonts w:ascii="Arial" w:cs="Arial" w:eastAsia="Arial" w:hAnsi="Arial"/>
                <w:sz w:val="16"/>
                <w:szCs w:val="16"/>
                <w:b w:val="1"/>
                <w:bCs w:val="1"/>
                <w:color w:val="auto"/>
              </w:rPr>
              <w:t>Restructuring charges</w:t>
            </w:r>
          </w:p>
        </w:tc>
        <w:tc>
          <w:tcPr>
            <w:tcW w:w="46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(15)</w:t>
            </w:r>
          </w:p>
        </w:tc>
      </w:tr>
      <w:tr>
        <w:trPr>
          <w:trHeight w:val="33"/>
        </w:trPr>
        <w:tc>
          <w:tcPr>
            <w:tcW w:w="10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7"/>
        </w:trPr>
        <w:tc>
          <w:tcPr>
            <w:tcW w:w="10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Payments</w:t>
            </w:r>
          </w:p>
        </w:tc>
        <w:tc>
          <w:tcPr>
            <w:tcW w:w="4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r>
      <w:tr>
        <w:trPr>
          <w:trHeight w:val="247"/>
        </w:trPr>
        <w:tc>
          <w:tcPr>
            <w:tcW w:w="10200" w:type="dxa"/>
            <w:vAlign w:val="bottom"/>
          </w:tcPr>
          <w:p>
            <w:pPr>
              <w:ind w:left="20"/>
              <w:spacing w:after="0"/>
              <w:rPr>
                <w:sz w:val="20"/>
                <w:szCs w:val="20"/>
                <w:color w:val="auto"/>
              </w:rPr>
            </w:pPr>
            <w:r>
              <w:rPr>
                <w:rFonts w:ascii="Arial" w:cs="Arial" w:eastAsia="Arial" w:hAnsi="Arial"/>
                <w:sz w:val="16"/>
                <w:szCs w:val="16"/>
                <w:b w:val="1"/>
                <w:bCs w:val="1"/>
                <w:color w:val="auto"/>
              </w:rPr>
              <w:t>Balance, September 30, 2019</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w:t>
            </w:r>
          </w:p>
        </w:tc>
      </w:tr>
      <w:tr>
        <w:trPr>
          <w:trHeight w:val="24"/>
        </w:trPr>
        <w:tc>
          <w:tcPr>
            <w:tcW w:w="10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April 2019, we sold our manufacturing facility in Greenock, Scotland.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Our Consolidated Statements of Comprehensive Income include items that have been recognized within net income during the third quarters and first nine months of 2019 and 2018. The table below details where these transactions are recorded in our Consolidated Statements of Income.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2440" w:type="dxa"/>
            <w:vAlign w:val="bottom"/>
            <w:gridSpan w:val="6"/>
          </w:tcPr>
          <w:p>
            <w:pPr>
              <w:ind w:left="280"/>
              <w:spacing w:after="0"/>
              <w:rPr>
                <w:sz w:val="20"/>
                <w:szCs w:val="20"/>
                <w:color w:val="auto"/>
              </w:rPr>
            </w:pPr>
            <w:r>
              <w:rPr>
                <w:rFonts w:ascii="Arial" w:cs="Arial" w:eastAsia="Arial" w:hAnsi="Arial"/>
                <w:sz w:val="16"/>
                <w:szCs w:val="16"/>
                <w:b w:val="1"/>
                <w:bCs w:val="1"/>
                <w:color w:val="auto"/>
              </w:rPr>
              <w:t>For Three Months Ended</w:t>
            </w:r>
          </w:p>
        </w:tc>
        <w:tc>
          <w:tcPr>
            <w:tcW w:w="200" w:type="dxa"/>
            <w:vAlign w:val="bottom"/>
          </w:tcPr>
          <w:p>
            <w:pPr>
              <w:spacing w:after="0"/>
              <w:rPr>
                <w:sz w:val="18"/>
                <w:szCs w:val="18"/>
                <w:color w:val="auto"/>
              </w:rPr>
            </w:pPr>
          </w:p>
        </w:tc>
        <w:tc>
          <w:tcPr>
            <w:tcW w:w="212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9"/>
              </w:rPr>
              <w:t>For Nine Months Ended</w:t>
            </w:r>
          </w:p>
        </w:tc>
        <w:tc>
          <w:tcPr>
            <w:tcW w:w="1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2"/>
                <w:szCs w:val="22"/>
                <w:color w:val="auto"/>
              </w:rPr>
            </w:pPr>
          </w:p>
        </w:tc>
        <w:tc>
          <w:tcPr>
            <w:tcW w:w="19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22"/>
                <w:szCs w:val="22"/>
                <w:color w:val="auto"/>
              </w:rPr>
            </w:pPr>
          </w:p>
        </w:tc>
        <w:tc>
          <w:tcPr>
            <w:tcW w:w="29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4"/>
              </w:rPr>
              <w:t>Impact to Related Statement of Income</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900" w:type="dxa"/>
            <w:vAlign w:val="bottom"/>
          </w:tcPr>
          <w:p>
            <w:pPr>
              <w:ind w:left="1260"/>
              <w:spacing w:after="0"/>
              <w:rPr>
                <w:sz w:val="20"/>
                <w:szCs w:val="20"/>
                <w:color w:val="auto"/>
              </w:rPr>
            </w:pPr>
            <w:r>
              <w:rPr>
                <w:rFonts w:ascii="Arial" w:cs="Arial" w:eastAsia="Arial" w:hAnsi="Arial"/>
                <w:sz w:val="16"/>
                <w:szCs w:val="16"/>
                <w:b w:val="1"/>
                <w:bCs w:val="1"/>
                <w:color w:val="auto"/>
              </w:rPr>
              <w:t>Lines</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40" w:type="dxa"/>
            <w:vAlign w:val="bottom"/>
          </w:tcPr>
          <w:p>
            <w:pPr>
              <w:ind w:left="120"/>
              <w:spacing w:after="0"/>
              <w:rPr>
                <w:sz w:val="20"/>
                <w:szCs w:val="20"/>
                <w:color w:val="auto"/>
              </w:rPr>
            </w:pPr>
            <w:r>
              <w:rPr>
                <w:rFonts w:ascii="Arial" w:cs="Arial" w:eastAsia="Arial" w:hAnsi="Arial"/>
                <w:sz w:val="16"/>
                <w:szCs w:val="16"/>
                <w:color w:val="auto"/>
                <w:w w:val="95"/>
              </w:rPr>
              <w:t>Recognized net actuarial loss and settlement losses</w:t>
            </w:r>
          </w:p>
        </w:tc>
        <w:tc>
          <w:tcPr>
            <w:tcW w:w="7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center"/>
              <w:ind w:left="359"/>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40" w:type="dxa"/>
            <w:vAlign w:val="bottom"/>
          </w:tcPr>
          <w:p>
            <w:pPr>
              <w:ind w:left="120"/>
              <w:spacing w:after="0"/>
              <w:rPr>
                <w:sz w:val="20"/>
                <w:szCs w:val="20"/>
                <w:color w:val="auto"/>
              </w:rPr>
            </w:pPr>
            <w:r>
              <w:rPr>
                <w:rFonts w:ascii="Arial" w:cs="Arial" w:eastAsia="Arial" w:hAnsi="Arial"/>
                <w:sz w:val="16"/>
                <w:szCs w:val="16"/>
                <w:color w:val="auto"/>
              </w:rPr>
              <w:t>(a)</w:t>
            </w:r>
          </w:p>
        </w:tc>
        <w:tc>
          <w:tcPr>
            <w:tcW w:w="760" w:type="dxa"/>
            <w:vAlign w:val="bottom"/>
            <w:vMerge w:val="continue"/>
          </w:tcPr>
          <w:p>
            <w:pPr>
              <w:spacing w:after="0"/>
              <w:rPr>
                <w:sz w:val="17"/>
                <w:szCs w:val="17"/>
                <w:color w:val="auto"/>
              </w:rPr>
            </w:pPr>
          </w:p>
        </w:tc>
        <w:tc>
          <w:tcPr>
            <w:tcW w:w="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Pr>
          <w:p>
            <w:pPr>
              <w:ind w:lef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 effect</w:t>
            </w: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center"/>
              <w:ind w:left="339"/>
              <w:spacing w:after="0"/>
              <w:rPr>
                <w:sz w:val="20"/>
                <w:szCs w:val="20"/>
                <w:color w:val="auto"/>
              </w:rPr>
            </w:pPr>
            <w:r>
              <w:rPr>
                <w:rFonts w:ascii="Arial" w:cs="Arial" w:eastAsia="Arial" w:hAnsi="Arial"/>
                <w:sz w:val="16"/>
                <w:szCs w:val="16"/>
                <w:b w:val="1"/>
                <w:bCs w:val="1"/>
                <w:color w:val="auto"/>
                <w:w w:val="98"/>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47"/>
        </w:trPr>
        <w:tc>
          <w:tcPr>
            <w:tcW w:w="3640" w:type="dxa"/>
            <w:vAlign w:val="bottom"/>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36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20"/>
              <w:spacing w:after="0"/>
              <w:rPr>
                <w:sz w:val="20"/>
                <w:szCs w:val="20"/>
                <w:color w:val="auto"/>
              </w:rPr>
            </w:pPr>
            <w:r>
              <w:rPr>
                <w:rFonts w:ascii="Arial" w:cs="Arial" w:eastAsia="Arial" w:hAnsi="Arial"/>
                <w:sz w:val="16"/>
                <w:szCs w:val="16"/>
                <w:color w:val="auto"/>
              </w:rPr>
              <w:t>Prior service credit of defined benefit plans:</w:t>
            </w: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Amortization of prior service credit (a)</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24"/>
        </w:trPr>
        <w:tc>
          <w:tcPr>
            <w:tcW w:w="3640" w:type="dxa"/>
            <w:vAlign w:val="bottom"/>
          </w:tcPr>
          <w:p>
            <w:pPr>
              <w:ind w:left="120"/>
              <w:spacing w:after="0"/>
              <w:rPr>
                <w:sz w:val="20"/>
                <w:szCs w:val="20"/>
                <w:color w:val="auto"/>
              </w:rPr>
            </w:pPr>
            <w:r>
              <w:rPr>
                <w:rFonts w:ascii="Arial" w:cs="Arial" w:eastAsia="Arial" w:hAnsi="Arial"/>
                <w:sz w:val="16"/>
                <w:szCs w:val="16"/>
                <w:color w:val="auto"/>
              </w:rPr>
              <w:t>Tax effect</w:t>
            </w:r>
          </w:p>
        </w:tc>
        <w:tc>
          <w:tcPr>
            <w:tcW w:w="7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spacing w:after="0"/>
              <w:rPr>
                <w:sz w:val="19"/>
                <w:szCs w:val="19"/>
                <w:color w:val="auto"/>
              </w:rPr>
            </w:pPr>
          </w:p>
        </w:tc>
        <w:tc>
          <w:tcPr>
            <w:tcW w:w="4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00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Recognized within net income, net of taxes</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2"/>
            <w:shd w:val="clear" w:color="auto" w:fill="CCEEFF"/>
          </w:tcPr>
          <w:p>
            <w:pPr>
              <w:jc w:val="center"/>
              <w:ind w:left="25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3"/>
                <w:szCs w:val="23"/>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Total shares of 4,404,183 and 13,381,166 were issued from treasury shares during the third quarter and first nine months of 2019, respectively, related to stock compensation.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Our business model is designed around the following four sustainable competitive advantages that we believe, in combination, put us in a unique class of companies:</w:t>
      </w:r>
    </w:p>
    <w:p>
      <w:pPr>
        <w:spacing w:after="0" w:line="170" w:lineRule="exact"/>
        <w:rPr>
          <w:sz w:val="20"/>
          <w:szCs w:val="20"/>
          <w:color w:val="auto"/>
        </w:rPr>
      </w:pPr>
    </w:p>
    <w:p>
      <w:pPr>
        <w:ind w:left="620" w:right="60" w:hanging="328"/>
        <w:spacing w:after="0" w:line="255"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 strong foundation of manufacturing and technology. </w:t>
      </w:r>
      <w:r>
        <w:rPr>
          <w:rFonts w:ascii="Arial" w:cs="Arial" w:eastAsia="Arial" w:hAnsi="Arial"/>
          <w:sz w:val="18"/>
          <w:szCs w:val="18"/>
          <w:color w:val="auto"/>
        </w:rPr>
        <w:t>We invest in manufacturing technologies and do most of our manufacturing in-house. This</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decision to directly control our manufacturing helps ensure a consistent supply of products for our customers and also allows us to invest in technology that differentiates the features of our products. We have focused on creating a competitive manufacturing cost advantage by investing in our advanced analog 300-millimeter capacity, which has about a 40% cost advantage per unpackaged chip over 200-millimeter. To strengthen this advantage, we are planning our next phase of 300-millimeter capacity expansion as 300-millimeter wafers will continue to support the majority of our Analog growth.</w:t>
      </w:r>
    </w:p>
    <w:p>
      <w:pPr>
        <w:spacing w:after="0" w:line="85" w:lineRule="exact"/>
        <w:rPr>
          <w:rFonts w:ascii="Arial" w:cs="Arial" w:eastAsia="Arial" w:hAnsi="Arial"/>
          <w:sz w:val="18"/>
          <w:szCs w:val="18"/>
          <w:color w:val="auto"/>
        </w:rPr>
      </w:pPr>
    </w:p>
    <w:p>
      <w:pPr>
        <w:ind w:left="620" w:right="40" w:hanging="328"/>
        <w:spacing w:after="0" w:line="259"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Broad portfolio of differentiated analog and embedded processing semiconductors. </w:t>
      </w:r>
      <w:r>
        <w:rPr>
          <w:rFonts w:ascii="Arial" w:cs="Arial" w:eastAsia="Arial" w:hAnsi="Arial"/>
          <w:sz w:val="18"/>
          <w:szCs w:val="18"/>
          <w:color w:val="auto"/>
        </w:rPr>
        <w:t>Our customers need multiple chips for their systems. The breadth</w:t>
      </w:r>
      <w:r>
        <w:rPr>
          <w:rFonts w:ascii="Arial" w:cs="Arial" w:eastAsia="Arial" w:hAnsi="Arial"/>
          <w:sz w:val="18"/>
          <w:szCs w:val="18"/>
          <w:i w:val="1"/>
          <w:iCs w:val="1"/>
          <w:color w:val="auto"/>
        </w:rPr>
        <w:t xml:space="preserve"> </w:t>
      </w:r>
      <w:r>
        <w:rPr>
          <w:rFonts w:ascii="Arial" w:cs="Arial" w:eastAsia="Arial" w:hAnsi="Arial"/>
          <w:sz w:val="18"/>
          <w:szCs w:val="18"/>
          <w:color w:val="auto"/>
        </w:rPr>
        <w:t>of our portfolio means we can meet more of these needs than our competitors can, which gives us access to more customers and the opportunity to sell more products and generate more revenue per customer system. We invest more than $1 billion each year to develop new products for our portfolio, which includes tens of thousands of products.</w:t>
      </w:r>
    </w:p>
    <w:p>
      <w:pPr>
        <w:spacing w:after="0" w:line="78" w:lineRule="exact"/>
        <w:rPr>
          <w:rFonts w:ascii="Arial" w:cs="Arial" w:eastAsia="Arial" w:hAnsi="Arial"/>
          <w:sz w:val="18"/>
          <w:szCs w:val="18"/>
          <w:color w:val="auto"/>
        </w:rPr>
      </w:pPr>
    </w:p>
    <w:p>
      <w:pPr>
        <w:ind w:left="620" w:right="120" w:hanging="328"/>
        <w:spacing w:after="0" w:line="259" w:lineRule="auto"/>
        <w:tabs>
          <w:tab w:leader="none" w:pos="615"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Broadest reach of market channels. </w:t>
      </w:r>
      <w:r>
        <w:rPr>
          <w:rFonts w:ascii="Arial" w:cs="Arial" w:eastAsia="Arial" w:hAnsi="Arial"/>
          <w:sz w:val="18"/>
          <w:szCs w:val="18"/>
          <w:color w:val="auto"/>
        </w:rPr>
        <w:t>Customers often begin their initial product selection process and design-in journey on our website,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breadth of our portfolio attracts more customers to our website than any of our competitors’ websites. Our web presence, combined with our global sales force that is also greater in size than those of our competitors, are advantages that give us unique access to about 100,000 customers designing TI semiconductors into their end products.</w:t>
      </w:r>
    </w:p>
    <w:p>
      <w:pPr>
        <w:spacing w:after="0" w:line="78" w:lineRule="exact"/>
        <w:rPr>
          <w:rFonts w:ascii="Arial" w:cs="Arial" w:eastAsia="Arial" w:hAnsi="Arial"/>
          <w:sz w:val="18"/>
          <w:szCs w:val="18"/>
          <w:color w:val="auto"/>
        </w:rPr>
      </w:pPr>
    </w:p>
    <w:p>
      <w:pPr>
        <w:ind w:left="620" w:right="60" w:hanging="328"/>
        <w:spacing w:after="0" w:line="312" w:lineRule="auto"/>
        <w:tabs>
          <w:tab w:leader="none" w:pos="615"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Diversity and longevity of our products, markets and customer positions. </w:t>
      </w:r>
      <w:r>
        <w:rPr>
          <w:rFonts w:ascii="Arial" w:cs="Arial" w:eastAsia="Arial" w:hAnsi="Arial"/>
          <w:sz w:val="16"/>
          <w:szCs w:val="16"/>
          <w:color w:val="auto"/>
        </w:rPr>
        <w:t>Together, the attributes above result in diverse and long-lived positions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deliver high terminal value to our shareholders. Because of the breadth of our portfolio, we are not dependent on any single product, customer, technology or market. Some of our products generate revenue for decades, which strengthens the return on our investments.</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strategic focus, and where we invest the majority of our resources, is on Analog and Embedded Processing, with a particular emphasis on designing and selling those products into the industrial and automotive markets, which we believe represent the best growth opportunities. Analog and embedded processing products sold into industrial and automotive markets provide long product life cycles, intrinsic diversity and less capital-intensive manufacturing, which we believe offer stability, profitability and strong cash generation. This business model is the foundation of our capital management strategy, which is based on our belief that free cash flow growth, especially on a per-share basis, is important for maximizing shareholder value over the long term. We also believe that free cash flow will be valued only if it is productively invested in the business or returned to shareholders.</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combined effect of these sustainable competitive advantages is that over time we have gained market share in Analog and Embedded Processing and have grown free cash flow. Our business model puts us in a unique class of companies with the ability to grow, generate cash and return that cash to shareholders.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20" w:right="80" w:hanging="328"/>
        <w:spacing w:after="0" w:line="264" w:lineRule="auto"/>
        <w:tabs>
          <w:tab w:leader="none" w:pos="6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See Note 1 to the financial statements for more information regarding our segments.</w:t>
      </w:r>
    </w:p>
    <w:p>
      <w:pPr>
        <w:spacing w:after="0" w:line="73" w:lineRule="exact"/>
        <w:rPr>
          <w:rFonts w:ascii="Arial" w:cs="Arial" w:eastAsia="Arial" w:hAnsi="Arial"/>
          <w:sz w:val="18"/>
          <w:szCs w:val="18"/>
          <w:color w:val="auto"/>
        </w:rPr>
      </w:pPr>
    </w:p>
    <w:p>
      <w:pPr>
        <w:ind w:left="620" w:hanging="328"/>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320" w:hanging="320"/>
        <w:spacing w:after="0" w:line="277" w:lineRule="auto"/>
        <w:tabs>
          <w:tab w:leader="none" w:pos="1296"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New products tend not to have a significant impact on our revenue in any given period because we sell such a large number of products.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1" w:right="279" w:bottom="1440" w:gutter="0" w:footer="0" w:header="0"/>
        </w:sectPr>
      </w:pPr>
    </w:p>
    <w:bookmarkStart w:id="19" w:name="page20"/>
    <w:bookmarkEnd w:id="19"/>
    <w:p>
      <w:pPr>
        <w:ind w:left="1300" w:right="240" w:hanging="320"/>
        <w:spacing w:after="0" w:line="277" w:lineRule="auto"/>
        <w:tabs>
          <w:tab w:leader="none" w:pos="12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62" w:lineRule="exact"/>
        <w:rPr>
          <w:rFonts w:ascii="Arial" w:cs="Arial" w:eastAsia="Arial" w:hAnsi="Arial"/>
          <w:sz w:val="18"/>
          <w:szCs w:val="18"/>
          <w:color w:val="auto"/>
        </w:rPr>
      </w:pPr>
    </w:p>
    <w:p>
      <w:pPr>
        <w:ind w:left="1300" w:hanging="320"/>
        <w:spacing w:after="0" w:line="279" w:lineRule="auto"/>
        <w:tabs>
          <w:tab w:leader="none" w:pos="1296" w:val="left"/>
        </w:tabs>
        <w:numPr>
          <w:ilvl w:val="1"/>
          <w:numId w:val="16"/>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20" w:hanging="328"/>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third quarter revenue was $3.77 billion, net income was $1.43 billion and earnings per share (EPS) were $1.49.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decreased 11% from the same quarter a year ago, as most markets weakened further.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our core businesses, Analog revenue declined 8% and Embedded Processing declined 19% from the same quarter a year ago.</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cash flow from operations of $7.0 billion for the trailing 12 months again underscored the strength of our business model. Free cash flow for the trailing 12 months was $6.0 billion and 41% of revenue. This reflects the quality of our product portfolio, as well as the efficiency of our manufacturing strategy, including the benefit of 300-millimeter Analog production.</w:t>
      </w:r>
    </w:p>
    <w:p>
      <w:pPr>
        <w:spacing w:after="0" w:line="18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have returned $7.4 billion to shareholders in the past 12 months through stock repurchases and dividends. Over the last 12 months, our dividends represented 48% of free cash flow, underscoring their sustainability. In September, we announced we would increase our dividend by 17%. Together, our stock repurchases and dividends reflect our continued commitment to return all free cash flow to our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expect our annual operating tax rate to be about 16%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third quarter 2019 compared with third quarter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$3.77 billion decreased $490 million, or 11%, primarily due to lower revenue from Analog and Embedded Processing.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Gross profit of $2.45 billion was down $358 million, or 13%, due to lower revenue. As a percentage of revenue, gross profit decreased to 64.9% from 65.8%.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$778 million compared with $786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$79 million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$1.59 billion, or 42.1% of revenue, compared with $1.94 billion, or 45.5%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$34 million of income compared with $23 million of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$43 million increased $7 million due to the issuance of additional long-term debt.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provision for income taxes was $155 million compared with $354 million. The decrease was due to higher discrete tax benefits, lower income before income taxes and, to a lesser extent, a lower annual operating tax rate. Our annual operating tax rate, which does not include discrete tax items, is about 16% compared with 20% in 2018. We use “annual operating tax rate” to describe the estimated annual effective tax rate. The 2019 rate differs from the 21% U.S. statutory corporate tax rate due to the effect of U.S. tax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$1.43 billion compared with $1.57 billion. EPS was $1.49 compared with $1.58.</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Third quarter 2019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quarter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Signal Chain and High Volume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2019</w:t>
            </w:r>
          </w:p>
        </w:tc>
        <w:tc>
          <w:tcPr>
            <w:tcW w:w="2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Q3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2,674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1,231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1,447</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(15) %</w:t>
            </w:r>
          </w:p>
        </w:tc>
      </w:tr>
      <w:tr>
        <w:trPr>
          <w:trHeight w:val="33"/>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46.0 %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Analog revenue decreased due to Power, Signal Chain and, to a lesser extent, High Volume. Operating profit decreased primarily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Connected Microcontrollers and Processors product lines)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2019</w:t>
            </w:r>
          </w:p>
        </w:tc>
        <w:tc>
          <w:tcPr>
            <w:tcW w:w="2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Q3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233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(25) %</w:t>
            </w:r>
          </w:p>
        </w:tc>
      </w:tr>
      <w:tr>
        <w:trPr>
          <w:trHeight w:val="33"/>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Embedded Processing revenue decreased in both product lines about equally. Operating profit decreased due to lower revenue and associated gross profit.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products, calculators and custom ASIC products)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Q3 2019</w:t>
            </w:r>
          </w:p>
        </w:tc>
        <w:tc>
          <w:tcPr>
            <w:tcW w:w="2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Q3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4"/>
        </w:trPr>
        <w:tc>
          <w:tcPr>
            <w:tcW w:w="7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373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Pr>
          <w:p>
            <w:pPr>
              <w:spacing w:after="0"/>
              <w:rPr>
                <w:sz w:val="19"/>
                <w:szCs w:val="19"/>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181</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(31) %</w:t>
            </w:r>
          </w:p>
        </w:tc>
      </w:tr>
      <w:tr>
        <w:trPr>
          <w:trHeight w:val="33"/>
        </w:trPr>
        <w:tc>
          <w:tcPr>
            <w:tcW w:w="7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33.5 %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$87 million, and operating profit decreased $56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first nine months of 2019 compared with first nine months of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 of $11.03 billion decreased $1.03 billion, or 9%, primarily due to lower revenue from Embedded Processing and Analog.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of $7.07 billion was down $803 million, or 10%, primarily due to lower revenue. As a percentage of revenue, gross profit decreased to 64.1% from 65.2%.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$2.39 billion compared with $2.43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of $238 million were non-cash. See Note 5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was a credit of $36 million due to the sale of our manufacturing facility in Greenock, Scotland.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$4.47 billion, or 40.6% of revenue, compared with $5.20 billion, or 43.1%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OI&amp;E was $122 million of income compared with $75 million of income, which increased primarily due to investment gains.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$125 million increased $36 million due to the issuance of additional long-term debt.</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provision for income taxes was $524 million compared with $842 million. The decrease was due to a lower annual operating tax rate and lower income before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$3.95 billion compared with $4.34 billion. EPS was $4.12 compared with $4.32.</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Year-to-date segment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compared with the year-ago period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2019</w:t>
            </w:r>
          </w:p>
        </w:tc>
        <w:tc>
          <w:tcPr>
            <w:tcW w:w="1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YTD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7,726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8,163</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3,427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3,876</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(12) %</w:t>
            </w:r>
          </w:p>
        </w:tc>
      </w:tr>
      <w:tr>
        <w:trPr>
          <w:trHeight w:val="3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Analog revenue decreased due to Power, High Volume and, to a lesser extent, Signal Chain. Operating profit decreased primarily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2019</w:t>
            </w:r>
          </w:p>
        </w:tc>
        <w:tc>
          <w:tcPr>
            <w:tcW w:w="1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YTD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2,310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2,763</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747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971</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(23) %</w:t>
            </w:r>
          </w:p>
        </w:tc>
      </w:tr>
      <w:tr>
        <w:trPr>
          <w:trHeight w:val="3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32.3 %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33"/>
        </w:trPr>
        <w:tc>
          <w:tcPr>
            <w:tcW w:w="7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Embedded Processing revenue decreased in Processors and Connected Microcontrollers. Operating profit decreased due to lower revenue and associated gross profit.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YTD 2019</w:t>
            </w:r>
          </w:p>
        </w:tc>
        <w:tc>
          <w:tcPr>
            <w:tcW w:w="18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YTD 2018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w:t>
            </w:r>
          </w:p>
        </w:tc>
        <w:tc>
          <w:tcPr>
            <w:tcW w:w="1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00" w:type="dxa"/>
            <w:vAlign w:val="bottom"/>
          </w:tcPr>
          <w:p>
            <w:pPr>
              <w:spacing w:after="0"/>
              <w:rPr>
                <w:sz w:val="19"/>
                <w:szCs w:val="19"/>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350</w:t>
            </w:r>
          </w:p>
        </w:tc>
        <w:tc>
          <w:tcPr>
            <w:tcW w:w="1540" w:type="dxa"/>
            <w:vAlign w:val="bottom"/>
            <w:gridSpan w:val="3"/>
          </w:tcPr>
          <w:p>
            <w:pPr>
              <w:jc w:val="right"/>
              <w:spacing w:after="0"/>
              <w:rPr>
                <w:sz w:val="20"/>
                <w:szCs w:val="20"/>
                <w:color w:val="auto"/>
              </w:rPr>
            </w:pPr>
            <w:r>
              <w:rPr>
                <w:rFonts w:ascii="Arial" w:cs="Arial" w:eastAsia="Arial" w:hAnsi="Arial"/>
                <w:sz w:val="16"/>
                <w:szCs w:val="16"/>
                <w:color w:val="auto"/>
              </w:rPr>
              <w:t>(14) %</w:t>
            </w:r>
          </w:p>
        </w:tc>
      </w:tr>
      <w:tr>
        <w:trPr>
          <w:trHeight w:val="33"/>
        </w:trPr>
        <w:tc>
          <w:tcPr>
            <w:tcW w:w="7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30.1 %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 Includes acquisition charges and restructuring charges/other</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$144 million, and operating profit decreased $50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the end of the third quarter of 2019, total cash (cash and cash equivalents plus short-term investments) was $5.07 billion, an increase of $834 million from the end of 2018.</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Accounts receivable were $1.34 billion, an increase of $135 million compared with the end of 2018. Days sales outstanding at the end of the third quarter of 2019 were 32 compared with 29 at the end of 2018.</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Inventory was $2.04 billion, a decrease of $177 million from the end of 2018. Days of inventory at the end of the third quarter of 2019 were 139 compared with 152 at the end of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variable-rate, revolving credit facility. Cash flows from operating activities for the first nine months of 2019 were $4.90 billion, a decrease of $149 million primarily due to lower net income.</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September 30, 2019, our credit facility was undrawn, and we had no commercial paper outstanding.</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Investing activities for the first nine months of 2019 provided $1 million compared with $1.58 billion of cash used in the year-ago period. Capital expenditures were $684 million compared with $808 million in the year-ago period and were primarily for semiconductor manufacturing equipment in both periods. Short-term investments provided cash of $630 million compared with $763 million of cash used in the year-ago period.</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22" w:name="page23"/>
    <w:bookmarkEnd w:id="22"/>
    <w:p>
      <w:pPr>
        <w:spacing w:after="0" w:line="273" w:lineRule="auto"/>
        <w:rPr>
          <w:sz w:val="20"/>
          <w:szCs w:val="20"/>
          <w:color w:val="auto"/>
        </w:rPr>
      </w:pPr>
      <w:r>
        <w:rPr>
          <w:rFonts w:ascii="Arial" w:cs="Arial" w:eastAsia="Arial" w:hAnsi="Arial"/>
          <w:sz w:val="17"/>
          <w:szCs w:val="17"/>
          <w:color w:val="auto"/>
        </w:rPr>
        <w:t>Financing activities for the first nine months of 2019 used $3.44 billion compared with $3.62 billion in the year-ago period. In 2019, we received net proceeds of $1.49 billion from the issuance of fixed-rate, long-term debt, and we retired maturing debt of $750 million. In the year-ago period, we received net proceeds of $1.50 billion from the issuance of fixed-rate, long-term debt, and we retired maturing debt of $500 million. Dividends paid were $2.17 billion compared with $1.82 billion in the year-ago period, reflecting an increase in the dividend rate, partially offset by fewer shares outstanding. We used $2.47 billion to repurchase 23.4 million shares of our common stock compared with $3.09 billion used in the year-ago period to repurchase 28.6 million shares. Employee exercises of stock options provided cash proceeds of $491 million compared with $335 million in the year-ago period.</w:t>
      </w:r>
    </w:p>
    <w:p>
      <w:pPr>
        <w:spacing w:after="0" w:line="17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had $3.89 billion of cash and cash equivalents and $1.17 billion of short-term investments as of September 30, 2019. We believe we have the necessary financial resources and operating plans to fund our working capital needs, capital expenditures, dividend and debt-related payments, and other business requirements for at least the next 12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2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For 12 Months Ended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7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33"/>
        </w:trPr>
        <w:tc>
          <w:tcPr>
            <w:tcW w:w="7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7"/>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2018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3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7,040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6,973</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(1,007)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3"/>
        </w:trPr>
        <w:tc>
          <w:tcPr>
            <w:tcW w:w="7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7"/>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6,033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73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r>
      <w:tr>
        <w:trPr>
          <w:trHeight w:val="272"/>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14,750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15,817</w:t>
            </w:r>
          </w:p>
        </w:tc>
        <w:tc>
          <w:tcPr>
            <w:tcW w:w="1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166"/>
        </w:trPr>
        <w:tc>
          <w:tcPr>
            <w:tcW w:w="7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7"/>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 of revenue (GAAP)</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47.7 %</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r>
      <w:tr>
        <w:trPr>
          <w:trHeight w:val="224"/>
        </w:trPr>
        <w:tc>
          <w:tcPr>
            <w:tcW w:w="7360" w:type="dxa"/>
            <w:vAlign w:val="bottom"/>
          </w:tcPr>
          <w:p>
            <w:pPr>
              <w:ind w:left="20"/>
              <w:spacing w:after="0"/>
              <w:rPr>
                <w:sz w:val="20"/>
                <w:szCs w:val="20"/>
                <w:color w:val="auto"/>
              </w:rPr>
            </w:pPr>
            <w:r>
              <w:rPr>
                <w:rFonts w:ascii="Arial" w:cs="Arial" w:eastAsia="Arial" w:hAnsi="Arial"/>
                <w:sz w:val="16"/>
                <w:szCs w:val="16"/>
                <w:color w:val="auto"/>
              </w:rPr>
              <w:t>Free cash flow as a percent of revenue (non-GAAP)</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40.9 %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37.5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bl>
    <w:p>
      <w:pPr>
        <w:spacing w:after="0" w:line="23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Information regarding long-term contractual obligations is in Item 7 of our Form 10-K for the year ended December 31, 2018. Additionally, in the first nine months of 2019, we issued $750 million principal amount of 3.875% notes maturing in 2039 and $750 million principal amount of 2.25% notes maturing in 2029. We retired $750 million of maturing debt in August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detailed information regarding the status of new accounting and reporting standards.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concerning our risk factors is contained in Item 1A of our Form 10-K for the year ended December 31, 2018,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1"/>
              </w:rPr>
              <w:t>Average Price</w:t>
            </w:r>
          </w:p>
        </w:tc>
        <w:tc>
          <w:tcPr>
            <w:tcW w:w="0" w:type="dxa"/>
            <w:vAlign w:val="bottom"/>
          </w:tcPr>
          <w:p>
            <w:pPr>
              <w:spacing w:after="0"/>
              <w:rPr>
                <w:sz w:val="1"/>
                <w:szCs w:val="1"/>
                <w:color w:val="auto"/>
              </w:rPr>
            </w:pPr>
          </w:p>
        </w:tc>
      </w:tr>
      <w:tr>
        <w:trPr>
          <w:trHeight w:val="210"/>
        </w:trPr>
        <w:tc>
          <w:tcPr>
            <w:tcW w:w="4560" w:type="dxa"/>
            <w:vAlign w:val="bottom"/>
            <w:gridSpan w:val="2"/>
          </w:tcPr>
          <w:p>
            <w:pPr>
              <w:ind w:left="20"/>
              <w:spacing w:after="0"/>
              <w:rPr>
                <w:sz w:val="20"/>
                <w:szCs w:val="20"/>
                <w:color w:val="auto"/>
              </w:rPr>
            </w:pPr>
            <w:r>
              <w:rPr>
                <w:rFonts w:ascii="Arial" w:cs="Arial" w:eastAsia="Arial" w:hAnsi="Arial"/>
                <w:sz w:val="16"/>
                <w:szCs w:val="16"/>
                <w:b w:val="1"/>
                <w:bCs w:val="1"/>
                <w:color w:val="auto"/>
              </w:rPr>
              <w:t>Period</w:t>
            </w:r>
          </w:p>
        </w:tc>
        <w:tc>
          <w:tcPr>
            <w:tcW w:w="1460" w:type="dxa"/>
            <w:vAlign w:val="bottom"/>
          </w:tcPr>
          <w:p>
            <w:pPr>
              <w:jc w:val="right"/>
              <w:ind w:right="139"/>
              <w:spacing w:after="0"/>
              <w:rPr>
                <w:sz w:val="20"/>
                <w:szCs w:val="20"/>
                <w:color w:val="auto"/>
              </w:rPr>
            </w:pPr>
            <w:r>
              <w:rPr>
                <w:rFonts w:ascii="Arial" w:cs="Arial" w:eastAsia="Arial" w:hAnsi="Arial"/>
                <w:sz w:val="16"/>
                <w:szCs w:val="16"/>
                <w:b w:val="1"/>
                <w:bCs w:val="1"/>
                <w:color w:val="auto"/>
              </w:rPr>
              <w:t>Purchased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Paid per Share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July 1, 2019 through July 31, 2019</w:t>
            </w:r>
          </w:p>
        </w:tc>
        <w:tc>
          <w:tcPr>
            <w:tcW w:w="1460" w:type="dxa"/>
            <w:vAlign w:val="bottom"/>
          </w:tcPr>
          <w:p>
            <w:pPr>
              <w:jc w:val="right"/>
              <w:spacing w:after="0"/>
              <w:rPr>
                <w:sz w:val="20"/>
                <w:szCs w:val="20"/>
                <w:color w:val="auto"/>
              </w:rPr>
            </w:pPr>
            <w:r>
              <w:rPr>
                <w:rFonts w:ascii="Arial" w:cs="Arial" w:eastAsia="Arial" w:hAnsi="Arial"/>
                <w:sz w:val="16"/>
                <w:szCs w:val="16"/>
                <w:color w:val="auto"/>
              </w:rPr>
              <w:t>2,141,020</w:t>
            </w:r>
          </w:p>
        </w:tc>
        <w:tc>
          <w:tcPr>
            <w:tcW w:w="3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center"/>
              <w:ind w:left="139"/>
              <w:spacing w:after="0"/>
              <w:rPr>
                <w:sz w:val="20"/>
                <w:szCs w:val="20"/>
                <w:color w:val="auto"/>
              </w:rPr>
            </w:pPr>
            <w:r>
              <w:rPr>
                <w:rFonts w:ascii="Arial" w:cs="Arial" w:eastAsia="Arial" w:hAnsi="Arial"/>
                <w:sz w:val="16"/>
                <w:szCs w:val="16"/>
                <w:color w:val="auto"/>
                <w:w w:val="89"/>
              </w:rPr>
              <w:t>119.07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August 1, 2019 through August 31, 2019</w:t>
            </w:r>
          </w:p>
        </w:tc>
        <w:tc>
          <w:tcPr>
            <w:tcW w:w="1460" w:type="dxa"/>
            <w:vAlign w:val="bottom"/>
          </w:tcPr>
          <w:p>
            <w:pPr>
              <w:jc w:val="right"/>
              <w:spacing w:after="0"/>
              <w:rPr>
                <w:sz w:val="20"/>
                <w:szCs w:val="20"/>
                <w:color w:val="auto"/>
              </w:rPr>
            </w:pPr>
            <w:r>
              <w:rPr>
                <w:rFonts w:ascii="Arial" w:cs="Arial" w:eastAsia="Arial" w:hAnsi="Arial"/>
                <w:sz w:val="16"/>
                <w:szCs w:val="16"/>
                <w:color w:val="auto"/>
              </w:rPr>
              <w:t>1,572,557</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center"/>
              <w:ind w:left="119"/>
              <w:spacing w:after="0"/>
              <w:rPr>
                <w:sz w:val="20"/>
                <w:szCs w:val="20"/>
                <w:color w:val="auto"/>
              </w:rPr>
            </w:pPr>
            <w:r>
              <w:rPr>
                <w:rFonts w:ascii="Arial" w:cs="Arial" w:eastAsia="Arial" w:hAnsi="Arial"/>
                <w:sz w:val="16"/>
                <w:szCs w:val="16"/>
                <w:color w:val="auto"/>
                <w:w w:val="93"/>
              </w:rPr>
              <w:t>121.94</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September 1, 2019 through September 30, 2019</w:t>
            </w:r>
          </w:p>
        </w:tc>
        <w:tc>
          <w:tcPr>
            <w:tcW w:w="1460" w:type="dxa"/>
            <w:vAlign w:val="bottom"/>
          </w:tcPr>
          <w:p>
            <w:pPr>
              <w:jc w:val="right"/>
              <w:spacing w:after="0"/>
              <w:rPr>
                <w:sz w:val="20"/>
                <w:szCs w:val="20"/>
                <w:color w:val="auto"/>
              </w:rPr>
            </w:pPr>
            <w:r>
              <w:rPr>
                <w:rFonts w:ascii="Arial" w:cs="Arial" w:eastAsia="Arial" w:hAnsi="Arial"/>
                <w:sz w:val="16"/>
                <w:szCs w:val="16"/>
                <w:color w:val="auto"/>
              </w:rPr>
              <w:t>154,422</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center"/>
              <w:ind w:left="119"/>
              <w:spacing w:after="0"/>
              <w:rPr>
                <w:sz w:val="20"/>
                <w:szCs w:val="20"/>
                <w:color w:val="auto"/>
              </w:rPr>
            </w:pPr>
            <w:r>
              <w:rPr>
                <w:rFonts w:ascii="Arial" w:cs="Arial" w:eastAsia="Arial" w:hAnsi="Arial"/>
                <w:sz w:val="16"/>
                <w:szCs w:val="16"/>
                <w:color w:val="auto"/>
                <w:w w:val="93"/>
              </w:rPr>
              <w:t>123.21</w:t>
            </w: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auto"/>
              </w:rPr>
              <w:t>(b)</w:t>
            </w:r>
          </w:p>
        </w:tc>
        <w:tc>
          <w:tcPr>
            <w:tcW w:w="0" w:type="dxa"/>
            <w:vAlign w:val="bottom"/>
          </w:tcPr>
          <w:p>
            <w:pPr>
              <w:spacing w:after="0"/>
              <w:rPr>
                <w:sz w:val="1"/>
                <w:szCs w:val="1"/>
                <w:color w:val="auto"/>
              </w:rPr>
            </w:pPr>
          </w:p>
        </w:tc>
      </w:tr>
      <w:tr>
        <w:trPr>
          <w:trHeight w:val="247"/>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3,867,999</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(b)</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center"/>
              <w:ind w:left="119"/>
              <w:spacing w:after="0"/>
              <w:rPr>
                <w:sz w:val="20"/>
                <w:szCs w:val="20"/>
                <w:color w:val="auto"/>
              </w:rPr>
            </w:pPr>
            <w:r>
              <w:rPr>
                <w:rFonts w:ascii="Arial" w:cs="Arial" w:eastAsia="Arial" w:hAnsi="Arial"/>
                <w:sz w:val="16"/>
                <w:szCs w:val="16"/>
                <w:color w:val="auto"/>
                <w:w w:val="93"/>
              </w:rPr>
              <w:t>120.40</w:t>
            </w:r>
          </w:p>
        </w:tc>
        <w:tc>
          <w:tcPr>
            <w:tcW w:w="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23773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wp:posOffset>
            </wp:positionV>
            <wp:extent cx="723773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6"/>
                <w:szCs w:val="16"/>
                <w:color w:val="auto"/>
              </w:rPr>
            </w:pPr>
          </w:p>
        </w:tc>
        <w:tc>
          <w:tcPr>
            <w:tcW w:w="20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62"/>
        </w:trPr>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 as</w:t>
            </w:r>
          </w:p>
        </w:tc>
        <w:tc>
          <w:tcPr>
            <w:tcW w:w="100" w:type="dxa"/>
            <w:vAlign w:val="bottom"/>
          </w:tcPr>
          <w:p>
            <w:pPr>
              <w:spacing w:after="0"/>
              <w:rPr>
                <w:sz w:val="14"/>
                <w:szCs w:val="14"/>
                <w:color w:val="auto"/>
              </w:rPr>
            </w:pPr>
          </w:p>
        </w:tc>
        <w:tc>
          <w:tcPr>
            <w:tcW w:w="20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9"/>
              <w:spacing w:after="0" w:line="162" w:lineRule="exact"/>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162"/>
        </w:trPr>
        <w:tc>
          <w:tcPr>
            <w:tcW w:w="15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4"/>
                <w:szCs w:val="14"/>
                <w:color w:val="auto"/>
              </w:rPr>
            </w:pPr>
          </w:p>
        </w:tc>
        <w:tc>
          <w:tcPr>
            <w:tcW w:w="2000" w:type="dxa"/>
            <w:vAlign w:val="bottom"/>
            <w:gridSpan w:val="3"/>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20"/>
        </w:trPr>
        <w:tc>
          <w:tcPr>
            <w:tcW w:w="1520" w:type="dxa"/>
            <w:vAlign w:val="bottom"/>
          </w:tcPr>
          <w:p>
            <w:pPr>
              <w:jc w:val="right"/>
              <w:ind w:right="59"/>
              <w:spacing w:after="0"/>
              <w:rPr>
                <w:sz w:val="20"/>
                <w:szCs w:val="20"/>
                <w:color w:val="auto"/>
              </w:rPr>
            </w:pPr>
            <w:r>
              <w:rPr>
                <w:rFonts w:ascii="Arial" w:cs="Arial" w:eastAsia="Arial" w:hAnsi="Arial"/>
                <w:sz w:val="16"/>
                <w:szCs w:val="16"/>
                <w:color w:val="auto"/>
              </w:rPr>
              <w:t>2,063,872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13.88</w:t>
            </w:r>
          </w:p>
        </w:tc>
        <w:tc>
          <w:tcPr>
            <w:tcW w:w="106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57"/>
        </w:trPr>
        <w:tc>
          <w:tcPr>
            <w:tcW w:w="1520" w:type="dxa"/>
            <w:vAlign w:val="bottom"/>
          </w:tcPr>
          <w:p>
            <w:pPr>
              <w:jc w:val="right"/>
              <w:ind w:right="59"/>
              <w:spacing w:after="0"/>
              <w:rPr>
                <w:sz w:val="20"/>
                <w:szCs w:val="20"/>
                <w:color w:val="auto"/>
              </w:rPr>
            </w:pPr>
            <w:r>
              <w:rPr>
                <w:rFonts w:ascii="Arial" w:cs="Arial" w:eastAsia="Arial" w:hAnsi="Arial"/>
                <w:sz w:val="16"/>
                <w:szCs w:val="16"/>
                <w:color w:val="auto"/>
              </w:rPr>
              <w:t>1,572,557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13.69</w:t>
            </w:r>
          </w:p>
        </w:tc>
        <w:tc>
          <w:tcPr>
            <w:tcW w:w="106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57"/>
        </w:trPr>
        <w:tc>
          <w:tcPr>
            <w:tcW w:w="1520" w:type="dxa"/>
            <w:vAlign w:val="bottom"/>
          </w:tcPr>
          <w:p>
            <w:pPr>
              <w:jc w:val="right"/>
              <w:ind w:right="59"/>
              <w:spacing w:after="0"/>
              <w:rPr>
                <w:sz w:val="20"/>
                <w:szCs w:val="20"/>
                <w:color w:val="auto"/>
              </w:rPr>
            </w:pPr>
            <w:r>
              <w:rPr>
                <w:rFonts w:ascii="Arial" w:cs="Arial" w:eastAsia="Arial" w:hAnsi="Arial"/>
                <w:sz w:val="16"/>
                <w:szCs w:val="16"/>
                <w:color w:val="auto"/>
              </w:rPr>
              <w:t>154,422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13.67</w:t>
            </w:r>
          </w:p>
        </w:tc>
        <w:tc>
          <w:tcPr>
            <w:tcW w:w="1060" w:type="dxa"/>
            <w:vAlign w:val="bottom"/>
          </w:tcPr>
          <w:p>
            <w:pPr>
              <w:ind w:left="8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33"/>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15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3,790,851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13.67</w:t>
            </w:r>
          </w:p>
        </w:tc>
        <w:tc>
          <w:tcPr>
            <w:tcW w:w="1060" w:type="dxa"/>
            <w:vAlign w:val="bottom"/>
          </w:tcPr>
          <w:p>
            <w:pPr>
              <w:ind w:left="8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4"/>
        </w:trPr>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60" w:space="120"/>
            <w:col w:w="3620"/>
          </w:cols>
          <w:pgMar w:left="240" w:top="891" w:right="259" w:bottom="1440" w:gutter="0" w:footer="0" w:header="0"/>
          <w:type w:val="continuous"/>
        </w:sectPr>
      </w:pPr>
    </w:p>
    <w:p>
      <w:pPr>
        <w:spacing w:after="0" w:line="137" w:lineRule="exact"/>
        <w:rPr>
          <w:sz w:val="20"/>
          <w:szCs w:val="20"/>
          <w:color w:val="auto"/>
        </w:rPr>
      </w:pPr>
    </w:p>
    <w:p>
      <w:pPr>
        <w:ind w:left="340" w:right="140" w:hanging="332"/>
        <w:spacing w:after="0" w:line="264"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$6.0 billion of additional shares of TI common stock announced September 21, 2017. On September 20, 2018, our board of directors authorized the purchase of an additional $12.0 billion of our common stock.</w:t>
      </w:r>
    </w:p>
    <w:p>
      <w:pPr>
        <w:spacing w:after="0" w:line="208" w:lineRule="exact"/>
        <w:rPr>
          <w:rFonts w:ascii="Arial" w:cs="Arial" w:eastAsia="Arial" w:hAnsi="Arial"/>
          <w:sz w:val="18"/>
          <w:szCs w:val="18"/>
          <w:color w:val="auto"/>
        </w:rPr>
      </w:pPr>
    </w:p>
    <w:p>
      <w:pPr>
        <w:ind w:left="340" w:right="780" w:hanging="332"/>
        <w:spacing w:after="0" w:line="277"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addition to open-market purchases, 77,148 shares of common stock were surrendered by employees to satisfy tax withholding obligations in connection with the vesting of restricted stock units.</w:t>
      </w:r>
    </w:p>
    <w:p>
      <w:pPr>
        <w:spacing w:after="0" w:line="197" w:lineRule="exact"/>
        <w:rPr>
          <w:rFonts w:ascii="Arial" w:cs="Arial" w:eastAsia="Arial" w:hAnsi="Arial"/>
          <w:sz w:val="18"/>
          <w:szCs w:val="18"/>
          <w:color w:val="auto"/>
        </w:rPr>
      </w:pPr>
    </w:p>
    <w:p>
      <w:pPr>
        <w:ind w:left="340" w:right="660" w:hanging="332"/>
        <w:spacing w:after="0" w:line="277"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of September 30, 2019, this amount consisted of the remaining portion of the $6.0 billion authorized in September 2017 and the $12.0 billion authorized in September 2018. No expiration date has been specified for these authorizations.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Designation of Exhibits in</w:t>
      </w:r>
    </w:p>
    <w:p>
      <w:pPr>
        <w:spacing w:after="0" w:line="26" w:lineRule="exact"/>
        <w:rPr>
          <w:sz w:val="20"/>
          <w:szCs w:val="20"/>
          <w:color w:val="auto"/>
        </w:rPr>
      </w:pPr>
    </w:p>
    <w:p>
      <w:pPr>
        <w:jc w:val="right"/>
        <w:ind w:right="7820"/>
        <w:spacing w:after="0"/>
        <w:tabs>
          <w:tab w:leader="none" w:pos="1500" w:val="left"/>
        </w:tabs>
        <w:rPr>
          <w:sz w:val="20"/>
          <w:szCs w:val="20"/>
          <w:color w:val="auto"/>
        </w:rPr>
      </w:pPr>
      <w:r>
        <w:rPr>
          <w:rFonts w:ascii="Arial" w:cs="Arial" w:eastAsia="Arial" w:hAnsi="Arial"/>
          <w:sz w:val="16"/>
          <w:szCs w:val="16"/>
          <w:b w:val="1"/>
          <w:bCs w:val="1"/>
          <w:color w:val="auto"/>
        </w:rPr>
        <w:t>This Report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3773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7730" cy="240030"/>
                    </a:xfrm>
                    <a:prstGeom prst="rect">
                      <a:avLst/>
                    </a:prstGeom>
                    <a:noFill/>
                  </pic:spPr>
                </pic:pic>
              </a:graphicData>
            </a:graphic>
          </wp:anchor>
        </w:drawing>
      </w:r>
    </w:p>
    <w:p>
      <w:pPr>
        <w:sectPr>
          <w:pgSz w:w="11900" w:h="16838" w:orient="portrait"/>
          <w:cols w:equalWidth="0" w:num="1">
            <w:col w:w="11300"/>
          </w:cols>
          <w:pgMar w:left="240" w:top="891" w:right="359" w:bottom="1440" w:gutter="0" w:footer="0" w:header="0"/>
        </w:sectPr>
      </w:pPr>
    </w:p>
    <w:p>
      <w:pPr>
        <w:spacing w:after="0" w:line="12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3(a)</w:t>
      </w:r>
    </w:p>
    <w:p>
      <w:pPr>
        <w:spacing w:after="0" w:line="140" w:lineRule="exact"/>
        <w:rPr>
          <w:sz w:val="20"/>
          <w:szCs w:val="20"/>
          <w:color w:val="auto"/>
        </w:rPr>
      </w:pPr>
    </w:p>
    <w:p>
      <w:pPr>
        <w:ind w:left="800"/>
        <w:spacing w:after="0"/>
        <w:rPr>
          <w:sz w:val="20"/>
          <w:szCs w:val="20"/>
          <w:color w:val="auto"/>
        </w:rPr>
      </w:pPr>
      <w:r>
        <w:rPr>
          <w:rFonts w:ascii="Arial" w:cs="Arial" w:eastAsia="Arial" w:hAnsi="Arial"/>
          <w:sz w:val="16"/>
          <w:szCs w:val="16"/>
          <w:color w:val="auto"/>
        </w:rPr>
        <w:t>3(b)</w:t>
      </w:r>
    </w:p>
    <w:p>
      <w:pPr>
        <w:spacing w:after="0" w:line="12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4(a)</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31(a)</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31(b)</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32(a)</w:t>
      </w:r>
    </w:p>
    <w:p>
      <w:pPr>
        <w:spacing w:after="0" w:line="7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32(b)</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101.ins</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101.def</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101.sch</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101.cal</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101.lab</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101.pre</w:t>
      </w:r>
    </w:p>
    <w:p>
      <w:pPr>
        <w:spacing w:after="0" w:line="73"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104</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 Filed or furnished herewith.</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ind w:right="420"/>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Restated Certificate of Incorporation of the Registrant, dated April 18, 1985, as amended (incorporated by reference to Exhibit 3(a) of the</w:t>
        </w:r>
      </w:hyperlink>
      <w:r>
        <w:rPr>
          <w:rFonts w:ascii="Arial" w:cs="Arial" w:eastAsia="Arial" w:hAnsi="Arial"/>
          <w:sz w:val="16"/>
          <w:szCs w:val="16"/>
          <w:u w:val="single" w:color="auto"/>
          <w:color w:val="0000FF"/>
        </w:rPr>
        <w:t xml:space="preserve"> </w:t>
      </w:r>
      <w:hyperlink r:id="rId44">
        <w:r>
          <w:rPr>
            <w:rFonts w:ascii="Arial" w:cs="Arial" w:eastAsia="Arial" w:hAnsi="Arial"/>
            <w:sz w:val="16"/>
            <w:szCs w:val="16"/>
            <w:u w:val="single" w:color="auto"/>
            <w:color w:val="0000FF"/>
          </w:rPr>
          <w:t>Registrant's Annual Report on Form 10-K for the year ended December 31, 2014).</w:t>
        </w:r>
      </w:hyperlink>
    </w:p>
    <w:p>
      <w:pPr>
        <w:spacing w:after="0" w:line="24" w:lineRule="exact"/>
        <w:rPr>
          <w:sz w:val="20"/>
          <w:szCs w:val="20"/>
          <w:color w:val="auto"/>
        </w:rPr>
      </w:pPr>
    </w:p>
    <w:p>
      <w:pPr>
        <w:spacing w:after="0"/>
        <w:rPr>
          <w:rFonts w:ascii="Arial" w:cs="Arial" w:eastAsia="Arial" w:hAnsi="Arial"/>
          <w:sz w:val="15"/>
          <w:szCs w:val="15"/>
          <w:u w:val="single" w:color="auto"/>
          <w:color w:val="0000FF"/>
        </w:rPr>
      </w:pPr>
      <w:hyperlink r:id="rId45">
        <w:r>
          <w:rPr>
            <w:rFonts w:ascii="Arial" w:cs="Arial" w:eastAsia="Arial" w:hAnsi="Arial"/>
            <w:sz w:val="15"/>
            <w:szCs w:val="15"/>
            <w:u w:val="single" w:color="auto"/>
            <w:color w:val="0000FF"/>
          </w:rPr>
          <w:t>By-Laws of the Registrant (incorporated by reference to Exhibit 3 of the Registrant's Current Report on Form 8-K filed December 12,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42545</wp:posOffset>
            </wp:positionV>
            <wp:extent cx="723773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37730" cy="240030"/>
                    </a:xfrm>
                    <a:prstGeom prst="rect">
                      <a:avLst/>
                    </a:prstGeom>
                    <a:noFill/>
                  </pic:spPr>
                </pic:pic>
              </a:graphicData>
            </a:graphic>
          </wp:anchor>
        </w:drawing>
      </w:r>
    </w:p>
    <w:p>
      <w:pPr>
        <w:spacing w:after="0" w:line="51" w:lineRule="exact"/>
        <w:rPr>
          <w:sz w:val="20"/>
          <w:szCs w:val="20"/>
          <w:color w:val="auto"/>
        </w:rPr>
      </w:pPr>
    </w:p>
    <w:p>
      <w:pPr>
        <w:ind w:right="220"/>
        <w:spacing w:after="0"/>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Officer's Certificate, dated September 4, 2019 (incorporated by reference to Exhibit 4.1 of the Registrant's Current Report on Form 8-K filed</w:t>
        </w:r>
      </w:hyperlink>
      <w:r>
        <w:rPr>
          <w:rFonts w:ascii="Arial" w:cs="Arial" w:eastAsia="Arial" w:hAnsi="Arial"/>
          <w:sz w:val="16"/>
          <w:szCs w:val="16"/>
          <w:u w:val="single" w:color="auto"/>
          <w:color w:val="0000FF"/>
        </w:rPr>
        <w:t xml:space="preserve"> </w:t>
      </w:r>
      <w:hyperlink r:id="rId47">
        <w:r>
          <w:rPr>
            <w:rFonts w:ascii="Arial" w:cs="Arial" w:eastAsia="Arial" w:hAnsi="Arial"/>
            <w:sz w:val="16"/>
            <w:szCs w:val="16"/>
            <w:u w:val="single" w:color="auto"/>
            <w:color w:val="0000FF"/>
          </w:rPr>
          <w:t>September 4, 2019).</w:t>
        </w:r>
      </w:hyperlink>
    </w:p>
    <w:p>
      <w:pPr>
        <w:spacing w:after="0" w:line="24" w:lineRule="exact"/>
        <w:rPr>
          <w:sz w:val="20"/>
          <w:szCs w:val="20"/>
          <w:color w:val="auto"/>
        </w:rPr>
      </w:pPr>
    </w:p>
    <w:p>
      <w:pPr>
        <w:spacing w:after="0"/>
        <w:rPr>
          <w:rFonts w:ascii="Arial" w:cs="Arial" w:eastAsia="Arial" w:hAnsi="Arial"/>
          <w:sz w:val="16"/>
          <w:szCs w:val="16"/>
          <w:u w:val="single" w:color="auto"/>
          <w:color w:val="0000FF"/>
        </w:rPr>
      </w:pPr>
      <w:hyperlink w:anchor="page30">
        <w:r>
          <w:rPr>
            <w:rFonts w:ascii="Arial" w:cs="Arial" w:eastAsia="Arial" w:hAnsi="Arial"/>
            <w:sz w:val="16"/>
            <w:szCs w:val="16"/>
            <w:u w:val="single" w:color="auto"/>
            <w:color w:val="0000FF"/>
          </w:rPr>
          <w:t>Certification of Chief Executive Officer of Periodic Report Pursuant to Rule 13a-14(a) or Rule 15d-14(a).†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34925</wp:posOffset>
            </wp:positionV>
            <wp:extent cx="723773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3" w:lineRule="exact"/>
        <w:rPr>
          <w:sz w:val="20"/>
          <w:szCs w:val="20"/>
          <w:color w:val="auto"/>
        </w:rPr>
      </w:pPr>
    </w:p>
    <w:p>
      <w:pPr>
        <w:spacing w:after="0"/>
        <w:rPr>
          <w:rFonts w:ascii="Arial" w:cs="Arial" w:eastAsia="Arial" w:hAnsi="Arial"/>
          <w:sz w:val="16"/>
          <w:szCs w:val="16"/>
          <w:u w:val="single" w:color="auto"/>
          <w:color w:val="0000FF"/>
        </w:rPr>
      </w:pPr>
      <w:hyperlink w:anchor="page31">
        <w:r>
          <w:rPr>
            <w:rFonts w:ascii="Arial" w:cs="Arial" w:eastAsia="Arial" w:hAnsi="Arial"/>
            <w:sz w:val="16"/>
            <w:szCs w:val="16"/>
            <w:u w:val="single" w:color="auto"/>
            <w:color w:val="0000FF"/>
          </w:rPr>
          <w:t>Certification of Chief Financial Officer of Periodic Report Pursuant to Rule 13a-14(a) or Rule 15d-14(a).†</w:t>
        </w:r>
      </w:hyperlink>
    </w:p>
    <w:p>
      <w:pPr>
        <w:spacing w:after="0" w:line="73" w:lineRule="exact"/>
        <w:rPr>
          <w:sz w:val="20"/>
          <w:szCs w:val="20"/>
          <w:color w:val="auto"/>
        </w:rPr>
      </w:pPr>
    </w:p>
    <w:p>
      <w:pPr>
        <w:spacing w:after="0"/>
        <w:rPr>
          <w:rFonts w:ascii="Arial" w:cs="Arial" w:eastAsia="Arial" w:hAnsi="Arial"/>
          <w:sz w:val="16"/>
          <w:szCs w:val="16"/>
          <w:u w:val="single" w:color="auto"/>
          <w:color w:val="0000FF"/>
        </w:rPr>
      </w:pPr>
      <w:hyperlink w:anchor="page32">
        <w:r>
          <w:rPr>
            <w:rFonts w:ascii="Arial" w:cs="Arial" w:eastAsia="Arial" w:hAnsi="Arial"/>
            <w:sz w:val="16"/>
            <w:szCs w:val="16"/>
            <w:u w:val="single" w:color="auto"/>
            <w:color w:val="0000FF"/>
          </w:rPr>
          <w:t>Certification by Chief Executive Officer of Periodic Report Pursuant to 18 U.S.C. 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34925</wp:posOffset>
            </wp:positionV>
            <wp:extent cx="723773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3" w:lineRule="exact"/>
        <w:rPr>
          <w:sz w:val="20"/>
          <w:szCs w:val="20"/>
          <w:color w:val="auto"/>
        </w:rPr>
      </w:pPr>
    </w:p>
    <w:p>
      <w:pPr>
        <w:spacing w:after="0"/>
        <w:rPr>
          <w:rFonts w:ascii="Arial" w:cs="Arial" w:eastAsia="Arial" w:hAnsi="Arial"/>
          <w:sz w:val="16"/>
          <w:szCs w:val="16"/>
          <w:u w:val="single" w:color="auto"/>
          <w:color w:val="0000FF"/>
        </w:rPr>
      </w:pPr>
      <w:hyperlink w:anchor="page33">
        <w:r>
          <w:rPr>
            <w:rFonts w:ascii="Arial" w:cs="Arial" w:eastAsia="Arial" w:hAnsi="Arial"/>
            <w:sz w:val="16"/>
            <w:szCs w:val="16"/>
            <w:u w:val="single" w:color="auto"/>
            <w:color w:val="0000FF"/>
          </w:rPr>
          <w:t>Certification by Chief Financial Officer of Periodic Report Pursuant to 18 U.S.C. Section 1350.†</w:t>
        </w:r>
      </w:hyperlink>
    </w:p>
    <w:p>
      <w:pPr>
        <w:spacing w:after="0" w:line="73" w:lineRule="exact"/>
        <w:rPr>
          <w:sz w:val="20"/>
          <w:szCs w:val="20"/>
          <w:color w:val="auto"/>
        </w:rPr>
      </w:pPr>
    </w:p>
    <w:p>
      <w:pPr>
        <w:spacing w:after="0" w:line="293" w:lineRule="auto"/>
        <w:rPr>
          <w:sz w:val="20"/>
          <w:szCs w:val="20"/>
          <w:color w:val="auto"/>
        </w:rPr>
      </w:pPr>
      <w:r>
        <w:rPr>
          <w:rFonts w:ascii="Arial" w:cs="Arial" w:eastAsia="Arial" w:hAnsi="Arial"/>
          <w:sz w:val="16"/>
          <w:szCs w:val="16"/>
          <w:u w:val="single" w:color="auto"/>
          <w:color w:val="auto"/>
        </w:rPr>
        <w:t>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-3810</wp:posOffset>
            </wp:positionV>
            <wp:extent cx="723773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u w:val="single" w:color="auto"/>
          <w:color w:val="auto"/>
        </w:rPr>
        <w:t>XBRL Taxonomy Extension Definition Linkbase Document.†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34925</wp:posOffset>
            </wp:positionV>
            <wp:extent cx="723773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XBRL Taxonomy Extension Calculation Linkbase Document.†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34925</wp:posOffset>
            </wp:positionV>
            <wp:extent cx="723773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37730" cy="16319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XBRL Taxonomy Extension Presentation Linkbase Document.†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Cover Page Interactive Data File (embedded within the Inline XBRL document).†</w:t>
      </w:r>
    </w:p>
    <w:p>
      <w:pPr>
        <w:spacing w:after="0" w:line="445" w:lineRule="exact"/>
        <w:rPr>
          <w:sz w:val="20"/>
          <w:szCs w:val="20"/>
          <w:color w:val="auto"/>
        </w:rPr>
      </w:pPr>
    </w:p>
    <w:p>
      <w:pPr>
        <w:sectPr>
          <w:pgSz w:w="11900" w:h="16838" w:orient="portrait"/>
          <w:cols w:equalWidth="0" w:num="2">
            <w:col w:w="1960" w:space="0"/>
            <w:col w:w="9340"/>
          </w:cols>
          <w:pgMar w:left="240" w:top="89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891" w:right="3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70" w:lineRule="exact"/>
        <w:rPr>
          <w:sz w:val="20"/>
          <w:szCs w:val="20"/>
          <w:color w:val="auto"/>
        </w:rPr>
      </w:pPr>
    </w:p>
    <w:p>
      <w:pPr>
        <w:ind w:left="620" w:hanging="32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20" w:right="42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62" w:lineRule="exact"/>
        <w:rPr>
          <w:rFonts w:ascii="Arial" w:cs="Arial" w:eastAsia="Arial" w:hAnsi="Arial"/>
          <w:sz w:val="18"/>
          <w:szCs w:val="18"/>
          <w:color w:val="auto"/>
        </w:rPr>
      </w:pPr>
    </w:p>
    <w:p>
      <w:pPr>
        <w:ind w:left="620" w:right="120" w:hanging="328"/>
        <w:spacing w:after="0" w:line="264"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620" w:hanging="32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40" w:lineRule="exact"/>
        <w:rPr>
          <w:rFonts w:ascii="Arial" w:cs="Arial" w:eastAsia="Arial" w:hAnsi="Arial"/>
          <w:sz w:val="16"/>
          <w:szCs w:val="16"/>
          <w:color w:val="auto"/>
        </w:rPr>
      </w:pPr>
    </w:p>
    <w:p>
      <w:pPr>
        <w:ind w:left="620" w:hanging="32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620" w:right="6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20" w:right="14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20" w:hanging="328"/>
        <w:spacing w:after="0" w:line="342" w:lineRule="auto"/>
        <w:tabs>
          <w:tab w:leader="none" w:pos="6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15" w:lineRule="exact"/>
        <w:rPr>
          <w:rFonts w:ascii="Arial" w:cs="Arial" w:eastAsia="Arial" w:hAnsi="Arial"/>
          <w:sz w:val="16"/>
          <w:szCs w:val="16"/>
          <w:color w:val="auto"/>
        </w:rPr>
      </w:pPr>
    </w:p>
    <w:p>
      <w:pPr>
        <w:ind w:left="620" w:right="400" w:hanging="328"/>
        <w:spacing w:after="0" w:line="308" w:lineRule="auto"/>
        <w:tabs>
          <w:tab w:leader="none" w:pos="6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20" w:hanging="32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20" w:right="66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unexpected loss of significant distributors;</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20" w:right="22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62" w:lineRule="exact"/>
        <w:rPr>
          <w:rFonts w:ascii="Arial" w:cs="Arial" w:eastAsia="Arial" w:hAnsi="Arial"/>
          <w:sz w:val="18"/>
          <w:szCs w:val="18"/>
          <w:color w:val="auto"/>
        </w:rPr>
      </w:pPr>
    </w:p>
    <w:p>
      <w:pPr>
        <w:ind w:left="620" w:right="18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20" w:right="600" w:hanging="328"/>
        <w:spacing w:after="0" w:line="277" w:lineRule="auto"/>
        <w:tabs>
          <w:tab w:leader="none" w:pos="6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27" w:name="page28"/>
    <w:bookmarkEnd w:id="27"/>
    <w:p>
      <w:pPr>
        <w:ind w:left="620" w:hanging="328"/>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recruit and retain skilled engineering, management and technical personnel, and effectively manage key employee succession;</w:t>
      </w:r>
    </w:p>
    <w:p>
      <w:pPr>
        <w:spacing w:after="0" w:line="128" w:lineRule="exact"/>
        <w:rPr>
          <w:rFonts w:ascii="Arial" w:cs="Arial" w:eastAsia="Arial" w:hAnsi="Arial"/>
          <w:sz w:val="17"/>
          <w:szCs w:val="17"/>
          <w:color w:val="auto"/>
        </w:rPr>
      </w:pPr>
    </w:p>
    <w:p>
      <w:pPr>
        <w:ind w:left="620" w:right="320" w:hanging="328"/>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our most recent Form 10-K.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28" w:name="page29"/>
    <w:bookmarkEnd w:id="28"/>
    <w:p>
      <w:pPr>
        <w:jc w:val="center"/>
        <w:ind w:right="-1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TEXAS INSTRUMENTS INCORPORATED</w:t>
      </w:r>
    </w:p>
    <w:p>
      <w:pPr>
        <w:spacing w:after="0" w:line="320" w:lineRule="exact"/>
        <w:rPr>
          <w:sz w:val="20"/>
          <w:szCs w:val="20"/>
          <w:color w:val="auto"/>
        </w:rPr>
      </w:pPr>
    </w:p>
    <w:p>
      <w:pPr>
        <w:ind w:left="688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31750</wp:posOffset>
            </wp:positionV>
            <wp:extent cx="24269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57"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Rafael R. Lizardi</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ectPr>
          <w:pgSz w:w="11900" w:h="16838" w:orient="portrait"/>
          <w:cols w:equalWidth="0" w:num="1">
            <w:col w:w="11320"/>
          </w:cols>
          <w:pgMar w:left="240" w:top="89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u w:val="single" w:color="auto"/>
          <w:color w:val="auto"/>
        </w:rPr>
        <w:t>Exhibit 31(a)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12"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460" w:hanging="492"/>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00" w:right="420" w:hanging="492"/>
        <w:spacing w:after="0" w:line="25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24"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240" w:hanging="486"/>
        <w:spacing w:after="0" w:line="264" w:lineRule="auto"/>
        <w:tabs>
          <w:tab w:leader="none" w:pos="9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486"/>
        <w:spacing w:after="0" w:line="264"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486"/>
        <w:spacing w:after="0" w:line="342" w:lineRule="auto"/>
        <w:tabs>
          <w:tab w:leader="none" w:pos="97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20" w:hanging="486"/>
        <w:spacing w:after="0" w:line="264"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8"/>
          <w:szCs w:val="18"/>
          <w:color w:val="auto"/>
        </w:rPr>
      </w:pPr>
    </w:p>
    <w:p>
      <w:pPr>
        <w:ind w:left="500" w:right="180" w:hanging="492"/>
        <w:spacing w:after="0" w:line="25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980" w:right="140" w:hanging="486"/>
        <w:spacing w:after="0" w:line="277" w:lineRule="auto"/>
        <w:tabs>
          <w:tab w:leader="none" w:pos="9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486"/>
        <w:spacing w:after="0" w:line="277"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79"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31750</wp:posOffset>
            </wp:positionV>
            <wp:extent cx="19812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9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31(b)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1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Texas Instruments Incorporated;</w:t>
      </w:r>
    </w:p>
    <w:p>
      <w:pPr>
        <w:spacing w:after="0" w:line="184" w:lineRule="exact"/>
        <w:rPr>
          <w:rFonts w:ascii="Arial" w:cs="Arial" w:eastAsia="Arial" w:hAnsi="Arial"/>
          <w:sz w:val="18"/>
          <w:szCs w:val="18"/>
          <w:color w:val="auto"/>
        </w:rPr>
      </w:pPr>
    </w:p>
    <w:p>
      <w:pPr>
        <w:jc w:val="both"/>
        <w:ind w:left="500" w:right="460" w:hanging="492"/>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500" w:right="420" w:hanging="492"/>
        <w:spacing w:after="0" w:line="25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0" w:hanging="492"/>
        <w:spacing w:after="0" w:line="22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ind w:left="980" w:right="240" w:hanging="486"/>
        <w:spacing w:after="0" w:line="264" w:lineRule="auto"/>
        <w:tabs>
          <w:tab w:leader="none" w:pos="977"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40" w:hanging="486"/>
        <w:spacing w:after="0" w:line="264"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20" w:hanging="486"/>
        <w:spacing w:after="0" w:line="342" w:lineRule="auto"/>
        <w:tabs>
          <w:tab w:leader="none" w:pos="977"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40" w:hanging="486"/>
        <w:spacing w:after="0" w:line="264"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8"/>
          <w:szCs w:val="18"/>
          <w:color w:val="auto"/>
        </w:rPr>
      </w:pPr>
    </w:p>
    <w:p>
      <w:pPr>
        <w:ind w:left="500" w:right="160" w:hanging="492"/>
        <w:spacing w:after="0" w:line="258" w:lineRule="auto"/>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0" w:lineRule="exact"/>
        <w:rPr>
          <w:rFonts w:ascii="Arial" w:cs="Arial" w:eastAsia="Arial" w:hAnsi="Arial"/>
          <w:sz w:val="17"/>
          <w:szCs w:val="17"/>
          <w:color w:val="auto"/>
        </w:rPr>
      </w:pPr>
    </w:p>
    <w:p>
      <w:pPr>
        <w:ind w:left="980" w:right="140" w:hanging="486"/>
        <w:spacing w:after="0" w:line="277" w:lineRule="auto"/>
        <w:tabs>
          <w:tab w:leader="none" w:pos="977"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120" w:hanging="486"/>
        <w:spacing w:after="0" w:line="277" w:lineRule="auto"/>
        <w:tabs>
          <w:tab w:leader="none" w:pos="9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2019</w:t>
      </w:r>
    </w:p>
    <w:p>
      <w:pPr>
        <w:spacing w:after="0" w:line="279"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31750</wp:posOffset>
            </wp:positionV>
            <wp:extent cx="19812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89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32(a)</w:t>
      </w:r>
    </w:p>
    <w:p>
      <w:pPr>
        <w:spacing w:after="0" w:line="22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Certification of Periodic Report</w:t>
      </w:r>
    </w:p>
    <w:p>
      <w:pPr>
        <w:spacing w:after="0" w:line="5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Pursuant to 18 U.S.C. Section 1350</w:t>
      </w:r>
    </w:p>
    <w:p>
      <w:pPr>
        <w:spacing w:after="0" w:line="33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34" w:lineRule="exact"/>
        <w:rPr>
          <w:sz w:val="20"/>
          <w:szCs w:val="20"/>
          <w:color w:val="auto"/>
        </w:rPr>
      </w:pPr>
    </w:p>
    <w:p>
      <w:pPr>
        <w:ind w:right="320" w:firstLine="494"/>
        <w:spacing w:after="0" w:line="342" w:lineRule="auto"/>
        <w:tabs>
          <w:tab w:leader="none" w:pos="7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2019,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28" w:lineRule="auto"/>
        <w:tabs>
          <w:tab w:leader="none" w:pos="75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October 31, 2019</w:t>
      </w:r>
    </w:p>
    <w:p>
      <w:pPr>
        <w:spacing w:after="0" w:line="48"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31750</wp:posOffset>
            </wp:positionV>
            <wp:extent cx="19812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Chairman, President</w:t>
      </w:r>
    </w:p>
    <w:p>
      <w:pPr>
        <w:spacing w:after="0" w:line="9"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20"/>
          </w:cols>
          <w:pgMar w:left="240" w:top="89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32(b)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319"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24" w:lineRule="exact"/>
        <w:rPr>
          <w:sz w:val="20"/>
          <w:szCs w:val="20"/>
          <w:color w:val="auto"/>
        </w:rPr>
      </w:pPr>
    </w:p>
    <w:p>
      <w:pPr>
        <w:ind w:right="320" w:firstLine="494"/>
        <w:spacing w:after="0" w:line="342" w:lineRule="auto"/>
        <w:tabs>
          <w:tab w:leader="none" w:pos="70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2019,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280" w:firstLine="494"/>
        <w:spacing w:after="0" w:line="528" w:lineRule="auto"/>
        <w:tabs>
          <w:tab w:leader="none" w:pos="7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October 31, 2019</w:t>
      </w:r>
    </w:p>
    <w:p>
      <w:pPr>
        <w:spacing w:after="0" w:line="48" w:lineRule="exact"/>
        <w:rPr>
          <w:sz w:val="20"/>
          <w:szCs w:val="20"/>
          <w:color w:val="auto"/>
        </w:rPr>
      </w:pPr>
    </w:p>
    <w:p>
      <w:pPr>
        <w:ind w:left="912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5262245</wp:posOffset>
            </wp:positionH>
            <wp:positionV relativeFrom="paragraph">
              <wp:posOffset>31750</wp:posOffset>
            </wp:positionV>
            <wp:extent cx="19812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57"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Rafael R. Lizardi</w:t>
      </w:r>
    </w:p>
    <w:p>
      <w:pPr>
        <w:spacing w:after="0" w:line="23"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jc w:val="center"/>
        <w:ind w:left="8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decimal"/>
      <w:start w:val="2"/>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6"/>
    </w:lvl>
  </w:abstractNum>
  <w:abstractNum w:abstractNumId="10">
    <w:nsid w:val="25E45D32"/>
    <w:multiLevelType w:val="hybridMultilevel"/>
    <w:lvl w:ilvl="0">
      <w:lvlJc w:val="left"/>
      <w:lvlText w:val="%1."/>
      <w:numFmt w:val="decimal"/>
      <w:start w:val="7"/>
    </w:lvl>
  </w:abstractNum>
  <w:abstractNum w:abstractNumId="11">
    <w:nsid w:val="519B500D"/>
    <w:multiLevelType w:val="hybridMultilevel"/>
    <w:lvl w:ilvl="0">
      <w:lvlJc w:val="left"/>
      <w:lvlText w:val="%1."/>
      <w:numFmt w:val="decimal"/>
      <w:start w:val="9"/>
    </w:lvl>
  </w:abstractNum>
  <w:abstractNum w:abstractNumId="12">
    <w:nsid w:val="431BD7B7"/>
    <w:multiLevelType w:val="hybridMultilevel"/>
    <w:lvl w:ilvl="0">
      <w:lvlJc w:val="left"/>
      <w:lvlText w:val="%1."/>
      <w:numFmt w:val="decimal"/>
      <w:start w:val="1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lvl w:ilvl="1">
      <w:lvlJc w:val="left"/>
      <w:lvlText w:val="◦"/>
      <w:numFmt w:val="bullet"/>
      <w:start w:val="1"/>
    </w:lvl>
  </w:abstractNum>
  <w:abstractNum w:abstractNumId="15">
    <w:nsid w:val="257130A3"/>
    <w:multiLevelType w:val="hybridMultilevel"/>
    <w:lvl w:ilvl="0">
      <w:lvlJc w:val="left"/>
      <w:lvlText w:val="•"/>
      <w:numFmt w:val="bullet"/>
      <w:start w:val="1"/>
    </w:lvl>
    <w:lvl w:ilvl="1">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44" Type="http://schemas.openxmlformats.org/officeDocument/2006/relationships/hyperlink" Target="http://www.sec.gov/Archives/edgar/data/97476/000009747615000003/txn-12312014xexhibit3a.htm" TargetMode="External"/><Relationship Id="rId45" Type="http://schemas.openxmlformats.org/officeDocument/2006/relationships/hyperlink" Target="http://www.sec.gov/Archives/edgar/data/97476/000156459016030135/txn-ex3_6.htm" TargetMode="External"/><Relationship Id="rId47" Type="http://schemas.openxmlformats.org/officeDocument/2006/relationships/hyperlink" Target="http://www.sec.gov/Archives/edgar/data/97476/000119312519237540/d783480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2019-12-28T04:00:37Z</dcterms:created>
  <dcterms:modified xsi:type="dcterms:W3CDTF">2019-12-28T04:00:37Z</dcterms:modified>
</cp:coreProperties>
</file>