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24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Registrant’s news release dated April 18, 2011, regarding its first-quarter 2011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760" w:right="239" w:bottom="0" w:gutter="0" w:footer="0" w:header="0"/>
        </w:sectPr>
      </w:pPr>
    </w:p>
    <w:p>
      <w:pPr>
        <w:spacing w:after="0" w:line="22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11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58489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480" w:space="720"/>
            <w:col w:w="9220"/>
          </w:cols>
          <w:pgMar w:left="240" w:top="760" w:right="239" w:bottom="0" w:gutter="0" w:footer="0" w:header="0"/>
          <w:type w:val="continuous"/>
        </w:sectPr>
      </w:pPr>
    </w:p>
    <w:p>
      <w:pPr>
        <w:spacing w:after="0" w:line="38" w:lineRule="exact"/>
        <w:rPr>
          <w:sz w:val="20"/>
          <w:szCs w:val="20"/>
          <w:color w:val="auto"/>
        </w:rPr>
      </w:pPr>
    </w:p>
    <w:p>
      <w:pPr>
        <w:ind w:left="2200" w:hanging="1249"/>
        <w:spacing w:after="0"/>
        <w:tabs>
          <w:tab w:leader="none" w:pos="2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Dated April 18, 2011 (furnished pursuant to Item 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TI specifically notes that circumstances arising out of the recent earthquakes and tsunami in Japan, including disruptions and increased costs of TI’s production, disruptions in our supply chain (including utilities) and reduced or delayed demand from customers, could cause actual results to differ from the expectations of TI or its management.</w:t>
      </w:r>
    </w:p>
    <w:p>
      <w:pPr>
        <w:spacing w:after="0" w:line="20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April 18,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60" w:right="239" w:bottom="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1Q11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DALLAS (April 18, 2011) – Texas Instruments Incorporated (TI) (NYSE: TXN) today announced first-quarter revenue of $3.39 billion, net income of $666 million and earnings per share of 55 cents.</w:t>
      </w:r>
    </w:p>
    <w:p>
      <w:pPr>
        <w:spacing w:after="0" w:line="19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“2011 started strong, with customer demand in January and February tracking our expectations for a first quarter of above-seasonal growth,” said Rich Templeton, TI chairman, president and chief executive officer. “But the Japan earthquake that’s taken such a heartbreaking human toll in the country also disrupted local demand starting in mid-March and impaired operations at two of our factories there. This impact and substantially weaker demand for Wireless baseband chips resulted in revenue that was below the middle of our expected range. The lower revenue combined with expenses resulting from the earthquake affected earnings per share. New orders, however, were strong through the quarter, indicative of the underlying strength in our markets.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“Recovery of our operations in Japan is progressing well. One of our factories will soon be resuming full production, and the other has restarted initial processing of wafers and is on schedule for full loadings in mid-July. Nonetheless, many of our Japanese customers remain in the early stages of reopening their own factories, and we and our customers face potential supply chain disruptions. We expect growth in the second quarter, though it will be pressured by the situation in Japan. Provided consumer and enterprise demand remain strong, we expect a good second half of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1Q11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vs.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vs.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1Q11</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1Q10</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1Q10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4Q10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4Q10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3,392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3,205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3,525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666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1,230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TI’s operating profit was negatively impacted by about $30 million for costs resulting from the earthquake. These costs were recorded in the company’s Other segment. TI’s earnings per share were negatively impacted by about 2 cents by these costs.</w:t>
      </w:r>
    </w:p>
    <w:p>
      <w:pPr>
        <w:spacing w:after="0" w:line="19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Operating profit declined from a year ago due to higher operating expenses. Compared with the prior quarter, operating profit was lower primarily due to a $144 million gain on the sale of a product line in the prior quarter and lower gross profit, which resulted from lower revenue.</w:t>
      </w:r>
    </w:p>
    <w:p>
      <w:pPr>
        <w:spacing w:after="0" w:line="1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in the prior quarter also included a $78 million tax benefit, which was primarily associated with the reinstatement of the federal R&amp;D tax credit that was retroactive to the beginning of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1Q11 segment results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vs.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vs.</w:t>
            </w:r>
          </w:p>
        </w:tc>
      </w:tr>
      <w:tr>
        <w:trPr>
          <w:trHeight w:val="237"/>
        </w:trPr>
        <w:tc>
          <w:tcPr>
            <w:tcW w:w="20" w:type="dxa"/>
            <w:vAlign w:val="bottom"/>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1Q11</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1Q10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1Q10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4Q10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4Q10</w:t>
            </w:r>
          </w:p>
        </w:tc>
      </w:tr>
      <w:tr>
        <w:trPr>
          <w:trHeight w:val="216"/>
        </w:trPr>
        <w:tc>
          <w:tcPr>
            <w:tcW w:w="20" w:type="dxa"/>
            <w:vAlign w:val="bottom"/>
          </w:tcPr>
          <w:p>
            <w:pPr>
              <w:spacing w:after="0"/>
              <w:rPr>
                <w:sz w:val="18"/>
                <w:szCs w:val="18"/>
                <w:color w:val="auto"/>
              </w:rPr>
            </w:pPr>
          </w:p>
        </w:tc>
        <w:tc>
          <w:tcPr>
            <w:tcW w:w="3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486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440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Wireless: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high-volume analog &amp; logic, high-performance analog and power management products)</w:t>
      </w:r>
    </w:p>
    <w:p>
      <w:pPr>
        <w:spacing w:after="0" w:line="27" w:lineRule="exact"/>
        <w:rPr>
          <w:sz w:val="20"/>
          <w:szCs w:val="20"/>
          <w:color w:val="auto"/>
        </w:rPr>
      </w:pPr>
    </w:p>
    <w:p>
      <w:pPr>
        <w:ind w:left="34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a year ago, the increase in revenue was due to higher revenue from the combination of high-performance analog, power management and high-volume analog &amp; logic products.</w:t>
      </w:r>
    </w:p>
    <w:p>
      <w:pPr>
        <w:ind w:left="34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the prior quarter, revenue was about even as an increase in revenue from power management products was mostly offset by a decline in revenue from high-performance analog products. High-volume analog &amp; logic product revenue was about even.</w:t>
      </w:r>
    </w:p>
    <w:p>
      <w:pPr>
        <w:ind w:left="340" w:hanging="228"/>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from a year ago due to higher gross profit. Operating profit decreased from the prior quarter primarily due to lower gross profit.</w:t>
      </w:r>
    </w:p>
    <w:p>
      <w:pPr>
        <w:spacing w:after="0" w:line="20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a year ago, the increase in revenue was due to higher revenue from the combination of catalog products and products sold into communications infrastructure and automotive applications.</w:t>
      </w: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revenue was about even as an increase in revenue from products sold into automotive applications was offset by lower revenue from products sold into communications infrastructure and lower catalog product revenue.</w:t>
      </w:r>
    </w:p>
    <w:p>
      <w:pPr>
        <w:ind w:left="340" w:hanging="228"/>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profit increased from a year ago due to higher gross profit. Operating profit declined from the prior quarter primarily due to lower gross profit.</w:t>
      </w:r>
    </w:p>
    <w:p>
      <w:pPr>
        <w:sectPr>
          <w:pgSz w:w="11900" w:h="16838"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connectivity products, OMAP™ applications processors and baseband products)</w:t>
      </w:r>
    </w:p>
    <w:p>
      <w:pPr>
        <w:spacing w:after="0" w:line="27" w:lineRule="exact"/>
        <w:rPr>
          <w:sz w:val="20"/>
          <w:szCs w:val="20"/>
          <w:color w:val="auto"/>
        </w:rPr>
      </w:pPr>
    </w:p>
    <w:p>
      <w:pPr>
        <w:ind w:left="340" w:right="2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a year ago, the decline in revenue was due to lower revenue from baseband products. Revenue from connectivity products increased and revenue from applications processors was about even.</w:t>
      </w: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prior quarter, revenue declined due to lower revenue from baseband products. Revenue from connectivity products increased but was offset by a decline in applications processors.</w:t>
      </w:r>
    </w:p>
    <w:p>
      <w:pPr>
        <w:ind w:left="340" w:hanging="228"/>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profit decreased from the year-ago quarter due to higher operating expenses and decreased from the prior quarter due to lower gross profit.</w:t>
      </w:r>
    </w:p>
    <w:p>
      <w:pPr>
        <w:spacing w:after="0" w:line="257"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 as well as products sold under transitional supply agreements associated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recently acquired factories)</w:t>
      </w:r>
    </w:p>
    <w:p>
      <w:pPr>
        <w:spacing w:after="0" w:line="1" w:lineRule="exact"/>
        <w:rPr>
          <w:sz w:val="20"/>
          <w:szCs w:val="20"/>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a year ago, the decline in revenue was primarily due to lower royalties, which were mostly offset by increased revenue from transitional supply agreements.</w:t>
      </w: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prior quarter, the decline in revenue was due to lower revenue from custom ASIC products and royalties that was partially offset by higher revenue from calculators and DLP products.</w:t>
      </w:r>
    </w:p>
    <w:p>
      <w:pPr>
        <w:ind w:left="340" w:right="20" w:hanging="228"/>
        <w:spacing w:after="0" w:line="290"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Operating profit decreased from a year ago due to lower gross profit. Operating profit decreased from the prior quarter primarily due to a gain on sale in the prior quarter. Operating profit was negatively impacted by about $30 million for costs resulting from the earthquake in Japan.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1Q11 additional financial information</w:t>
      </w:r>
    </w:p>
    <w:p>
      <w:pPr>
        <w:spacing w:after="0" w:line="256" w:lineRule="exact"/>
        <w:rPr>
          <w:sz w:val="20"/>
          <w:szCs w:val="20"/>
          <w:color w:val="auto"/>
        </w:rPr>
      </w:pP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Orders were $3.58 billion, down 2 percent from a year ago and up 14 percent from the prior quarter.</w:t>
      </w:r>
    </w:p>
    <w:p>
      <w:pPr>
        <w:spacing w:after="0" w:line="23" w:lineRule="exact"/>
        <w:rPr>
          <w:rFonts w:ascii="Arial" w:cs="Arial" w:eastAsia="Arial" w:hAnsi="Arial"/>
          <w:sz w:val="18"/>
          <w:szCs w:val="18"/>
          <w:color w:val="auto"/>
        </w:rPr>
      </w:pPr>
    </w:p>
    <w:p>
      <w:pPr>
        <w:jc w:val="both"/>
        <w:ind w:left="34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was $1.68 billion at the end of the quarter, up $402 million from a year ago and up $158 million from the prior quarter. Most of the increase was due to the company building inventory to help support high customer service levels. About one-third of the sequential increase was Wireless baseband inventory that resulted from weak demand at a single customer.</w:t>
      </w:r>
    </w:p>
    <w:p>
      <w:pPr>
        <w:spacing w:after="0" w:line="1"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were $194 million in the quarter compared with $219 million a year ago and $301 million in the prior quarter. Capital expenditures in the quarter were primarily for assembly/test equipment, as well as for analog wafer manufacturing equipment.</w:t>
      </w: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used $771 million in the quarter to repurchase 21.9 million shares of its common stock and paid dividends of $153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2011, TI expects:</w:t>
      </w:r>
    </w:p>
    <w:p>
      <w:pPr>
        <w:spacing w:after="0" w:line="252" w:lineRule="exact"/>
        <w:rPr>
          <w:sz w:val="20"/>
          <w:szCs w:val="20"/>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$3.41 – 3.69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$0.52 – 0.60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This estimate includes a negative impact of about 5 cents for costs resulting from the earthquake and its aftermath in Japan.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second-quarter outlook on June 8,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2011,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R&amp;D expense: $1.7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expenditures: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effective tax rate: 28%, down from the prior expectation of 30%</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gridSpan w:val="6"/>
            <w:shd w:val="clear" w:color="auto" w:fill="CCEEFF"/>
          </w:tcPr>
          <w:p>
            <w:pPr>
              <w:jc w:val="center"/>
              <w:ind w:left="730"/>
              <w:spacing w:after="0"/>
              <w:rPr>
                <w:sz w:val="20"/>
                <w:szCs w:val="20"/>
                <w:color w:val="auto"/>
              </w:rPr>
            </w:pPr>
            <w:r>
              <w:rPr>
                <w:rFonts w:ascii="Arial" w:cs="Arial" w:eastAsia="Arial" w:hAnsi="Arial"/>
                <w:sz w:val="18"/>
                <w:szCs w:val="18"/>
                <w:b w:val="1"/>
                <w:bCs w:val="1"/>
                <w:color w:val="auto"/>
                <w:w w:val="92"/>
              </w:rPr>
              <w:t>For Three Months Ended</w:t>
            </w: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480"/>
              <w:spacing w:after="0" w:line="198" w:lineRule="exact"/>
              <w:rPr>
                <w:sz w:val="20"/>
                <w:szCs w:val="20"/>
                <w:color w:val="auto"/>
              </w:rPr>
            </w:pPr>
            <w:r>
              <w:rPr>
                <w:rFonts w:ascii="Arial" w:cs="Arial" w:eastAsia="Arial" w:hAnsi="Arial"/>
                <w:sz w:val="18"/>
                <w:szCs w:val="18"/>
                <w:b w:val="1"/>
                <w:bCs w:val="1"/>
                <w:color w:val="auto"/>
                <w:w w:val="95"/>
              </w:rPr>
              <w:t>Mar. 31,</w:t>
            </w:r>
          </w:p>
        </w:tc>
        <w:tc>
          <w:tcPr>
            <w:tcW w:w="16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center"/>
              <w:ind w:right="440"/>
              <w:spacing w:after="0" w:line="198" w:lineRule="exact"/>
              <w:rPr>
                <w:sz w:val="20"/>
                <w:szCs w:val="20"/>
                <w:color w:val="auto"/>
              </w:rPr>
            </w:pPr>
            <w:r>
              <w:rPr>
                <w:rFonts w:ascii="Arial" w:cs="Arial" w:eastAsia="Arial" w:hAnsi="Arial"/>
                <w:sz w:val="18"/>
                <w:szCs w:val="18"/>
                <w:b w:val="1"/>
                <w:bCs w:val="1"/>
                <w:color w:val="auto"/>
                <w:w w:val="95"/>
              </w:rPr>
              <w:t>Mar. 31,</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1,664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1,516</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1,728</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422</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396</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 / divestiture (gain)</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908</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918</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1,167</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1,233</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1,194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1,246</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50.9%</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26.8%</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from earnings per common share was $10 million, $8 million and $14 million for the quarters ending March 31, 2011, March 31, 2010 and December 31, 2010.</w:t>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Mar. 31,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5"/>
              </w:rPr>
              <w:t>Mar. 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6"/>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($20), ($20) and ($18)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(3,055)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13,310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12,370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$1 par value. Authorized -- 2,400,000,000 shares. Shares issued: Mar. 31, 2011 -</w:t>
            </w:r>
          </w:p>
        </w:tc>
        <w:tc>
          <w:tcPr>
            <w:tcW w:w="1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- 1,740,394,740; Mar. 31, 2010 -- 1,739,818,725; Dec. 31, 2010 -- 1,740,166,101</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25,206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Mar. 31, 2011 -- 579,225,953; Mar. 31, 2010 --</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(16,738)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517,592,342; Dec. 31, 2010 -- 572,722,397</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780" w:type="dxa"/>
            <w:vAlign w:val="bottom"/>
            <w:tcBorders>
              <w:bottom w:val="single" w:sz="8" w:color="auto"/>
            </w:tcBorders>
            <w:gridSpan w:val="7"/>
            <w:shd w:val="clear" w:color="auto" w:fill="CCEEFF"/>
          </w:tcPr>
          <w:p>
            <w:pPr>
              <w:jc w:val="center"/>
              <w:ind w:left="650"/>
              <w:spacing w:after="0"/>
              <w:rPr>
                <w:sz w:val="20"/>
                <w:szCs w:val="20"/>
                <w:color w:val="auto"/>
              </w:rPr>
            </w:pPr>
            <w:r>
              <w:rPr>
                <w:rFonts w:ascii="Arial" w:cs="Arial" w:eastAsia="Arial" w:hAnsi="Arial"/>
                <w:sz w:val="18"/>
                <w:szCs w:val="18"/>
                <w:b w:val="1"/>
                <w:bCs w:val="1"/>
                <w:color w:val="auto"/>
                <w:w w:val="92"/>
              </w:rPr>
              <w:t>For Three Months Ended</w:t>
            </w: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Mar. 31,</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5"/>
              </w:rPr>
              <w:t>Mar. 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1"/>
              </w:rPr>
              <w:t>Dec.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divestiture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divestiture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Sales, redemptions and maturities of short-term</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(555)</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1,343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420"/>
          </w:cols>
          <w:pgMar w:left="240" w:top="51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TI specifically notes that circumstances arising out of the recent earthquakes and tsunami in Japan, including disruptions and increased costs of TI’s production, disruptions in our supply chain (including utilities) and reduced or delayed demand from customers, could cause actual results to differ from the expectations of TI or its management.</w:t>
      </w:r>
    </w:p>
    <w:p>
      <w:pPr>
        <w:spacing w:after="0" w:line="20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Ÿ"/>
      <w:numFmt w:val="bullet"/>
      <w:start w:val="1"/>
    </w:lvl>
  </w:abstractNum>
  <w:abstractNum w:abstractNumId="4">
    <w:nsid w:val="7545E146"/>
    <w:multiLevelType w:val="hybridMultilevel"/>
    <w:lvl w:ilvl="0">
      <w:lvlJc w:val="left"/>
      <w:lvlText w:val="Ÿ"/>
      <w:numFmt w:val="bullet"/>
      <w:start w:val="1"/>
    </w:lvl>
  </w:abstractNum>
  <w:abstractNum w:abstractNumId="5">
    <w:nsid w:val="515F007C"/>
    <w:multiLevelType w:val="hybridMultilevel"/>
    <w:lvl w:ilvl="0">
      <w:lvlJc w:val="left"/>
      <w:lvlText w:val="Ÿ"/>
      <w:numFmt w:val="bullet"/>
      <w:start w:val="1"/>
    </w:lvl>
  </w:abstractNum>
  <w:abstractNum w:abstractNumId="6">
    <w:nsid w:val="5BD062C2"/>
    <w:multiLevelType w:val="hybridMultilevel"/>
    <w:lvl w:ilvl="0">
      <w:lvlJc w:val="left"/>
      <w:lvlText w:val="Ÿ"/>
      <w:numFmt w:val="bullet"/>
      <w:start w:val="1"/>
    </w:lvl>
  </w:abstractNum>
  <w:abstractNum w:abstractNumId="7">
    <w:nsid w:val="12200854"/>
    <w:multiLevelType w:val="hybridMultilevel"/>
    <w:lvl w:ilvl="0">
      <w:lvlJc w:val="left"/>
      <w:lvlText w:val="Ÿ"/>
      <w:numFmt w:val="bullet"/>
      <w:start w:val="1"/>
    </w:lvl>
  </w:abstractNum>
  <w:abstractNum w:abstractNumId="8">
    <w:nsid w:val="4DB127F8"/>
    <w:multiLevelType w:val="hybridMultilevel"/>
    <w:lvl w:ilvl="0">
      <w:lvlJc w:val="left"/>
      <w:lvlText w:val="Ÿ"/>
      <w:numFmt w:val="bullet"/>
      <w:start w:val="1"/>
    </w:lvl>
  </w:abstractNum>
  <w:abstractNum w:abstractNumId="9">
    <w:nsid w:val="216231B"/>
    <w:multiLevelType w:val="hybridMultilevel"/>
    <w:lvl w:ilvl="0">
      <w:lvlJc w:val="left"/>
      <w:lvlText w:val="Ÿ"/>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2019-12-10T03:40:28Z</dcterms:created>
  <dcterms:modified xsi:type="dcterms:W3CDTF">2019-12-10T03:40:28Z</dcterms:modified>
</cp:coreProperties>
</file>