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138430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left="3000"/>
        <w:spacing w:after="0"/>
        <w:rPr>
          <w:sz w:val="20"/>
          <w:szCs w:val="20"/>
          <w:color w:val="auto"/>
        </w:rPr>
      </w:pPr>
      <w:r>
        <w:rPr>
          <w:rFonts w:ascii="Arial" w:cs="Arial" w:eastAsia="Arial" w:hAnsi="Arial"/>
          <w:sz w:val="18"/>
          <w:szCs w:val="18"/>
          <w:b w:val="1"/>
          <w:bCs w:val="1"/>
          <w:color w:val="auto"/>
        </w:rPr>
        <w:t>SECURITIES AND EXCHANGE COMMISSION</w:t>
      </w:r>
    </w:p>
    <w:p>
      <w:pPr>
        <w:spacing w:after="0" w:line="23"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Washington, D.C. 20549</w:t>
      </w:r>
    </w:p>
    <w:p>
      <w:pPr>
        <w:spacing w:after="0" w:line="21" w:lineRule="exact"/>
        <w:rPr>
          <w:sz w:val="24"/>
          <w:szCs w:val="24"/>
          <w:color w:val="auto"/>
        </w:rPr>
      </w:pPr>
    </w:p>
    <w:p>
      <w:pPr>
        <w:ind w:left="4800"/>
        <w:spacing w:after="0"/>
        <w:rPr>
          <w:sz w:val="20"/>
          <w:szCs w:val="20"/>
          <w:color w:val="auto"/>
        </w:rPr>
      </w:pPr>
      <w:r>
        <w:rPr>
          <w:rFonts w:ascii="Arial" w:cs="Arial" w:eastAsia="Arial" w:hAnsi="Arial"/>
          <w:sz w:val="24"/>
          <w:szCs w:val="24"/>
          <w:b w:val="1"/>
          <w:bCs w:val="1"/>
          <w:color w:val="auto"/>
        </w:rPr>
        <w:t>SCHEDULE 14A</w:t>
      </w:r>
    </w:p>
    <w:p>
      <w:pPr>
        <w:spacing w:after="0" w:line="387" w:lineRule="exact"/>
        <w:rPr>
          <w:sz w:val="24"/>
          <w:szCs w:val="24"/>
          <w:color w:val="auto"/>
        </w:rPr>
      </w:pPr>
    </w:p>
    <w:p>
      <w:pPr>
        <w:jc w:val="center"/>
        <w:ind w:left="2940"/>
        <w:spacing w:after="0"/>
        <w:rPr>
          <w:sz w:val="20"/>
          <w:szCs w:val="20"/>
          <w:color w:val="auto"/>
        </w:rPr>
      </w:pPr>
      <w:r>
        <w:rPr>
          <w:rFonts w:ascii="Arial" w:cs="Arial" w:eastAsia="Arial" w:hAnsi="Arial"/>
          <w:sz w:val="19"/>
          <w:szCs w:val="19"/>
          <w:b w:val="1"/>
          <w:bCs w:val="1"/>
          <w:color w:val="auto"/>
        </w:rPr>
        <w:t>Proxy Statement Pursuant to Section 14(a) of the Securities</w:t>
      </w:r>
    </w:p>
    <w:p>
      <w:pPr>
        <w:spacing w:after="0" w:line="49" w:lineRule="exact"/>
        <w:rPr>
          <w:sz w:val="24"/>
          <w:szCs w:val="24"/>
          <w:color w:val="auto"/>
        </w:rPr>
      </w:pPr>
    </w:p>
    <w:p>
      <w:pPr>
        <w:ind w:left="3620"/>
        <w:spacing w:after="0"/>
        <w:tabs>
          <w:tab w:leader="none" w:pos="7720" w:val="left"/>
        </w:tabs>
        <w:rPr>
          <w:sz w:val="20"/>
          <w:szCs w:val="20"/>
          <w:color w:val="auto"/>
        </w:rPr>
      </w:pPr>
      <w:r>
        <w:rPr>
          <w:rFonts w:ascii="Arial" w:cs="Arial" w:eastAsia="Arial" w:hAnsi="Arial"/>
          <w:sz w:val="22"/>
          <w:szCs w:val="22"/>
          <w:b w:val="1"/>
          <w:bCs w:val="1"/>
          <w:color w:val="auto"/>
        </w:rPr>
        <w:t>Exchange Act of 1934 (Amendment No.</w:t>
      </w:r>
      <w:r>
        <w:rPr>
          <w:sz w:val="20"/>
          <w:szCs w:val="20"/>
          <w:color w:val="auto"/>
        </w:rPr>
        <w:tab/>
      </w:r>
      <w:r>
        <w:rPr>
          <w:rFonts w:ascii="Arial" w:cs="Arial" w:eastAsia="Arial" w:hAnsi="Arial"/>
          <w:sz w:val="22"/>
          <w:szCs w:val="22"/>
          <w:b w:val="1"/>
          <w:bCs w:val="1"/>
          <w:color w:val="auto"/>
        </w:rPr>
        <w:t>)</w:t>
      </w:r>
    </w:p>
    <w:p>
      <w:pPr>
        <w:spacing w:after="0" w:line="182" w:lineRule="exact"/>
        <w:rPr>
          <w:sz w:val="24"/>
          <w:szCs w:val="24"/>
          <w:color w:val="auto"/>
        </w:rPr>
      </w:pPr>
    </w:p>
    <w:p>
      <w:pPr>
        <w:spacing w:after="0"/>
        <w:tabs>
          <w:tab w:leader="none" w:pos="182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Arial" w:cs="Arial" w:eastAsia="Arial" w:hAnsi="Arial"/>
          <w:sz w:val="17"/>
          <w:szCs w:val="17"/>
          <w:b w:val="1"/>
          <w:bCs w:val="1"/>
          <w:color w:val="auto"/>
        </w:rPr>
        <w:t>x</w:t>
      </w:r>
    </w:p>
    <w:p>
      <w:pPr>
        <w:spacing w:after="0" w:line="212" w:lineRule="exact"/>
        <w:rPr>
          <w:sz w:val="24"/>
          <w:szCs w:val="24"/>
          <w:color w:val="auto"/>
        </w:rPr>
      </w:pPr>
    </w:p>
    <w:p>
      <w:pPr>
        <w:spacing w:after="0"/>
        <w:tabs>
          <w:tab w:leader="none" w:pos="310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Arial" w:cs="Arial" w:eastAsia="Arial" w:hAnsi="Arial"/>
          <w:sz w:val="16"/>
          <w:szCs w:val="16"/>
          <w:b w:val="1"/>
          <w:bCs w:val="1"/>
          <w:color w:val="auto"/>
        </w:rPr>
        <w:t>o</w:t>
      </w:r>
    </w:p>
    <w:p>
      <w:pPr>
        <w:spacing w:after="0" w:line="200" w:lineRule="exact"/>
        <w:rPr>
          <w:sz w:val="24"/>
          <w:szCs w:val="24"/>
          <w:color w:val="auto"/>
        </w:rPr>
      </w:pPr>
    </w:p>
    <w:p>
      <w:pPr>
        <w:spacing w:after="0" w:line="29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2" w:lineRule="exact"/>
        <w:rPr>
          <w:sz w:val="24"/>
          <w:szCs w:val="24"/>
          <w:color w:val="auto"/>
        </w:rPr>
      </w:pPr>
    </w:p>
    <w:p>
      <w:pPr>
        <w:ind w:left="580" w:hanging="572"/>
        <w:spacing w:after="0"/>
        <w:tabs>
          <w:tab w:leader="none" w:pos="580" w:val="left"/>
        </w:tabs>
        <w:numPr>
          <w:ilvl w:val="0"/>
          <w:numId w:val="1"/>
        </w:numPr>
        <w:rPr>
          <w:rFonts w:ascii="Arial" w:cs="Arial" w:eastAsia="Arial" w:hAnsi="Arial"/>
          <w:sz w:val="22"/>
          <w:szCs w:val="22"/>
          <w:b w:val="1"/>
          <w:bCs w:val="1"/>
          <w:color w:val="auto"/>
        </w:rPr>
      </w:pPr>
      <w:r>
        <w:rPr>
          <w:rFonts w:ascii="Arial" w:cs="Arial" w:eastAsia="Arial" w:hAnsi="Arial"/>
          <w:sz w:val="18"/>
          <w:szCs w:val="18"/>
          <w:color w:val="auto"/>
        </w:rPr>
        <w:t>Preliminary Proxy Statement</w:t>
      </w:r>
    </w:p>
    <w:p>
      <w:pPr>
        <w:spacing w:after="0" w:line="34" w:lineRule="exact"/>
        <w:rPr>
          <w:rFonts w:ascii="Arial" w:cs="Arial" w:eastAsia="Arial" w:hAnsi="Arial"/>
          <w:sz w:val="22"/>
          <w:szCs w:val="22"/>
          <w:b w:val="1"/>
          <w:bCs w:val="1"/>
          <w:color w:val="auto"/>
        </w:rPr>
      </w:pPr>
    </w:p>
    <w:p>
      <w:pPr>
        <w:ind w:left="580" w:hanging="572"/>
        <w:spacing w:after="0" w:line="197" w:lineRule="auto"/>
        <w:tabs>
          <w:tab w:leader="none" w:pos="580" w:val="left"/>
        </w:tabs>
        <w:numPr>
          <w:ilvl w:val="0"/>
          <w:numId w:val="1"/>
        </w:numPr>
        <w:rPr>
          <w:rFonts w:ascii="Arial" w:cs="Arial" w:eastAsia="Arial" w:hAnsi="Arial"/>
          <w:sz w:val="22"/>
          <w:szCs w:val="22"/>
          <w:b w:val="1"/>
          <w:bCs w:val="1"/>
          <w:color w:val="auto"/>
        </w:rPr>
      </w:pPr>
      <w:r>
        <w:rPr>
          <w:rFonts w:ascii="Arial" w:cs="Arial" w:eastAsia="Arial" w:hAnsi="Arial"/>
          <w:sz w:val="18"/>
          <w:szCs w:val="18"/>
          <w:b w:val="1"/>
          <w:bCs w:val="1"/>
          <w:color w:val="auto"/>
        </w:rPr>
        <w:t>Confidential, for Use of the Commission Only (as permitted by Rule 14a-6(e)(2))</w:t>
      </w:r>
    </w:p>
    <w:p>
      <w:pPr>
        <w:ind w:left="580" w:hanging="572"/>
        <w:spacing w:after="0" w:line="231" w:lineRule="auto"/>
        <w:tabs>
          <w:tab w:leader="none" w:pos="580" w:val="left"/>
        </w:tabs>
        <w:numPr>
          <w:ilvl w:val="0"/>
          <w:numId w:val="2"/>
        </w:numPr>
        <w:rPr>
          <w:rFonts w:ascii="Arial" w:cs="Arial" w:eastAsia="Arial" w:hAnsi="Arial"/>
          <w:sz w:val="22"/>
          <w:szCs w:val="22"/>
          <w:b w:val="1"/>
          <w:bCs w:val="1"/>
          <w:color w:val="auto"/>
        </w:rPr>
      </w:pPr>
      <w:r>
        <w:rPr>
          <w:rFonts w:ascii="Arial" w:cs="Arial" w:eastAsia="Arial" w:hAnsi="Arial"/>
          <w:sz w:val="18"/>
          <w:szCs w:val="18"/>
          <w:color w:val="auto"/>
        </w:rPr>
        <w:t>Definitive Proxy Statement</w:t>
      </w:r>
    </w:p>
    <w:p>
      <w:pPr>
        <w:ind w:left="580" w:hanging="572"/>
        <w:spacing w:after="0" w:line="231" w:lineRule="auto"/>
        <w:tabs>
          <w:tab w:leader="none" w:pos="580" w:val="left"/>
        </w:tabs>
        <w:numPr>
          <w:ilvl w:val="0"/>
          <w:numId w:val="3"/>
        </w:numPr>
        <w:rPr>
          <w:rFonts w:ascii="Arial" w:cs="Arial" w:eastAsia="Arial" w:hAnsi="Arial"/>
          <w:sz w:val="22"/>
          <w:szCs w:val="22"/>
          <w:b w:val="1"/>
          <w:bCs w:val="1"/>
          <w:color w:val="auto"/>
        </w:rPr>
      </w:pPr>
      <w:r>
        <w:rPr>
          <w:rFonts w:ascii="Arial" w:cs="Arial" w:eastAsia="Arial" w:hAnsi="Arial"/>
          <w:sz w:val="18"/>
          <w:szCs w:val="18"/>
          <w:color w:val="auto"/>
        </w:rPr>
        <w:t>Definitive Additional Materials</w:t>
      </w:r>
    </w:p>
    <w:p>
      <w:pPr>
        <w:spacing w:after="0" w:line="34" w:lineRule="exact"/>
        <w:rPr>
          <w:rFonts w:ascii="Arial" w:cs="Arial" w:eastAsia="Arial" w:hAnsi="Arial"/>
          <w:sz w:val="22"/>
          <w:szCs w:val="22"/>
          <w:b w:val="1"/>
          <w:bCs w:val="1"/>
          <w:color w:val="auto"/>
        </w:rPr>
      </w:pPr>
    </w:p>
    <w:p>
      <w:pPr>
        <w:ind w:left="580" w:hanging="572"/>
        <w:spacing w:after="0" w:line="197" w:lineRule="auto"/>
        <w:tabs>
          <w:tab w:leader="none" w:pos="580" w:val="left"/>
        </w:tabs>
        <w:numPr>
          <w:ilvl w:val="0"/>
          <w:numId w:val="3"/>
        </w:numPr>
        <w:rPr>
          <w:rFonts w:ascii="Arial" w:cs="Arial" w:eastAsia="Arial" w:hAnsi="Arial"/>
          <w:sz w:val="22"/>
          <w:szCs w:val="22"/>
          <w:b w:val="1"/>
          <w:bCs w:val="1"/>
          <w:color w:val="auto"/>
        </w:rPr>
      </w:pPr>
      <w:r>
        <w:rPr>
          <w:rFonts w:ascii="Arial" w:cs="Arial" w:eastAsia="Arial" w:hAnsi="Arial"/>
          <w:sz w:val="18"/>
          <w:szCs w:val="18"/>
          <w:color w:val="auto"/>
        </w:rPr>
        <w:t>Soliciting Material Pursuant to Rule §240.14a-12</w:t>
      </w:r>
    </w:p>
    <w:p>
      <w:pPr>
        <w:spacing w:after="0" w:line="20" w:lineRule="exact"/>
        <w:rPr>
          <w:sz w:val="24"/>
          <w:szCs w:val="24"/>
          <w:color w:val="auto"/>
        </w:rPr>
      </w:pPr>
      <w:r>
        <w:rPr>
          <w:sz w:val="24"/>
          <w:szCs w:val="24"/>
          <w:color w:val="auto"/>
        </w:rPr>
        <w:br w:type="column"/>
      </w:r>
    </w:p>
    <w:p>
      <w:pPr>
        <w:ind w:left="420"/>
        <w:spacing w:after="0"/>
        <w:rPr>
          <w:sz w:val="20"/>
          <w:szCs w:val="20"/>
          <w:color w:val="auto"/>
        </w:rPr>
      </w:pPr>
      <w:r>
        <w:rPr>
          <w:rFonts w:ascii="Arial" w:cs="Arial" w:eastAsia="Arial" w:hAnsi="Arial"/>
          <w:sz w:val="18"/>
          <w:szCs w:val="18"/>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-130175</wp:posOffset>
            </wp:positionV>
            <wp:extent cx="1449070" cy="7289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9070" cy="728980"/>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6"/>
          <w:szCs w:val="16"/>
          <w:color w:val="auto"/>
        </w:rPr>
        <w:t>OMB Number: 3235-0059</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Expires: January 31, 2008</w:t>
      </w:r>
    </w:p>
    <w:p>
      <w:pPr>
        <w:spacing w:after="0" w:line="46" w:lineRule="exact"/>
        <w:rPr>
          <w:sz w:val="24"/>
          <w:szCs w:val="24"/>
          <w:color w:val="auto"/>
        </w:rPr>
      </w:pPr>
    </w:p>
    <w:p>
      <w:pPr>
        <w:ind w:right="360"/>
        <w:spacing w:after="0" w:line="341" w:lineRule="auto"/>
        <w:rPr>
          <w:sz w:val="20"/>
          <w:szCs w:val="20"/>
          <w:color w:val="auto"/>
        </w:rPr>
      </w:pPr>
      <w:r>
        <w:rPr>
          <w:rFonts w:ascii="Arial" w:cs="Arial" w:eastAsia="Arial" w:hAnsi="Arial"/>
          <w:sz w:val="16"/>
          <w:szCs w:val="16"/>
          <w:color w:val="auto"/>
        </w:rPr>
        <w:t>Estimated average burden hours per response... 14</w:t>
      </w:r>
    </w:p>
    <w:p>
      <w:pPr>
        <w:spacing w:after="0" w:line="3779" w:lineRule="exact"/>
        <w:rPr>
          <w:sz w:val="24"/>
          <w:szCs w:val="24"/>
          <w:color w:val="auto"/>
        </w:rPr>
      </w:pPr>
    </w:p>
    <w:p>
      <w:pPr>
        <w:sectPr>
          <w:pgSz w:w="11900" w:h="16838" w:orient="portrait"/>
          <w:cols w:equalWidth="0" w:num="2">
            <w:col w:w="8440" w:space="720"/>
            <w:col w:w="2240"/>
          </w:cols>
          <w:pgMar w:left="240" w:top="351" w:right="259" w:bottom="0" w:gutter="0" w:footer="0" w:header="0"/>
        </w:sectPr>
      </w:pPr>
    </w:p>
    <w:p>
      <w:pPr>
        <w:spacing w:after="0" w:line="200" w:lineRule="exact"/>
        <w:rPr>
          <w:sz w:val="24"/>
          <w:szCs w:val="24"/>
          <w:color w:val="auto"/>
        </w:rPr>
      </w:pP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TEXAS INSTRUMENTS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903605</wp:posOffset>
            </wp:positionH>
            <wp:positionV relativeFrom="paragraph">
              <wp:posOffset>70485</wp:posOffset>
            </wp:positionV>
            <wp:extent cx="544957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49570" cy="21590"/>
                    </a:xfrm>
                    <a:prstGeom prst="rect">
                      <a:avLst/>
                    </a:prstGeom>
                    <a:noFill/>
                  </pic:spPr>
                </pic:pic>
              </a:graphicData>
            </a:graphic>
          </wp:anchor>
        </w:drawing>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903605</wp:posOffset>
            </wp:positionH>
            <wp:positionV relativeFrom="paragraph">
              <wp:posOffset>437515</wp:posOffset>
            </wp:positionV>
            <wp:extent cx="544957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4957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95" w:lineRule="exact"/>
        <w:rPr>
          <w:sz w:val="24"/>
          <w:szCs w:val="24"/>
          <w:color w:val="auto"/>
        </w:rPr>
      </w:pPr>
    </w:p>
    <w:p>
      <w:pPr>
        <w:ind w:left="580" w:hanging="572"/>
        <w:spacing w:after="0"/>
        <w:tabs>
          <w:tab w:leader="none" w:pos="580" w:val="left"/>
        </w:tabs>
        <w:numPr>
          <w:ilvl w:val="0"/>
          <w:numId w:val="4"/>
        </w:numPr>
        <w:rPr>
          <w:rFonts w:ascii="Arial" w:cs="Arial" w:eastAsia="Arial" w:hAnsi="Arial"/>
          <w:sz w:val="22"/>
          <w:szCs w:val="22"/>
          <w:b w:val="1"/>
          <w:bCs w:val="1"/>
          <w:color w:val="auto"/>
        </w:rPr>
      </w:pPr>
      <w:r>
        <w:rPr>
          <w:rFonts w:ascii="Arial" w:cs="Arial" w:eastAsia="Arial" w:hAnsi="Arial"/>
          <w:sz w:val="18"/>
          <w:szCs w:val="18"/>
          <w:color w:val="auto"/>
        </w:rPr>
        <w:t>No fee required.</w:t>
      </w:r>
    </w:p>
    <w:p>
      <w:pPr>
        <w:spacing w:after="0" w:line="233" w:lineRule="exact"/>
        <w:rPr>
          <w:sz w:val="24"/>
          <w:szCs w:val="24"/>
          <w:color w:val="auto"/>
        </w:rPr>
      </w:pPr>
    </w:p>
    <w:p>
      <w:pPr>
        <w:ind w:left="580" w:hanging="572"/>
        <w:spacing w:after="0"/>
        <w:tabs>
          <w:tab w:leader="none" w:pos="580" w:val="left"/>
        </w:tabs>
        <w:numPr>
          <w:ilvl w:val="0"/>
          <w:numId w:val="5"/>
        </w:numPr>
        <w:rPr>
          <w:rFonts w:ascii="Arial" w:cs="Arial" w:eastAsia="Arial" w:hAnsi="Arial"/>
          <w:sz w:val="22"/>
          <w:szCs w:val="22"/>
          <w:b w:val="1"/>
          <w:bCs w:val="1"/>
          <w:color w:val="auto"/>
        </w:rPr>
      </w:pPr>
      <w:r>
        <w:rPr>
          <w:rFonts w:ascii="Arial" w:cs="Arial" w:eastAsia="Arial" w:hAnsi="Arial"/>
          <w:sz w:val="18"/>
          <w:szCs w:val="18"/>
          <w:color w:val="auto"/>
        </w:rPr>
        <w:t>Fee computed on table below per Exchange Act Rules 14a-6(i)(1) and 0-11.</w:t>
      </w:r>
    </w:p>
    <w:p>
      <w:pPr>
        <w:spacing w:after="0" w:line="263" w:lineRule="exact"/>
        <w:rPr>
          <w:rFonts w:ascii="Arial" w:cs="Arial" w:eastAsia="Arial" w:hAnsi="Arial"/>
          <w:sz w:val="22"/>
          <w:szCs w:val="22"/>
          <w:b w:val="1"/>
          <w:bCs w:val="1"/>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60" w:hanging="571"/>
        <w:spacing w:after="0" w:line="268"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9"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SEC 1913 (04-05)</w:t>
      </w:r>
    </w:p>
    <w:p>
      <w:pPr>
        <w:spacing w:after="0" w:line="15" w:lineRule="exact"/>
        <w:rPr>
          <w:rFonts w:ascii="Arial" w:cs="Arial" w:eastAsia="Arial" w:hAnsi="Arial"/>
          <w:sz w:val="18"/>
          <w:szCs w:val="18"/>
          <w:color w:val="auto"/>
        </w:rPr>
      </w:pPr>
    </w:p>
    <w:p>
      <w:pPr>
        <w:ind w:left="1160" w:right="5720"/>
        <w:spacing w:after="0" w:line="331" w:lineRule="auto"/>
        <w:rPr>
          <w:rFonts w:ascii="Arial" w:cs="Arial" w:eastAsia="Arial" w:hAnsi="Arial"/>
          <w:sz w:val="18"/>
          <w:szCs w:val="18"/>
          <w:color w:val="auto"/>
        </w:rPr>
      </w:pPr>
      <w:r>
        <w:rPr>
          <w:rFonts w:ascii="Arial" w:cs="Arial" w:eastAsia="Arial" w:hAnsi="Arial"/>
          <w:sz w:val="15"/>
          <w:szCs w:val="15"/>
          <w:b w:val="1"/>
          <w:bCs w:val="1"/>
          <w:color w:val="auto"/>
        </w:rPr>
        <w:t>Persons who are to respond to the collection of information contained in this form are not required to respond unless the form displays a currently valid OMB control number.</w:t>
      </w:r>
    </w:p>
    <w:p>
      <w:pPr>
        <w:spacing w:after="0" w:line="140"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22"/>
          <w:szCs w:val="22"/>
          <w:b w:val="1"/>
          <w:bCs w:val="1"/>
          <w:color w:val="auto"/>
        </w:rPr>
      </w:pPr>
      <w:r>
        <w:rPr>
          <w:rFonts w:ascii="Arial" w:cs="Arial" w:eastAsia="Arial" w:hAnsi="Arial"/>
          <w:sz w:val="18"/>
          <w:szCs w:val="18"/>
          <w:color w:val="auto"/>
        </w:rPr>
        <w:t>Fee paid previously with preliminary materials.</w:t>
      </w:r>
    </w:p>
    <w:p>
      <w:pPr>
        <w:spacing w:after="0" w:line="263" w:lineRule="exact"/>
        <w:rPr>
          <w:rFonts w:ascii="Arial" w:cs="Arial" w:eastAsia="Arial" w:hAnsi="Arial"/>
          <w:sz w:val="22"/>
          <w:szCs w:val="22"/>
          <w:b w:val="1"/>
          <w:bCs w:val="1"/>
          <w:color w:val="auto"/>
        </w:rPr>
      </w:pPr>
    </w:p>
    <w:p>
      <w:pPr>
        <w:ind w:left="580" w:right="560" w:hanging="572"/>
        <w:spacing w:after="0" w:line="241" w:lineRule="auto"/>
        <w:tabs>
          <w:tab w:leader="none" w:pos="580" w:val="left"/>
        </w:tabs>
        <w:numPr>
          <w:ilvl w:val="0"/>
          <w:numId w:val="5"/>
        </w:numPr>
        <w:rPr>
          <w:rFonts w:ascii="Arial" w:cs="Arial" w:eastAsia="Arial" w:hAnsi="Arial"/>
          <w:sz w:val="21"/>
          <w:szCs w:val="21"/>
          <w:b w:val="1"/>
          <w:bCs w:val="1"/>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6" w:lineRule="exact"/>
        <w:rPr>
          <w:rFonts w:ascii="Arial" w:cs="Arial" w:eastAsia="Arial" w:hAnsi="Arial"/>
          <w:sz w:val="21"/>
          <w:szCs w:val="21"/>
          <w:b w:val="1"/>
          <w:bCs w:val="1"/>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732155</wp:posOffset>
            </wp:positionH>
            <wp:positionV relativeFrom="paragraph">
              <wp:posOffset>-4243705</wp:posOffset>
            </wp:positionV>
            <wp:extent cx="652145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-3626485</wp:posOffset>
            </wp:positionV>
            <wp:extent cx="652145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-2889250</wp:posOffset>
            </wp:positionV>
            <wp:extent cx="652145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-2271395</wp:posOffset>
            </wp:positionV>
            <wp:extent cx="652145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-1654175</wp:posOffset>
            </wp:positionV>
            <wp:extent cx="652145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ectPr>
          <w:pgSz w:w="11900" w:h="16838" w:orient="portrait"/>
          <w:cols w:equalWidth="0" w:num="1">
            <w:col w:w="11400"/>
          </w:cols>
          <w:pgMar w:left="240" w:top="351" w:right="259" w:bottom="0" w:gutter="0" w:footer="0" w:header="0"/>
          <w:type w:val="continuous"/>
        </w:sectPr>
      </w:pPr>
    </w:p>
    <w:bookmarkStart w:id="1" w:name="page2"/>
    <w:bookmarkEnd w:id="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884555</wp:posOffset>
            </wp:positionH>
            <wp:positionV relativeFrom="page">
              <wp:posOffset>309880</wp:posOffset>
            </wp:positionV>
            <wp:extent cx="652145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-984885</wp:posOffset>
            </wp:positionV>
            <wp:extent cx="652145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-367665</wp:posOffset>
            </wp:positionV>
            <wp:extent cx="652145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248920</wp:posOffset>
            </wp:positionV>
            <wp:extent cx="652145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746760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911860</wp:posOffset>
            </wp:positionV>
            <wp:extent cx="1603375" cy="548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0337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20, 2006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19"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color w:val="auto"/>
        </w:rPr>
        <w:t xml:space="preserve">You are cordially invited to attend the </w:t>
      </w:r>
      <w:r>
        <w:rPr>
          <w:rFonts w:ascii="Arial" w:cs="Arial" w:eastAsia="Arial" w:hAnsi="Arial"/>
          <w:sz w:val="18"/>
          <w:szCs w:val="18"/>
          <w:b w:val="1"/>
          <w:bCs w:val="1"/>
          <w:color w:val="auto"/>
        </w:rPr>
        <w:t>2006 annual meeting of stockholders on Thursday, April 20, 2006,</w:t>
      </w:r>
      <w:r>
        <w:rPr>
          <w:rFonts w:ascii="Arial" w:cs="Arial" w:eastAsia="Arial" w:hAnsi="Arial"/>
          <w:sz w:val="18"/>
          <w:szCs w:val="18"/>
          <w:color w:val="auto"/>
        </w:rPr>
        <w:t xml:space="preserve"> at the cafeteria on our property at 12500 TI Boulevard, Dallas, Texas, at 10:00 a.m. (Dallas time). At the meeting we will:</w:t>
      </w:r>
    </w:p>
    <w:p>
      <w:pPr>
        <w:spacing w:after="0" w:line="180" w:lineRule="exact"/>
        <w:rPr>
          <w:sz w:val="20"/>
          <w:szCs w:val="20"/>
          <w:color w:val="auto"/>
        </w:rPr>
      </w:pPr>
    </w:p>
    <w:p>
      <w:pPr>
        <w:ind w:left="520" w:hanging="215"/>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 directors for the next year.</w:t>
      </w:r>
    </w:p>
    <w:p>
      <w:pPr>
        <w:spacing w:after="0" w:line="279" w:lineRule="exact"/>
        <w:rPr>
          <w:rFonts w:ascii="Arial" w:cs="Arial" w:eastAsia="Arial" w:hAnsi="Arial"/>
          <w:sz w:val="18"/>
          <w:szCs w:val="18"/>
          <w:color w:val="auto"/>
        </w:rPr>
      </w:pPr>
    </w:p>
    <w:p>
      <w:pPr>
        <w:ind w:left="520" w:right="140" w:hanging="215"/>
        <w:spacing w:after="0" w:line="268"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Consider and act upon a board proposal to ratify the appointment of Ernst &amp; Young LLP as the company’s independent registered public accounting firm for 2006.</w:t>
      </w:r>
    </w:p>
    <w:p>
      <w:pPr>
        <w:spacing w:after="0" w:line="212" w:lineRule="exact"/>
        <w:rPr>
          <w:rFonts w:ascii="Arial" w:cs="Arial" w:eastAsia="Arial" w:hAnsi="Arial"/>
          <w:sz w:val="18"/>
          <w:szCs w:val="18"/>
          <w:color w:val="auto"/>
        </w:rPr>
      </w:pPr>
    </w:p>
    <w:p>
      <w:pPr>
        <w:ind w:left="520" w:hanging="215"/>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Consider and act upon such other matters as may properly come before the meeting.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record at the close of business on February 21, 2006, are entitled to vote at the annual meeting.</w:t>
      </w:r>
    </w:p>
    <w:p>
      <w:pPr>
        <w:spacing w:after="0" w:line="219"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We urge you to vote your shares as promptly as possible by: (1) accessing the Internet web site, (2) calling the toll-free number or (3) signing, dating and mailing the enclosed proxy.</w:t>
      </w:r>
    </w:p>
    <w:p>
      <w:pPr>
        <w:spacing w:after="0" w:line="180"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10795</wp:posOffset>
            </wp:positionV>
            <wp:extent cx="2521585" cy="4800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2158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Joseph F. Hubach</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Senior Vice President,</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Secretary and</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General Counsel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9,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00" w:type="dxa"/>
            <w:vAlign w:val="bottom"/>
          </w:tcPr>
          <w:p>
            <w:pPr>
              <w:spacing w:after="0"/>
              <w:rPr>
                <w:sz w:val="19"/>
                <w:szCs w:val="19"/>
                <w:color w:val="auto"/>
              </w:rPr>
            </w:pPr>
          </w:p>
        </w:tc>
        <w:tc>
          <w:tcPr>
            <w:tcW w:w="7320" w:type="dxa"/>
            <w:vAlign w:val="bottom"/>
          </w:tcPr>
          <w:p>
            <w:pPr>
              <w:jc w:val="right"/>
              <w:ind w:right="4672"/>
              <w:spacing w:after="0"/>
              <w:rPr>
                <w:sz w:val="20"/>
                <w:szCs w:val="20"/>
                <w:color w:val="auto"/>
              </w:rPr>
            </w:pPr>
            <w:r>
              <w:rPr>
                <w:rFonts w:ascii="Arial" w:cs="Arial" w:eastAsia="Arial" w:hAnsi="Arial"/>
                <w:sz w:val="18"/>
                <w:szCs w:val="18"/>
                <w:b w:val="1"/>
                <w:bCs w:val="1"/>
                <w:color w:val="auto"/>
              </w:rPr>
              <w:t>TABLE OF CONTENTS</w:t>
            </w:r>
          </w:p>
        </w:tc>
      </w:tr>
      <w:tr>
        <w:trPr>
          <w:trHeight w:val="218"/>
        </w:trPr>
        <w:tc>
          <w:tcPr>
            <w:tcW w:w="4100" w:type="dxa"/>
            <w:vAlign w:val="bottom"/>
          </w:tcPr>
          <w:p>
            <w:pPr>
              <w:spacing w:after="0"/>
              <w:rPr>
                <w:sz w:val="18"/>
                <w:szCs w:val="18"/>
                <w:color w:val="auto"/>
              </w:rPr>
            </w:pPr>
          </w:p>
        </w:tc>
        <w:tc>
          <w:tcPr>
            <w:tcW w:w="7320" w:type="dxa"/>
            <w:vAlign w:val="bottom"/>
          </w:tcPr>
          <w:p>
            <w:pPr>
              <w:spacing w:after="0"/>
              <w:rPr>
                <w:sz w:val="18"/>
                <w:szCs w:val="18"/>
                <w:color w:val="auto"/>
              </w:rPr>
            </w:pPr>
          </w:p>
        </w:tc>
      </w:tr>
      <w:tr>
        <w:trPr>
          <w:trHeight w:val="243"/>
        </w:trPr>
        <w:tc>
          <w:tcPr>
            <w:tcW w:w="4100" w:type="dxa"/>
            <w:vAlign w:val="bottom"/>
            <w:shd w:val="clear" w:color="auto" w:fill="FFF3CE"/>
          </w:tcPr>
          <w:p>
            <w:pPr>
              <w:spacing w:after="0"/>
              <w:rPr>
                <w:sz w:val="21"/>
                <w:szCs w:val="21"/>
                <w:color w:val="auto"/>
              </w:rPr>
            </w:pPr>
          </w:p>
        </w:tc>
        <w:tc>
          <w:tcPr>
            <w:tcW w:w="7320" w:type="dxa"/>
            <w:vAlign w:val="bottom"/>
            <w:shd w:val="clear" w:color="auto" w:fill="FFF3CE"/>
          </w:tcPr>
          <w:p>
            <w:pPr>
              <w:jc w:val="right"/>
              <w:ind w:right="52"/>
              <w:spacing w:after="0"/>
              <w:rPr>
                <w:sz w:val="20"/>
                <w:szCs w:val="20"/>
                <w:color w:val="auto"/>
              </w:rPr>
            </w:pPr>
            <w:r>
              <w:rPr>
                <w:rFonts w:ascii="Arial" w:cs="Arial" w:eastAsia="Arial" w:hAnsi="Arial"/>
                <w:sz w:val="18"/>
                <w:szCs w:val="18"/>
                <w:b w:val="1"/>
                <w:bCs w:val="1"/>
                <w:color w:val="auto"/>
              </w:rPr>
              <w:t>Page</w:t>
            </w:r>
          </w:p>
        </w:tc>
      </w:tr>
      <w:tr>
        <w:trPr>
          <w:trHeight w:val="242"/>
        </w:trPr>
        <w:tc>
          <w:tcPr>
            <w:tcW w:w="4100" w:type="dxa"/>
            <w:vAlign w:val="bottom"/>
          </w:tcPr>
          <w:p>
            <w:pPr>
              <w:spacing w:after="0"/>
              <w:rPr>
                <w:sz w:val="20"/>
                <w:szCs w:val="20"/>
                <w:color w:val="auto"/>
              </w:rPr>
            </w:pPr>
            <w:r>
              <w:rPr>
                <w:rFonts w:ascii="Arial" w:cs="Arial" w:eastAsia="Arial" w:hAnsi="Arial"/>
                <w:sz w:val="18"/>
                <w:szCs w:val="18"/>
                <w:color w:val="auto"/>
              </w:rPr>
              <w:t>Voting Procedures</w:t>
            </w:r>
          </w:p>
        </w:tc>
        <w:tc>
          <w:tcPr>
            <w:tcW w:w="7320" w:type="dxa"/>
            <w:vAlign w:val="bottom"/>
          </w:tcPr>
          <w:p>
            <w:pPr>
              <w:jc w:val="right"/>
              <w:ind w:right="52"/>
              <w:spacing w:after="0"/>
              <w:rPr>
                <w:sz w:val="20"/>
                <w:szCs w:val="20"/>
                <w:color w:val="auto"/>
              </w:rPr>
            </w:pPr>
            <w:r>
              <w:rPr>
                <w:rFonts w:ascii="Arial" w:cs="Arial" w:eastAsia="Arial" w:hAnsi="Arial"/>
                <w:sz w:val="18"/>
                <w:szCs w:val="18"/>
                <w:color w:val="auto"/>
              </w:rPr>
              <w:t>1</w:t>
            </w:r>
          </w:p>
        </w:tc>
      </w:tr>
      <w:tr>
        <w:trPr>
          <w:trHeight w:val="244"/>
        </w:trPr>
        <w:tc>
          <w:tcPr>
            <w:tcW w:w="4100" w:type="dxa"/>
            <w:vAlign w:val="bottom"/>
            <w:shd w:val="clear" w:color="auto" w:fill="FFF3CE"/>
          </w:tcPr>
          <w:p>
            <w:pPr>
              <w:spacing w:after="0"/>
              <w:rPr>
                <w:sz w:val="20"/>
                <w:szCs w:val="20"/>
                <w:color w:val="auto"/>
              </w:rPr>
            </w:pPr>
            <w:r>
              <w:rPr>
                <w:rFonts w:ascii="Arial" w:cs="Arial" w:eastAsia="Arial" w:hAnsi="Arial"/>
                <w:sz w:val="18"/>
                <w:szCs w:val="18"/>
                <w:color w:val="auto"/>
              </w:rPr>
              <w:t>Election of Directors</w:t>
            </w:r>
          </w:p>
        </w:tc>
        <w:tc>
          <w:tcPr>
            <w:tcW w:w="73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1</w:t>
            </w:r>
          </w:p>
        </w:tc>
      </w:tr>
      <w:tr>
        <w:trPr>
          <w:trHeight w:val="242"/>
        </w:trPr>
        <w:tc>
          <w:tcPr>
            <w:tcW w:w="4100" w:type="dxa"/>
            <w:vAlign w:val="bottom"/>
          </w:tcPr>
          <w:p>
            <w:pPr>
              <w:ind w:left="140"/>
              <w:spacing w:after="0"/>
              <w:rPr>
                <w:sz w:val="20"/>
                <w:szCs w:val="20"/>
                <w:color w:val="auto"/>
              </w:rPr>
            </w:pPr>
            <w:r>
              <w:rPr>
                <w:rFonts w:ascii="Arial" w:cs="Arial" w:eastAsia="Arial" w:hAnsi="Arial"/>
                <w:sz w:val="18"/>
                <w:szCs w:val="18"/>
                <w:color w:val="auto"/>
              </w:rPr>
              <w:t>Nominees for Directorship</w:t>
            </w:r>
          </w:p>
        </w:tc>
        <w:tc>
          <w:tcPr>
            <w:tcW w:w="7320" w:type="dxa"/>
            <w:vAlign w:val="bottom"/>
          </w:tcPr>
          <w:p>
            <w:pPr>
              <w:jc w:val="right"/>
              <w:ind w:right="52"/>
              <w:spacing w:after="0"/>
              <w:rPr>
                <w:sz w:val="20"/>
                <w:szCs w:val="20"/>
                <w:color w:val="auto"/>
              </w:rPr>
            </w:pPr>
            <w:r>
              <w:rPr>
                <w:rFonts w:ascii="Arial" w:cs="Arial" w:eastAsia="Arial" w:hAnsi="Arial"/>
                <w:sz w:val="18"/>
                <w:szCs w:val="18"/>
                <w:color w:val="auto"/>
              </w:rPr>
              <w:t>1</w:t>
            </w:r>
          </w:p>
        </w:tc>
      </w:tr>
      <w:tr>
        <w:trPr>
          <w:trHeight w:val="244"/>
        </w:trPr>
        <w:tc>
          <w:tcPr>
            <w:tcW w:w="4100" w:type="dxa"/>
            <w:vAlign w:val="bottom"/>
            <w:shd w:val="clear" w:color="auto" w:fill="FFF3CE"/>
          </w:tcPr>
          <w:p>
            <w:pPr>
              <w:ind w:left="140"/>
              <w:spacing w:after="0"/>
              <w:rPr>
                <w:sz w:val="20"/>
                <w:szCs w:val="20"/>
                <w:color w:val="auto"/>
              </w:rPr>
            </w:pPr>
            <w:r>
              <w:rPr>
                <w:rFonts w:ascii="Arial" w:cs="Arial" w:eastAsia="Arial" w:hAnsi="Arial"/>
                <w:sz w:val="18"/>
                <w:szCs w:val="18"/>
                <w:color w:val="auto"/>
              </w:rPr>
              <w:t>Director Nomination Process</w:t>
            </w:r>
          </w:p>
        </w:tc>
        <w:tc>
          <w:tcPr>
            <w:tcW w:w="73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5</w:t>
            </w:r>
          </w:p>
        </w:tc>
      </w:tr>
      <w:tr>
        <w:trPr>
          <w:trHeight w:val="242"/>
        </w:trPr>
        <w:tc>
          <w:tcPr>
            <w:tcW w:w="4100" w:type="dxa"/>
            <w:vAlign w:val="bottom"/>
          </w:tcPr>
          <w:p>
            <w:pPr>
              <w:ind w:left="140"/>
              <w:spacing w:after="0"/>
              <w:rPr>
                <w:sz w:val="20"/>
                <w:szCs w:val="20"/>
                <w:color w:val="auto"/>
              </w:rPr>
            </w:pPr>
            <w:r>
              <w:rPr>
                <w:rFonts w:ascii="Arial" w:cs="Arial" w:eastAsia="Arial" w:hAnsi="Arial"/>
                <w:sz w:val="18"/>
                <w:szCs w:val="18"/>
                <w:color w:val="auto"/>
              </w:rPr>
              <w:t>Stockholder Communications with the Board</w:t>
            </w:r>
          </w:p>
        </w:tc>
        <w:tc>
          <w:tcPr>
            <w:tcW w:w="7320" w:type="dxa"/>
            <w:vAlign w:val="bottom"/>
          </w:tcPr>
          <w:p>
            <w:pPr>
              <w:jc w:val="right"/>
              <w:ind w:right="52"/>
              <w:spacing w:after="0"/>
              <w:rPr>
                <w:sz w:val="20"/>
                <w:szCs w:val="20"/>
                <w:color w:val="auto"/>
              </w:rPr>
            </w:pPr>
            <w:r>
              <w:rPr>
                <w:rFonts w:ascii="Arial" w:cs="Arial" w:eastAsia="Arial" w:hAnsi="Arial"/>
                <w:sz w:val="18"/>
                <w:szCs w:val="18"/>
                <w:color w:val="auto"/>
              </w:rPr>
              <w:t>5</w:t>
            </w:r>
          </w:p>
        </w:tc>
      </w:tr>
      <w:tr>
        <w:trPr>
          <w:trHeight w:val="244"/>
        </w:trPr>
        <w:tc>
          <w:tcPr>
            <w:tcW w:w="4100" w:type="dxa"/>
            <w:vAlign w:val="bottom"/>
            <w:shd w:val="clear" w:color="auto" w:fill="FFF3CE"/>
          </w:tcPr>
          <w:p>
            <w:pPr>
              <w:ind w:left="140"/>
              <w:spacing w:after="0"/>
              <w:rPr>
                <w:sz w:val="20"/>
                <w:szCs w:val="20"/>
                <w:color w:val="auto"/>
              </w:rPr>
            </w:pPr>
            <w:r>
              <w:rPr>
                <w:rFonts w:ascii="Arial" w:cs="Arial" w:eastAsia="Arial" w:hAnsi="Arial"/>
                <w:sz w:val="18"/>
                <w:szCs w:val="18"/>
                <w:color w:val="auto"/>
              </w:rPr>
              <w:t>Director Independence</w:t>
            </w:r>
          </w:p>
        </w:tc>
        <w:tc>
          <w:tcPr>
            <w:tcW w:w="73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6</w:t>
            </w:r>
          </w:p>
        </w:tc>
      </w:tr>
      <w:tr>
        <w:trPr>
          <w:trHeight w:val="242"/>
        </w:trPr>
        <w:tc>
          <w:tcPr>
            <w:tcW w:w="4100" w:type="dxa"/>
            <w:vAlign w:val="bottom"/>
            <w:tcBorders>
              <w:bottom w:val="single" w:sz="8" w:color="FFF3CE"/>
            </w:tcBorders>
          </w:tcPr>
          <w:p>
            <w:pPr>
              <w:ind w:left="140"/>
              <w:spacing w:after="0"/>
              <w:rPr>
                <w:sz w:val="20"/>
                <w:szCs w:val="20"/>
                <w:color w:val="auto"/>
              </w:rPr>
            </w:pPr>
            <w:r>
              <w:rPr>
                <w:rFonts w:ascii="Arial" w:cs="Arial" w:eastAsia="Arial" w:hAnsi="Arial"/>
                <w:sz w:val="18"/>
                <w:szCs w:val="18"/>
                <w:color w:val="auto"/>
              </w:rPr>
              <w:t>Directors’ Ages, Service and Stock Ownership</w:t>
            </w:r>
          </w:p>
        </w:tc>
        <w:tc>
          <w:tcPr>
            <w:tcW w:w="7320" w:type="dxa"/>
            <w:vAlign w:val="bottom"/>
            <w:tcBorders>
              <w:bottom w:val="single" w:sz="8" w:color="FFF3CE"/>
            </w:tcBorders>
          </w:tcPr>
          <w:p>
            <w:pPr>
              <w:jc w:val="right"/>
              <w:ind w:right="52"/>
              <w:spacing w:after="0"/>
              <w:rPr>
                <w:sz w:val="20"/>
                <w:szCs w:val="20"/>
                <w:color w:val="auto"/>
              </w:rPr>
            </w:pPr>
            <w:r>
              <w:rPr>
                <w:rFonts w:ascii="Arial" w:cs="Arial" w:eastAsia="Arial" w:hAnsi="Arial"/>
                <w:sz w:val="18"/>
                <w:szCs w:val="18"/>
                <w:color w:val="auto"/>
              </w:rPr>
              <w:t>8</w:t>
            </w:r>
          </w:p>
        </w:tc>
      </w:tr>
    </w:tbl>
    <w:p>
      <w:pPr>
        <w:sectPr>
          <w:pgSz w:w="11900" w:h="16900" w:orient="portrait"/>
          <w:cols w:equalWidth="0" w:num="1">
            <w:col w:w="11420"/>
          </w:cols>
          <w:pgMar w:left="240" w:top="860"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500" w:type="dxa"/>
            <w:vAlign w:val="bottom"/>
            <w:shd w:val="clear" w:color="auto" w:fill="FFF3CE"/>
          </w:tcPr>
          <w:p>
            <w:pPr>
              <w:spacing w:after="0"/>
              <w:rPr>
                <w:sz w:val="20"/>
                <w:szCs w:val="20"/>
                <w:color w:val="auto"/>
              </w:rPr>
            </w:pPr>
            <w:r>
              <w:rPr>
                <w:rFonts w:ascii="Arial" w:cs="Arial" w:eastAsia="Arial" w:hAnsi="Arial"/>
                <w:sz w:val="18"/>
                <w:szCs w:val="18"/>
                <w:color w:val="auto"/>
              </w:rPr>
              <w:t>Board Organization</w:t>
            </w:r>
          </w:p>
        </w:tc>
        <w:tc>
          <w:tcPr>
            <w:tcW w:w="29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9</w:t>
            </w:r>
          </w:p>
        </w:tc>
      </w:tr>
      <w:tr>
        <w:trPr>
          <w:trHeight w:val="242"/>
        </w:trPr>
        <w:tc>
          <w:tcPr>
            <w:tcW w:w="8500" w:type="dxa"/>
            <w:vAlign w:val="bottom"/>
          </w:tcPr>
          <w:p>
            <w:pPr>
              <w:ind w:left="140"/>
              <w:spacing w:after="0"/>
              <w:rPr>
                <w:sz w:val="20"/>
                <w:szCs w:val="20"/>
                <w:color w:val="auto"/>
              </w:rPr>
            </w:pPr>
            <w:r>
              <w:rPr>
                <w:rFonts w:ascii="Arial" w:cs="Arial" w:eastAsia="Arial" w:hAnsi="Arial"/>
                <w:sz w:val="18"/>
                <w:szCs w:val="18"/>
                <w:color w:val="auto"/>
              </w:rPr>
              <w:t>Board and Committee Meetings</w:t>
            </w:r>
          </w:p>
        </w:tc>
        <w:tc>
          <w:tcPr>
            <w:tcW w:w="2920" w:type="dxa"/>
            <w:vAlign w:val="bottom"/>
          </w:tcPr>
          <w:p>
            <w:pPr>
              <w:jc w:val="right"/>
              <w:ind w:right="52"/>
              <w:spacing w:after="0"/>
              <w:rPr>
                <w:sz w:val="20"/>
                <w:szCs w:val="20"/>
                <w:color w:val="auto"/>
              </w:rPr>
            </w:pPr>
            <w:r>
              <w:rPr>
                <w:rFonts w:ascii="Arial" w:cs="Arial" w:eastAsia="Arial" w:hAnsi="Arial"/>
                <w:sz w:val="18"/>
                <w:szCs w:val="18"/>
                <w:color w:val="auto"/>
              </w:rPr>
              <w:t>9</w:t>
            </w:r>
          </w:p>
        </w:tc>
      </w:tr>
      <w:tr>
        <w:trPr>
          <w:trHeight w:val="244"/>
        </w:trPr>
        <w:tc>
          <w:tcPr>
            <w:tcW w:w="8500" w:type="dxa"/>
            <w:vAlign w:val="bottom"/>
            <w:shd w:val="clear" w:color="auto" w:fill="FFF3CE"/>
          </w:tcPr>
          <w:p>
            <w:pPr>
              <w:ind w:left="140"/>
              <w:spacing w:after="0"/>
              <w:rPr>
                <w:sz w:val="20"/>
                <w:szCs w:val="20"/>
                <w:color w:val="auto"/>
              </w:rPr>
            </w:pPr>
            <w:r>
              <w:rPr>
                <w:rFonts w:ascii="Arial" w:cs="Arial" w:eastAsia="Arial" w:hAnsi="Arial"/>
                <w:sz w:val="18"/>
                <w:szCs w:val="18"/>
                <w:color w:val="auto"/>
              </w:rPr>
              <w:t>Committees of the Board</w:t>
            </w:r>
          </w:p>
        </w:tc>
        <w:tc>
          <w:tcPr>
            <w:tcW w:w="29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9</w:t>
            </w:r>
          </w:p>
        </w:tc>
      </w:tr>
      <w:tr>
        <w:trPr>
          <w:trHeight w:val="242"/>
        </w:trPr>
        <w:tc>
          <w:tcPr>
            <w:tcW w:w="8500" w:type="dxa"/>
            <w:vAlign w:val="bottom"/>
          </w:tcPr>
          <w:p>
            <w:pPr>
              <w:spacing w:after="0"/>
              <w:rPr>
                <w:sz w:val="20"/>
                <w:szCs w:val="20"/>
                <w:color w:val="auto"/>
              </w:rPr>
            </w:pPr>
            <w:r>
              <w:rPr>
                <w:rFonts w:ascii="Arial" w:cs="Arial" w:eastAsia="Arial" w:hAnsi="Arial"/>
                <w:sz w:val="18"/>
                <w:szCs w:val="18"/>
                <w:color w:val="auto"/>
              </w:rPr>
              <w:t>Corporate Governance</w:t>
            </w:r>
          </w:p>
        </w:tc>
        <w:tc>
          <w:tcPr>
            <w:tcW w:w="2920" w:type="dxa"/>
            <w:vAlign w:val="bottom"/>
          </w:tcPr>
          <w:p>
            <w:pPr>
              <w:jc w:val="right"/>
              <w:ind w:right="52"/>
              <w:spacing w:after="0"/>
              <w:rPr>
                <w:sz w:val="20"/>
                <w:szCs w:val="20"/>
                <w:color w:val="auto"/>
              </w:rPr>
            </w:pPr>
            <w:r>
              <w:rPr>
                <w:rFonts w:ascii="Arial" w:cs="Arial" w:eastAsia="Arial" w:hAnsi="Arial"/>
                <w:sz w:val="18"/>
                <w:szCs w:val="18"/>
                <w:color w:val="auto"/>
              </w:rPr>
              <w:t>11</w:t>
            </w:r>
          </w:p>
        </w:tc>
      </w:tr>
      <w:tr>
        <w:trPr>
          <w:trHeight w:val="244"/>
        </w:trPr>
        <w:tc>
          <w:tcPr>
            <w:tcW w:w="8500" w:type="dxa"/>
            <w:vAlign w:val="bottom"/>
            <w:shd w:val="clear" w:color="auto" w:fill="FFF3CE"/>
          </w:tcPr>
          <w:p>
            <w:pPr>
              <w:ind w:left="140"/>
              <w:spacing w:after="0"/>
              <w:rPr>
                <w:sz w:val="20"/>
                <w:szCs w:val="20"/>
                <w:color w:val="auto"/>
              </w:rPr>
            </w:pPr>
            <w:r>
              <w:rPr>
                <w:rFonts w:ascii="Arial" w:cs="Arial" w:eastAsia="Arial" w:hAnsi="Arial"/>
                <w:sz w:val="18"/>
                <w:szCs w:val="18"/>
                <w:color w:val="auto"/>
              </w:rPr>
              <w:t>Governance and Stockholder Relations Committee Report</w:t>
            </w:r>
          </w:p>
        </w:tc>
        <w:tc>
          <w:tcPr>
            <w:tcW w:w="29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11</w:t>
            </w:r>
          </w:p>
        </w:tc>
      </w:tr>
      <w:tr>
        <w:trPr>
          <w:trHeight w:val="242"/>
        </w:trPr>
        <w:tc>
          <w:tcPr>
            <w:tcW w:w="8500" w:type="dxa"/>
            <w:vAlign w:val="bottom"/>
          </w:tcPr>
          <w:p>
            <w:pPr>
              <w:ind w:left="140"/>
              <w:spacing w:after="0"/>
              <w:rPr>
                <w:sz w:val="20"/>
                <w:szCs w:val="20"/>
                <w:color w:val="auto"/>
              </w:rPr>
            </w:pPr>
            <w:r>
              <w:rPr>
                <w:rFonts w:ascii="Arial" w:cs="Arial" w:eastAsia="Arial" w:hAnsi="Arial"/>
                <w:sz w:val="18"/>
                <w:szCs w:val="18"/>
                <w:color w:val="auto"/>
              </w:rPr>
              <w:t>Governance Documents</w:t>
            </w:r>
          </w:p>
        </w:tc>
        <w:tc>
          <w:tcPr>
            <w:tcW w:w="2920" w:type="dxa"/>
            <w:vAlign w:val="bottom"/>
          </w:tcPr>
          <w:p>
            <w:pPr>
              <w:jc w:val="right"/>
              <w:ind w:right="52"/>
              <w:spacing w:after="0"/>
              <w:rPr>
                <w:sz w:val="20"/>
                <w:szCs w:val="20"/>
                <w:color w:val="auto"/>
              </w:rPr>
            </w:pPr>
            <w:r>
              <w:rPr>
                <w:rFonts w:ascii="Arial" w:cs="Arial" w:eastAsia="Arial" w:hAnsi="Arial"/>
                <w:sz w:val="18"/>
                <w:szCs w:val="18"/>
                <w:color w:val="auto"/>
              </w:rPr>
              <w:t>12</w:t>
            </w:r>
          </w:p>
        </w:tc>
      </w:tr>
      <w:tr>
        <w:trPr>
          <w:trHeight w:val="244"/>
        </w:trPr>
        <w:tc>
          <w:tcPr>
            <w:tcW w:w="8500" w:type="dxa"/>
            <w:vAlign w:val="bottom"/>
            <w:shd w:val="clear" w:color="auto" w:fill="FFF3CE"/>
          </w:tcPr>
          <w:p>
            <w:pPr>
              <w:spacing w:after="0"/>
              <w:rPr>
                <w:sz w:val="20"/>
                <w:szCs w:val="20"/>
                <w:color w:val="auto"/>
              </w:rPr>
            </w:pPr>
            <w:r>
              <w:rPr>
                <w:rFonts w:ascii="Arial" w:cs="Arial" w:eastAsia="Arial" w:hAnsi="Arial"/>
                <w:sz w:val="18"/>
                <w:szCs w:val="18"/>
                <w:color w:val="auto"/>
              </w:rPr>
              <w:t>Director Compensation</w:t>
            </w:r>
          </w:p>
        </w:tc>
        <w:tc>
          <w:tcPr>
            <w:tcW w:w="29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12</w:t>
            </w:r>
          </w:p>
        </w:tc>
      </w:tr>
      <w:tr>
        <w:trPr>
          <w:trHeight w:val="242"/>
        </w:trPr>
        <w:tc>
          <w:tcPr>
            <w:tcW w:w="8500" w:type="dxa"/>
            <w:vAlign w:val="bottom"/>
          </w:tcPr>
          <w:p>
            <w:pPr>
              <w:spacing w:after="0"/>
              <w:rPr>
                <w:sz w:val="20"/>
                <w:szCs w:val="20"/>
                <w:color w:val="auto"/>
              </w:rPr>
            </w:pPr>
            <w:r>
              <w:rPr>
                <w:rFonts w:ascii="Arial" w:cs="Arial" w:eastAsia="Arial" w:hAnsi="Arial"/>
                <w:sz w:val="18"/>
                <w:szCs w:val="18"/>
                <w:color w:val="auto"/>
              </w:rPr>
              <w:t>Executive Compensation</w:t>
            </w:r>
          </w:p>
        </w:tc>
        <w:tc>
          <w:tcPr>
            <w:tcW w:w="2920" w:type="dxa"/>
            <w:vAlign w:val="bottom"/>
          </w:tcPr>
          <w:p>
            <w:pPr>
              <w:jc w:val="right"/>
              <w:ind w:right="52"/>
              <w:spacing w:after="0"/>
              <w:rPr>
                <w:sz w:val="20"/>
                <w:szCs w:val="20"/>
                <w:color w:val="auto"/>
              </w:rPr>
            </w:pPr>
            <w:r>
              <w:rPr>
                <w:rFonts w:ascii="Arial" w:cs="Arial" w:eastAsia="Arial" w:hAnsi="Arial"/>
                <w:sz w:val="18"/>
                <w:szCs w:val="18"/>
                <w:color w:val="auto"/>
              </w:rPr>
              <w:t>14</w:t>
            </w:r>
          </w:p>
        </w:tc>
      </w:tr>
      <w:tr>
        <w:trPr>
          <w:trHeight w:val="244"/>
        </w:trPr>
        <w:tc>
          <w:tcPr>
            <w:tcW w:w="8500" w:type="dxa"/>
            <w:vAlign w:val="bottom"/>
            <w:shd w:val="clear" w:color="auto" w:fill="FFF3CE"/>
          </w:tcPr>
          <w:p>
            <w:pPr>
              <w:ind w:left="140"/>
              <w:spacing w:after="0"/>
              <w:rPr>
                <w:sz w:val="20"/>
                <w:szCs w:val="20"/>
                <w:color w:val="auto"/>
              </w:rPr>
            </w:pPr>
            <w:r>
              <w:rPr>
                <w:rFonts w:ascii="Arial" w:cs="Arial" w:eastAsia="Arial" w:hAnsi="Arial"/>
                <w:sz w:val="18"/>
                <w:szCs w:val="18"/>
                <w:color w:val="auto"/>
              </w:rPr>
              <w:t>Summary Compensation Table</w:t>
            </w:r>
          </w:p>
        </w:tc>
        <w:tc>
          <w:tcPr>
            <w:tcW w:w="29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14</w:t>
            </w:r>
          </w:p>
        </w:tc>
      </w:tr>
      <w:tr>
        <w:trPr>
          <w:trHeight w:val="242"/>
        </w:trPr>
        <w:tc>
          <w:tcPr>
            <w:tcW w:w="8500" w:type="dxa"/>
            <w:vAlign w:val="bottom"/>
          </w:tcPr>
          <w:p>
            <w:pPr>
              <w:ind w:left="140"/>
              <w:spacing w:after="0"/>
              <w:rPr>
                <w:sz w:val="20"/>
                <w:szCs w:val="20"/>
                <w:color w:val="auto"/>
              </w:rPr>
            </w:pPr>
            <w:r>
              <w:rPr>
                <w:rFonts w:ascii="Arial" w:cs="Arial" w:eastAsia="Arial" w:hAnsi="Arial"/>
                <w:sz w:val="18"/>
                <w:szCs w:val="18"/>
                <w:color w:val="auto"/>
              </w:rPr>
              <w:t>Table of Option Grants in 2005</w:t>
            </w:r>
          </w:p>
        </w:tc>
        <w:tc>
          <w:tcPr>
            <w:tcW w:w="2920" w:type="dxa"/>
            <w:vAlign w:val="bottom"/>
          </w:tcPr>
          <w:p>
            <w:pPr>
              <w:jc w:val="right"/>
              <w:ind w:right="52"/>
              <w:spacing w:after="0"/>
              <w:rPr>
                <w:sz w:val="20"/>
                <w:szCs w:val="20"/>
                <w:color w:val="auto"/>
              </w:rPr>
            </w:pPr>
            <w:r>
              <w:rPr>
                <w:rFonts w:ascii="Arial" w:cs="Arial" w:eastAsia="Arial" w:hAnsi="Arial"/>
                <w:sz w:val="18"/>
                <w:szCs w:val="18"/>
                <w:color w:val="auto"/>
              </w:rPr>
              <w:t>15</w:t>
            </w:r>
          </w:p>
        </w:tc>
      </w:tr>
      <w:tr>
        <w:trPr>
          <w:trHeight w:val="244"/>
        </w:trPr>
        <w:tc>
          <w:tcPr>
            <w:tcW w:w="8500" w:type="dxa"/>
            <w:vAlign w:val="bottom"/>
            <w:shd w:val="clear" w:color="auto" w:fill="FFF3CE"/>
          </w:tcPr>
          <w:p>
            <w:pPr>
              <w:ind w:left="140"/>
              <w:spacing w:after="0"/>
              <w:rPr>
                <w:sz w:val="20"/>
                <w:szCs w:val="20"/>
                <w:color w:val="auto"/>
              </w:rPr>
            </w:pPr>
            <w:r>
              <w:rPr>
                <w:rFonts w:ascii="Arial" w:cs="Arial" w:eastAsia="Arial" w:hAnsi="Arial"/>
                <w:sz w:val="18"/>
                <w:szCs w:val="18"/>
                <w:color w:val="auto"/>
              </w:rPr>
              <w:t>Table of Option Exercises in 2005 and Year-End Option Values</w:t>
            </w:r>
          </w:p>
        </w:tc>
        <w:tc>
          <w:tcPr>
            <w:tcW w:w="29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16</w:t>
            </w:r>
          </w:p>
        </w:tc>
      </w:tr>
      <w:tr>
        <w:trPr>
          <w:trHeight w:val="242"/>
        </w:trPr>
        <w:tc>
          <w:tcPr>
            <w:tcW w:w="8500" w:type="dxa"/>
            <w:vAlign w:val="bottom"/>
          </w:tcPr>
          <w:p>
            <w:pPr>
              <w:ind w:left="140"/>
              <w:spacing w:after="0"/>
              <w:rPr>
                <w:sz w:val="20"/>
                <w:szCs w:val="20"/>
                <w:color w:val="auto"/>
              </w:rPr>
            </w:pPr>
            <w:r>
              <w:rPr>
                <w:rFonts w:ascii="Arial" w:cs="Arial" w:eastAsia="Arial" w:hAnsi="Arial"/>
                <w:sz w:val="18"/>
                <w:szCs w:val="18"/>
                <w:color w:val="auto"/>
              </w:rPr>
              <w:t>Pension Plan Table</w:t>
            </w:r>
          </w:p>
        </w:tc>
        <w:tc>
          <w:tcPr>
            <w:tcW w:w="2920" w:type="dxa"/>
            <w:vAlign w:val="bottom"/>
          </w:tcPr>
          <w:p>
            <w:pPr>
              <w:jc w:val="right"/>
              <w:ind w:right="52"/>
              <w:spacing w:after="0"/>
              <w:rPr>
                <w:sz w:val="20"/>
                <w:szCs w:val="20"/>
                <w:color w:val="auto"/>
              </w:rPr>
            </w:pPr>
            <w:r>
              <w:rPr>
                <w:rFonts w:ascii="Arial" w:cs="Arial" w:eastAsia="Arial" w:hAnsi="Arial"/>
                <w:sz w:val="18"/>
                <w:szCs w:val="18"/>
                <w:color w:val="auto"/>
              </w:rPr>
              <w:t>16</w:t>
            </w:r>
          </w:p>
        </w:tc>
      </w:tr>
      <w:tr>
        <w:trPr>
          <w:trHeight w:val="244"/>
        </w:trPr>
        <w:tc>
          <w:tcPr>
            <w:tcW w:w="8500" w:type="dxa"/>
            <w:vAlign w:val="bottom"/>
            <w:shd w:val="clear" w:color="auto" w:fill="FFF3CE"/>
          </w:tcPr>
          <w:p>
            <w:pPr>
              <w:spacing w:after="0"/>
              <w:rPr>
                <w:sz w:val="20"/>
                <w:szCs w:val="20"/>
                <w:color w:val="auto"/>
              </w:rPr>
            </w:pPr>
            <w:r>
              <w:rPr>
                <w:rFonts w:ascii="Arial" w:cs="Arial" w:eastAsia="Arial" w:hAnsi="Arial"/>
                <w:sz w:val="18"/>
                <w:szCs w:val="18"/>
                <w:color w:val="auto"/>
              </w:rPr>
              <w:t>Compensation Committee Report</w:t>
            </w:r>
          </w:p>
        </w:tc>
        <w:tc>
          <w:tcPr>
            <w:tcW w:w="29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18</w:t>
            </w:r>
          </w:p>
        </w:tc>
      </w:tr>
      <w:tr>
        <w:trPr>
          <w:trHeight w:val="242"/>
        </w:trPr>
        <w:tc>
          <w:tcPr>
            <w:tcW w:w="8500" w:type="dxa"/>
            <w:vAlign w:val="bottom"/>
          </w:tcPr>
          <w:p>
            <w:pPr>
              <w:spacing w:after="0"/>
              <w:rPr>
                <w:sz w:val="20"/>
                <w:szCs w:val="20"/>
                <w:color w:val="auto"/>
              </w:rPr>
            </w:pPr>
            <w:r>
              <w:rPr>
                <w:rFonts w:ascii="Arial" w:cs="Arial" w:eastAsia="Arial" w:hAnsi="Arial"/>
                <w:sz w:val="18"/>
                <w:szCs w:val="18"/>
                <w:color w:val="auto"/>
              </w:rPr>
              <w:t>Comparison of Total Shareholder Return</w:t>
            </w:r>
          </w:p>
        </w:tc>
        <w:tc>
          <w:tcPr>
            <w:tcW w:w="2920" w:type="dxa"/>
            <w:vAlign w:val="bottom"/>
          </w:tcPr>
          <w:p>
            <w:pPr>
              <w:jc w:val="right"/>
              <w:ind w:right="52"/>
              <w:spacing w:after="0"/>
              <w:rPr>
                <w:sz w:val="20"/>
                <w:szCs w:val="20"/>
                <w:color w:val="auto"/>
              </w:rPr>
            </w:pPr>
            <w:r>
              <w:rPr>
                <w:rFonts w:ascii="Arial" w:cs="Arial" w:eastAsia="Arial" w:hAnsi="Arial"/>
                <w:sz w:val="18"/>
                <w:szCs w:val="18"/>
                <w:color w:val="auto"/>
              </w:rPr>
              <w:t>23</w:t>
            </w:r>
          </w:p>
        </w:tc>
      </w:tr>
      <w:tr>
        <w:trPr>
          <w:trHeight w:val="244"/>
        </w:trPr>
        <w:tc>
          <w:tcPr>
            <w:tcW w:w="8500" w:type="dxa"/>
            <w:vAlign w:val="bottom"/>
            <w:shd w:val="clear" w:color="auto" w:fill="FFF3CE"/>
          </w:tcPr>
          <w:p>
            <w:pPr>
              <w:spacing w:after="0"/>
              <w:rPr>
                <w:sz w:val="20"/>
                <w:szCs w:val="20"/>
                <w:color w:val="auto"/>
              </w:rPr>
            </w:pPr>
            <w:r>
              <w:rPr>
                <w:rFonts w:ascii="Arial" w:cs="Arial" w:eastAsia="Arial" w:hAnsi="Arial"/>
                <w:sz w:val="18"/>
                <w:szCs w:val="18"/>
                <w:color w:val="auto"/>
              </w:rPr>
              <w:t>Audit Committee Report</w:t>
            </w:r>
          </w:p>
        </w:tc>
        <w:tc>
          <w:tcPr>
            <w:tcW w:w="29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24</w:t>
            </w:r>
          </w:p>
        </w:tc>
      </w:tr>
      <w:tr>
        <w:trPr>
          <w:trHeight w:val="242"/>
        </w:trPr>
        <w:tc>
          <w:tcPr>
            <w:tcW w:w="8500" w:type="dxa"/>
            <w:vAlign w:val="bottom"/>
          </w:tcPr>
          <w:p>
            <w:pPr>
              <w:spacing w:after="0"/>
              <w:rPr>
                <w:sz w:val="20"/>
                <w:szCs w:val="20"/>
                <w:color w:val="auto"/>
              </w:rPr>
            </w:pPr>
            <w:r>
              <w:rPr>
                <w:rFonts w:ascii="Arial" w:cs="Arial" w:eastAsia="Arial" w:hAnsi="Arial"/>
                <w:sz w:val="18"/>
                <w:szCs w:val="18"/>
                <w:color w:val="auto"/>
              </w:rPr>
              <w:t>Proposal to Ratify Appointment of Independent Registered Public Accounting Firm</w:t>
            </w:r>
          </w:p>
        </w:tc>
        <w:tc>
          <w:tcPr>
            <w:tcW w:w="2920" w:type="dxa"/>
            <w:vAlign w:val="bottom"/>
          </w:tcPr>
          <w:p>
            <w:pPr>
              <w:jc w:val="right"/>
              <w:ind w:right="52"/>
              <w:spacing w:after="0"/>
              <w:rPr>
                <w:sz w:val="20"/>
                <w:szCs w:val="20"/>
                <w:color w:val="auto"/>
              </w:rPr>
            </w:pPr>
            <w:r>
              <w:rPr>
                <w:rFonts w:ascii="Arial" w:cs="Arial" w:eastAsia="Arial" w:hAnsi="Arial"/>
                <w:sz w:val="18"/>
                <w:szCs w:val="18"/>
                <w:color w:val="auto"/>
              </w:rPr>
              <w:t>24</w:t>
            </w:r>
          </w:p>
        </w:tc>
      </w:tr>
      <w:tr>
        <w:trPr>
          <w:trHeight w:val="244"/>
        </w:trPr>
        <w:tc>
          <w:tcPr>
            <w:tcW w:w="8500" w:type="dxa"/>
            <w:vAlign w:val="bottom"/>
            <w:shd w:val="clear" w:color="auto" w:fill="FFF3CE"/>
          </w:tcPr>
          <w:p>
            <w:pPr>
              <w:spacing w:after="0"/>
              <w:rPr>
                <w:sz w:val="20"/>
                <w:szCs w:val="20"/>
                <w:color w:val="auto"/>
              </w:rPr>
            </w:pPr>
            <w:r>
              <w:rPr>
                <w:rFonts w:ascii="Arial" w:cs="Arial" w:eastAsia="Arial" w:hAnsi="Arial"/>
                <w:sz w:val="18"/>
                <w:szCs w:val="18"/>
                <w:color w:val="auto"/>
              </w:rPr>
              <w:t>Additional Information</w:t>
            </w:r>
          </w:p>
        </w:tc>
        <w:tc>
          <w:tcPr>
            <w:tcW w:w="29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25</w:t>
            </w:r>
          </w:p>
        </w:tc>
      </w:tr>
      <w:tr>
        <w:trPr>
          <w:trHeight w:val="242"/>
        </w:trPr>
        <w:tc>
          <w:tcPr>
            <w:tcW w:w="8500" w:type="dxa"/>
            <w:vAlign w:val="bottom"/>
          </w:tcPr>
          <w:p>
            <w:pPr>
              <w:ind w:left="140"/>
              <w:spacing w:after="0"/>
              <w:rPr>
                <w:sz w:val="20"/>
                <w:szCs w:val="20"/>
                <w:color w:val="auto"/>
              </w:rPr>
            </w:pPr>
            <w:r>
              <w:rPr>
                <w:rFonts w:ascii="Arial" w:cs="Arial" w:eastAsia="Arial" w:hAnsi="Arial"/>
                <w:sz w:val="18"/>
                <w:szCs w:val="18"/>
                <w:color w:val="auto"/>
              </w:rPr>
              <w:t>Voting Securities</w:t>
            </w:r>
          </w:p>
        </w:tc>
        <w:tc>
          <w:tcPr>
            <w:tcW w:w="2920" w:type="dxa"/>
            <w:vAlign w:val="bottom"/>
          </w:tcPr>
          <w:p>
            <w:pPr>
              <w:jc w:val="right"/>
              <w:ind w:right="52"/>
              <w:spacing w:after="0"/>
              <w:rPr>
                <w:sz w:val="20"/>
                <w:szCs w:val="20"/>
                <w:color w:val="auto"/>
              </w:rPr>
            </w:pPr>
            <w:r>
              <w:rPr>
                <w:rFonts w:ascii="Arial" w:cs="Arial" w:eastAsia="Arial" w:hAnsi="Arial"/>
                <w:sz w:val="18"/>
                <w:szCs w:val="18"/>
                <w:color w:val="auto"/>
              </w:rPr>
              <w:t>25</w:t>
            </w:r>
          </w:p>
        </w:tc>
      </w:tr>
      <w:tr>
        <w:trPr>
          <w:trHeight w:val="244"/>
        </w:trPr>
        <w:tc>
          <w:tcPr>
            <w:tcW w:w="8500" w:type="dxa"/>
            <w:vAlign w:val="bottom"/>
            <w:shd w:val="clear" w:color="auto" w:fill="FFF3CE"/>
          </w:tcPr>
          <w:p>
            <w:pPr>
              <w:ind w:left="140"/>
              <w:spacing w:after="0"/>
              <w:rPr>
                <w:sz w:val="20"/>
                <w:szCs w:val="20"/>
                <w:color w:val="auto"/>
              </w:rPr>
            </w:pPr>
            <w:r>
              <w:rPr>
                <w:rFonts w:ascii="Arial" w:cs="Arial" w:eastAsia="Arial" w:hAnsi="Arial"/>
                <w:sz w:val="18"/>
                <w:szCs w:val="18"/>
                <w:color w:val="auto"/>
              </w:rPr>
              <w:t>Share Ownership of Certain Persons</w:t>
            </w:r>
          </w:p>
        </w:tc>
        <w:tc>
          <w:tcPr>
            <w:tcW w:w="29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26</w:t>
            </w:r>
          </w:p>
        </w:tc>
      </w:tr>
      <w:tr>
        <w:trPr>
          <w:trHeight w:val="242"/>
        </w:trPr>
        <w:tc>
          <w:tcPr>
            <w:tcW w:w="8500" w:type="dxa"/>
            <w:vAlign w:val="bottom"/>
          </w:tcPr>
          <w:p>
            <w:pPr>
              <w:ind w:left="140"/>
              <w:spacing w:after="0"/>
              <w:rPr>
                <w:sz w:val="20"/>
                <w:szCs w:val="20"/>
                <w:color w:val="auto"/>
              </w:rPr>
            </w:pPr>
            <w:r>
              <w:rPr>
                <w:rFonts w:ascii="Arial" w:cs="Arial" w:eastAsia="Arial" w:hAnsi="Arial"/>
                <w:sz w:val="18"/>
                <w:szCs w:val="18"/>
                <w:color w:val="auto"/>
              </w:rPr>
              <w:t>Certain Business Relationships</w:t>
            </w:r>
          </w:p>
        </w:tc>
        <w:tc>
          <w:tcPr>
            <w:tcW w:w="2920" w:type="dxa"/>
            <w:vAlign w:val="bottom"/>
          </w:tcPr>
          <w:p>
            <w:pPr>
              <w:jc w:val="right"/>
              <w:ind w:right="52"/>
              <w:spacing w:after="0"/>
              <w:rPr>
                <w:sz w:val="20"/>
                <w:szCs w:val="20"/>
                <w:color w:val="auto"/>
              </w:rPr>
            </w:pPr>
            <w:r>
              <w:rPr>
                <w:rFonts w:ascii="Arial" w:cs="Arial" w:eastAsia="Arial" w:hAnsi="Arial"/>
                <w:sz w:val="18"/>
                <w:szCs w:val="18"/>
                <w:color w:val="auto"/>
              </w:rPr>
              <w:t>27</w:t>
            </w:r>
          </w:p>
        </w:tc>
      </w:tr>
      <w:tr>
        <w:trPr>
          <w:trHeight w:val="244"/>
        </w:trPr>
        <w:tc>
          <w:tcPr>
            <w:tcW w:w="8500" w:type="dxa"/>
            <w:vAlign w:val="bottom"/>
            <w:shd w:val="clear" w:color="auto" w:fill="FFF3CE"/>
          </w:tcPr>
          <w:p>
            <w:pPr>
              <w:ind w:left="140"/>
              <w:spacing w:after="0"/>
              <w:rPr>
                <w:sz w:val="20"/>
                <w:szCs w:val="20"/>
                <w:color w:val="auto"/>
              </w:rPr>
            </w:pPr>
            <w:r>
              <w:rPr>
                <w:rFonts w:ascii="Arial" w:cs="Arial" w:eastAsia="Arial" w:hAnsi="Arial"/>
                <w:sz w:val="18"/>
                <w:szCs w:val="18"/>
                <w:color w:val="auto"/>
              </w:rPr>
              <w:t>Cost of Solicitation</w:t>
            </w:r>
          </w:p>
        </w:tc>
        <w:tc>
          <w:tcPr>
            <w:tcW w:w="29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27</w:t>
            </w:r>
          </w:p>
        </w:tc>
      </w:tr>
      <w:tr>
        <w:trPr>
          <w:trHeight w:val="242"/>
        </w:trPr>
        <w:tc>
          <w:tcPr>
            <w:tcW w:w="8500" w:type="dxa"/>
            <w:vAlign w:val="bottom"/>
          </w:tcPr>
          <w:p>
            <w:pPr>
              <w:ind w:left="140"/>
              <w:spacing w:after="0"/>
              <w:rPr>
                <w:sz w:val="20"/>
                <w:szCs w:val="20"/>
                <w:color w:val="auto"/>
              </w:rPr>
            </w:pPr>
            <w:r>
              <w:rPr>
                <w:rFonts w:ascii="Arial" w:cs="Arial" w:eastAsia="Arial" w:hAnsi="Arial"/>
                <w:sz w:val="18"/>
                <w:szCs w:val="18"/>
                <w:color w:val="auto"/>
              </w:rPr>
              <w:t>Proposals of Stockholders</w:t>
            </w:r>
          </w:p>
        </w:tc>
        <w:tc>
          <w:tcPr>
            <w:tcW w:w="2920" w:type="dxa"/>
            <w:vAlign w:val="bottom"/>
          </w:tcPr>
          <w:p>
            <w:pPr>
              <w:jc w:val="right"/>
              <w:ind w:right="52"/>
              <w:spacing w:after="0"/>
              <w:rPr>
                <w:sz w:val="20"/>
                <w:szCs w:val="20"/>
                <w:color w:val="auto"/>
              </w:rPr>
            </w:pPr>
            <w:r>
              <w:rPr>
                <w:rFonts w:ascii="Arial" w:cs="Arial" w:eastAsia="Arial" w:hAnsi="Arial"/>
                <w:sz w:val="18"/>
                <w:szCs w:val="18"/>
                <w:color w:val="auto"/>
              </w:rPr>
              <w:t>27</w:t>
            </w:r>
          </w:p>
        </w:tc>
      </w:tr>
      <w:tr>
        <w:trPr>
          <w:trHeight w:val="244"/>
        </w:trPr>
        <w:tc>
          <w:tcPr>
            <w:tcW w:w="8500" w:type="dxa"/>
            <w:vAlign w:val="bottom"/>
            <w:shd w:val="clear" w:color="auto" w:fill="FFF3CE"/>
          </w:tcPr>
          <w:p>
            <w:pPr>
              <w:ind w:left="140"/>
              <w:spacing w:after="0"/>
              <w:rPr>
                <w:sz w:val="20"/>
                <w:szCs w:val="20"/>
                <w:color w:val="auto"/>
              </w:rPr>
            </w:pPr>
            <w:r>
              <w:rPr>
                <w:rFonts w:ascii="Arial" w:cs="Arial" w:eastAsia="Arial" w:hAnsi="Arial"/>
                <w:sz w:val="18"/>
                <w:szCs w:val="18"/>
                <w:color w:val="auto"/>
              </w:rPr>
              <w:t>Quorum Requirement</w:t>
            </w:r>
          </w:p>
        </w:tc>
        <w:tc>
          <w:tcPr>
            <w:tcW w:w="29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27</w:t>
            </w:r>
          </w:p>
        </w:tc>
      </w:tr>
      <w:tr>
        <w:trPr>
          <w:trHeight w:val="242"/>
        </w:trPr>
        <w:tc>
          <w:tcPr>
            <w:tcW w:w="8500" w:type="dxa"/>
            <w:vAlign w:val="bottom"/>
          </w:tcPr>
          <w:p>
            <w:pPr>
              <w:ind w:left="140"/>
              <w:spacing w:after="0"/>
              <w:rPr>
                <w:sz w:val="20"/>
                <w:szCs w:val="20"/>
                <w:color w:val="auto"/>
              </w:rPr>
            </w:pPr>
            <w:r>
              <w:rPr>
                <w:rFonts w:ascii="Arial" w:cs="Arial" w:eastAsia="Arial" w:hAnsi="Arial"/>
                <w:sz w:val="18"/>
                <w:szCs w:val="18"/>
                <w:color w:val="auto"/>
              </w:rPr>
              <w:t>Vote Required</w:t>
            </w:r>
          </w:p>
        </w:tc>
        <w:tc>
          <w:tcPr>
            <w:tcW w:w="2920" w:type="dxa"/>
            <w:vAlign w:val="bottom"/>
          </w:tcPr>
          <w:p>
            <w:pPr>
              <w:jc w:val="right"/>
              <w:ind w:right="52"/>
              <w:spacing w:after="0"/>
              <w:rPr>
                <w:sz w:val="20"/>
                <w:szCs w:val="20"/>
                <w:color w:val="auto"/>
              </w:rPr>
            </w:pPr>
            <w:r>
              <w:rPr>
                <w:rFonts w:ascii="Arial" w:cs="Arial" w:eastAsia="Arial" w:hAnsi="Arial"/>
                <w:sz w:val="18"/>
                <w:szCs w:val="18"/>
                <w:color w:val="auto"/>
              </w:rPr>
              <w:t>27</w:t>
            </w:r>
          </w:p>
        </w:tc>
      </w:tr>
      <w:tr>
        <w:trPr>
          <w:trHeight w:val="244"/>
        </w:trPr>
        <w:tc>
          <w:tcPr>
            <w:tcW w:w="8500" w:type="dxa"/>
            <w:vAlign w:val="bottom"/>
            <w:shd w:val="clear" w:color="auto" w:fill="FFF3CE"/>
          </w:tcPr>
          <w:p>
            <w:pPr>
              <w:ind w:left="140"/>
              <w:spacing w:after="0"/>
              <w:rPr>
                <w:sz w:val="20"/>
                <w:szCs w:val="20"/>
                <w:color w:val="auto"/>
              </w:rPr>
            </w:pPr>
            <w:r>
              <w:rPr>
                <w:rFonts w:ascii="Arial" w:cs="Arial" w:eastAsia="Arial" w:hAnsi="Arial"/>
                <w:sz w:val="18"/>
                <w:szCs w:val="18"/>
                <w:color w:val="auto"/>
              </w:rPr>
              <w:t>Benefit Plan Voting</w:t>
            </w:r>
          </w:p>
        </w:tc>
        <w:tc>
          <w:tcPr>
            <w:tcW w:w="29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28</w:t>
            </w:r>
          </w:p>
        </w:tc>
      </w:tr>
      <w:tr>
        <w:trPr>
          <w:trHeight w:val="242"/>
        </w:trPr>
        <w:tc>
          <w:tcPr>
            <w:tcW w:w="8500" w:type="dxa"/>
            <w:vAlign w:val="bottom"/>
          </w:tcPr>
          <w:p>
            <w:pPr>
              <w:ind w:left="140"/>
              <w:spacing w:after="0"/>
              <w:rPr>
                <w:sz w:val="20"/>
                <w:szCs w:val="20"/>
                <w:color w:val="auto"/>
              </w:rPr>
            </w:pPr>
            <w:r>
              <w:rPr>
                <w:rFonts w:ascii="Arial" w:cs="Arial" w:eastAsia="Arial" w:hAnsi="Arial"/>
                <w:sz w:val="18"/>
                <w:szCs w:val="18"/>
                <w:color w:val="auto"/>
              </w:rPr>
              <w:t>Section 16(a) Beneficial Ownership Reporting Compliance</w:t>
            </w:r>
          </w:p>
        </w:tc>
        <w:tc>
          <w:tcPr>
            <w:tcW w:w="2920" w:type="dxa"/>
            <w:vAlign w:val="bottom"/>
          </w:tcPr>
          <w:p>
            <w:pPr>
              <w:jc w:val="right"/>
              <w:ind w:right="52"/>
              <w:spacing w:after="0"/>
              <w:rPr>
                <w:sz w:val="20"/>
                <w:szCs w:val="20"/>
                <w:color w:val="auto"/>
              </w:rPr>
            </w:pPr>
            <w:r>
              <w:rPr>
                <w:rFonts w:ascii="Arial" w:cs="Arial" w:eastAsia="Arial" w:hAnsi="Arial"/>
                <w:sz w:val="18"/>
                <w:szCs w:val="18"/>
                <w:color w:val="auto"/>
              </w:rPr>
              <w:t>28</w:t>
            </w:r>
          </w:p>
        </w:tc>
      </w:tr>
      <w:tr>
        <w:trPr>
          <w:trHeight w:val="244"/>
        </w:trPr>
        <w:tc>
          <w:tcPr>
            <w:tcW w:w="8500" w:type="dxa"/>
            <w:vAlign w:val="bottom"/>
            <w:shd w:val="clear" w:color="auto" w:fill="FFF3CE"/>
          </w:tcPr>
          <w:p>
            <w:pPr>
              <w:ind w:left="140"/>
              <w:spacing w:after="0"/>
              <w:rPr>
                <w:sz w:val="20"/>
                <w:szCs w:val="20"/>
                <w:color w:val="auto"/>
              </w:rPr>
            </w:pPr>
            <w:r>
              <w:rPr>
                <w:rFonts w:ascii="Arial" w:cs="Arial" w:eastAsia="Arial" w:hAnsi="Arial"/>
                <w:sz w:val="18"/>
                <w:szCs w:val="18"/>
                <w:color w:val="auto"/>
              </w:rPr>
              <w:t>Telephone and Internet Voting</w:t>
            </w:r>
          </w:p>
        </w:tc>
        <w:tc>
          <w:tcPr>
            <w:tcW w:w="29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28</w:t>
            </w:r>
          </w:p>
        </w:tc>
      </w:tr>
      <w:tr>
        <w:trPr>
          <w:trHeight w:val="242"/>
        </w:trPr>
        <w:tc>
          <w:tcPr>
            <w:tcW w:w="8500" w:type="dxa"/>
            <w:vAlign w:val="bottom"/>
          </w:tcPr>
          <w:p>
            <w:pPr>
              <w:ind w:left="140"/>
              <w:spacing w:after="0"/>
              <w:rPr>
                <w:sz w:val="20"/>
                <w:szCs w:val="20"/>
                <w:color w:val="auto"/>
              </w:rPr>
            </w:pPr>
            <w:r>
              <w:rPr>
                <w:rFonts w:ascii="Arial" w:cs="Arial" w:eastAsia="Arial" w:hAnsi="Arial"/>
                <w:sz w:val="18"/>
                <w:szCs w:val="18"/>
                <w:color w:val="auto"/>
              </w:rPr>
              <w:t>Stockholders Sharing the Same Address</w:t>
            </w:r>
          </w:p>
        </w:tc>
        <w:tc>
          <w:tcPr>
            <w:tcW w:w="2920" w:type="dxa"/>
            <w:vAlign w:val="bottom"/>
          </w:tcPr>
          <w:p>
            <w:pPr>
              <w:jc w:val="right"/>
              <w:ind w:right="52"/>
              <w:spacing w:after="0"/>
              <w:rPr>
                <w:sz w:val="20"/>
                <w:szCs w:val="20"/>
                <w:color w:val="auto"/>
              </w:rPr>
            </w:pPr>
            <w:r>
              <w:rPr>
                <w:rFonts w:ascii="Arial" w:cs="Arial" w:eastAsia="Arial" w:hAnsi="Arial"/>
                <w:sz w:val="18"/>
                <w:szCs w:val="18"/>
                <w:color w:val="auto"/>
              </w:rPr>
              <w:t>29</w:t>
            </w:r>
          </w:p>
        </w:tc>
      </w:tr>
      <w:tr>
        <w:trPr>
          <w:trHeight w:val="244"/>
        </w:trPr>
        <w:tc>
          <w:tcPr>
            <w:tcW w:w="8500" w:type="dxa"/>
            <w:vAlign w:val="bottom"/>
            <w:shd w:val="clear" w:color="auto" w:fill="FFF3CE"/>
          </w:tcPr>
          <w:p>
            <w:pPr>
              <w:ind w:left="140"/>
              <w:spacing w:after="0"/>
              <w:rPr>
                <w:sz w:val="20"/>
                <w:szCs w:val="20"/>
                <w:color w:val="auto"/>
              </w:rPr>
            </w:pPr>
            <w:r>
              <w:rPr>
                <w:rFonts w:ascii="Arial" w:cs="Arial" w:eastAsia="Arial" w:hAnsi="Arial"/>
                <w:sz w:val="18"/>
                <w:szCs w:val="18"/>
                <w:color w:val="auto"/>
              </w:rPr>
              <w:t>Electronic Delivery of Proxy Materials</w:t>
            </w:r>
          </w:p>
        </w:tc>
        <w:tc>
          <w:tcPr>
            <w:tcW w:w="2920" w:type="dxa"/>
            <w:vAlign w:val="bottom"/>
            <w:shd w:val="clear" w:color="auto" w:fill="FFF3CE"/>
          </w:tcPr>
          <w:p>
            <w:pPr>
              <w:jc w:val="right"/>
              <w:ind w:right="52"/>
              <w:spacing w:after="0"/>
              <w:rPr>
                <w:sz w:val="20"/>
                <w:szCs w:val="20"/>
                <w:color w:val="auto"/>
              </w:rPr>
            </w:pPr>
            <w:r>
              <w:rPr>
                <w:rFonts w:ascii="Arial" w:cs="Arial" w:eastAsia="Arial" w:hAnsi="Arial"/>
                <w:sz w:val="18"/>
                <w:szCs w:val="18"/>
                <w:color w:val="auto"/>
              </w:rPr>
              <w:t>29</w:t>
            </w:r>
          </w:p>
        </w:tc>
      </w:tr>
      <w:tr>
        <w:trPr>
          <w:trHeight w:val="348"/>
        </w:trPr>
        <w:tc>
          <w:tcPr>
            <w:tcW w:w="850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74"/>
        </w:trPr>
        <w:tc>
          <w:tcPr>
            <w:tcW w:w="8500" w:type="dxa"/>
            <w:vAlign w:val="bottom"/>
            <w:shd w:val="clear" w:color="auto" w:fill="808080"/>
          </w:tcPr>
          <w:p>
            <w:pPr>
              <w:spacing w:after="0"/>
              <w:rPr>
                <w:sz w:val="6"/>
                <w:szCs w:val="6"/>
                <w:color w:val="auto"/>
              </w:rPr>
            </w:pPr>
          </w:p>
        </w:tc>
        <w:tc>
          <w:tcPr>
            <w:tcW w:w="2920" w:type="dxa"/>
            <w:vAlign w:val="bottom"/>
            <w:shd w:val="clear" w:color="auto" w:fill="808080"/>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358140</wp:posOffset>
            </wp:positionV>
            <wp:extent cx="1603375" cy="548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0337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OFFICES: 12500 TI BOULEVARD, DALLAS, TEXAS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MAILING ADDRESS: POST OFFICE BOX 660199, DALLAS, TEXAS 75266-0199</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9, 2006</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PROCEDURES</w:t>
      </w:r>
    </w:p>
    <w:p>
      <w:pPr>
        <w:spacing w:after="0" w:line="231"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color w:val="auto"/>
        </w:rPr>
        <w:t>TI’s board of directors requests your proxy for the annual meeting of stockholders on April 20, 2006. If you sign and return the enclosed proxy, or vote by telephone or on the Internet, you authorize the persons named in the proxy to represent you and vote your shares for the purposes mentioned in the notice of annual meeting. This proxy statement and related proxy are being distributed on or about March 9, 2006.</w:t>
      </w:r>
    </w:p>
    <w:p>
      <w:pPr>
        <w:spacing w:after="0" w:line="16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you come to the meeting, you can of course vote in person. But if you don’t come to the meeting, your shares can be voted only if you have returned a properly signed proxy or followed the telephone or Internet voting instructions. If you sign and return your proxy but do not give voting instructions, the shares represented by that proxy will be voted as recommended by the board of directors. You can revoke your authorization at any time before the shares are voted at the meeting.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3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Directors are elected at the annual meeting to hold office until the next annual meeting and until their successors are elected and qualified. The board of directors has designated the following persons as nominees: JAMES R. ADAMS, DAVID L. BOREN, DANIEL A. CARP, CARRIE S. COX, THOMAS J. ENGIBOUS, GERALD W. FRONTERHOUSE, DAVID R. GOODE, PAMELA H. PATSLEY, WAYNE R. SANDERS, RUTH J. SIMMONS, RICHARD K. TEMPLETON and CHRISTINE TODD WHITMAN. If you return a proxy that does not withhold authority to vote for directors, your shares will be voted for each of the nominees.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Directorship</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All of the nominees for directorship are now directors of the company. If any nominee becomes unable to serve before the meeting, the people named as proxies may vote for a substitute or the number of directors will be reduced accordingly.</w:t>
      </w:r>
    </w:p>
    <w:p>
      <w:pPr>
        <w:sectPr>
          <w:pgSz w:w="11900" w:h="16838" w:orient="portrait"/>
          <w:cols w:equalWidth="0" w:num="1">
            <w:col w:w="11420"/>
          </w:cols>
          <w:pgMar w:left="240" w:top="140" w:right="239" w:bottom="86"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46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140" w:right="239" w:bottom="86" w:gutter="0" w:footer="0" w:header="0"/>
          <w:type w:val="continuous"/>
        </w:sectPr>
      </w:pPr>
    </w:p>
    <w:bookmarkStart w:id="3" w:name="page4"/>
    <w:bookmarkEnd w:id="3"/>
    <w:p>
      <w:pPr>
        <w:ind w:left="1460"/>
        <w:spacing w:after="0"/>
        <w:rPr>
          <w:sz w:val="20"/>
          <w:szCs w:val="20"/>
          <w:color w:val="auto"/>
        </w:rPr>
      </w:pPr>
      <w:r>
        <w:rPr>
          <w:rFonts w:ascii="Arial" w:cs="Arial" w:eastAsia="Arial" w:hAnsi="Arial"/>
          <w:sz w:val="18"/>
          <w:szCs w:val="18"/>
          <w:color w:val="auto"/>
        </w:rPr>
        <w:t xml:space="preserve">JAMES R. ADAMS  </w:t>
      </w:r>
      <w:r>
        <w:rPr>
          <w:rFonts w:ascii="Arial" w:cs="Arial" w:eastAsia="Arial" w:hAnsi="Arial"/>
          <w:sz w:val="18"/>
          <w:szCs w:val="18"/>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-125730</wp:posOffset>
            </wp:positionV>
            <wp:extent cx="7246620" cy="16205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6205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8"/>
          <w:szCs w:val="18"/>
          <w:color w:val="auto"/>
        </w:rPr>
        <w:t>Chair, Audit Committee.</w:t>
      </w:r>
    </w:p>
    <w:p>
      <w:pPr>
        <w:spacing w:after="0" w:line="9" w:lineRule="exact"/>
        <w:rPr>
          <w:sz w:val="20"/>
          <w:szCs w:val="20"/>
          <w:color w:val="auto"/>
        </w:rPr>
      </w:pPr>
    </w:p>
    <w:p>
      <w:pPr>
        <w:ind w:left="1460"/>
        <w:spacing w:after="0" w:line="261" w:lineRule="auto"/>
        <w:rPr>
          <w:sz w:val="20"/>
          <w:szCs w:val="20"/>
          <w:color w:val="auto"/>
        </w:rPr>
      </w:pPr>
      <w:r>
        <w:rPr>
          <w:rFonts w:ascii="Arial" w:cs="Arial" w:eastAsia="Arial" w:hAnsi="Arial"/>
          <w:sz w:val="18"/>
          <w:szCs w:val="18"/>
          <w:color w:val="auto"/>
        </w:rPr>
        <w:t>Chairman of the board of the company, 1996-98. Group president, SBC Communications Inc., 1992-95; president and chief executive officer of Southwestern Bell Telephone Company, 1988-92.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 xml:space="preserve">DAVID L. BOREN  </w:t>
      </w:r>
      <w:r>
        <w:rPr>
          <w:rFonts w:ascii="Arial" w:cs="Arial" w:eastAsia="Arial" w:hAnsi="Arial"/>
          <w:sz w:val="18"/>
          <w:szCs w:val="18"/>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-125730</wp:posOffset>
            </wp:positionV>
            <wp:extent cx="1071880" cy="14833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71880" cy="14833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8"/>
          <w:szCs w:val="18"/>
          <w:color w:val="auto"/>
        </w:rPr>
        <w:t>Chair, Governance and Stockholder Relations Committee.</w:t>
      </w:r>
    </w:p>
    <w:p>
      <w:pPr>
        <w:spacing w:after="0" w:line="9" w:lineRule="exact"/>
        <w:rPr>
          <w:sz w:val="20"/>
          <w:szCs w:val="20"/>
          <w:color w:val="auto"/>
        </w:rPr>
      </w:pPr>
    </w:p>
    <w:p>
      <w:pPr>
        <w:ind w:left="1460" w:right="280"/>
        <w:spacing w:after="0" w:line="323" w:lineRule="auto"/>
        <w:rPr>
          <w:sz w:val="20"/>
          <w:szCs w:val="20"/>
          <w:color w:val="auto"/>
        </w:rPr>
      </w:pPr>
      <w:r>
        <w:rPr>
          <w:rFonts w:ascii="Arial" w:cs="Arial" w:eastAsia="Arial" w:hAnsi="Arial"/>
          <w:sz w:val="16"/>
          <w:szCs w:val="16"/>
          <w:color w:val="auto"/>
        </w:rPr>
        <w:t>President of the University of Oklahoma since 1994. U.S. Senator, 1979-94; Governor of Oklahoma, 1975-79. Director, AMR Corporation and Torchmark Corporation; chairman, Oklahoma Foundation for Excellence.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 xml:space="preserve">DANIEL A. CARP  </w:t>
      </w:r>
      <w:r>
        <w:rPr>
          <w:rFonts w:ascii="Arial" w:cs="Arial" w:eastAsia="Arial" w:hAnsi="Arial"/>
          <w:sz w:val="18"/>
          <w:szCs w:val="18"/>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-125730</wp:posOffset>
            </wp:positionV>
            <wp:extent cx="7246620" cy="3104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1045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8"/>
          <w:szCs w:val="18"/>
          <w:color w:val="auto"/>
        </w:rPr>
        <w:t>Member, Compensation Committee.</w:t>
      </w:r>
    </w:p>
    <w:p>
      <w:pPr>
        <w:spacing w:after="0" w:line="9" w:lineRule="exact"/>
        <w:rPr>
          <w:sz w:val="20"/>
          <w:szCs w:val="20"/>
          <w:color w:val="auto"/>
        </w:rPr>
      </w:pPr>
    </w:p>
    <w:p>
      <w:pPr>
        <w:ind w:left="1460" w:right="200"/>
        <w:spacing w:after="0" w:line="255" w:lineRule="auto"/>
        <w:rPr>
          <w:sz w:val="20"/>
          <w:szCs w:val="20"/>
          <w:color w:val="auto"/>
        </w:rPr>
      </w:pPr>
      <w:r>
        <w:rPr>
          <w:rFonts w:ascii="Arial" w:cs="Arial" w:eastAsia="Arial" w:hAnsi="Arial"/>
          <w:sz w:val="18"/>
          <w:szCs w:val="18"/>
          <w:color w:val="auto"/>
        </w:rPr>
        <w:t>Chairman of the board of Eastman Kodak Company, 2000-December 2005; chief executive officer, 2000-May 2005; director, 1997-December 2005. President of Eastman Kodak, 1997-2001, 2002-2003; chief operating officer, 2002-2003. Director, Norfolk Southern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 xml:space="preserve">CARRIE S. COX  </w:t>
      </w:r>
      <w:r>
        <w:rPr>
          <w:rFonts w:ascii="Arial" w:cs="Arial" w:eastAsia="Arial" w:hAnsi="Arial"/>
          <w:sz w:val="18"/>
          <w:szCs w:val="18"/>
          <w:i w:val="1"/>
          <w:iCs w:val="1"/>
          <w:color w:val="auto"/>
        </w:rPr>
        <w:t>Director</w:t>
      </w:r>
    </w:p>
    <w:p>
      <w:pPr>
        <w:spacing w:after="0" w:line="1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Member, Audit Committee.</w:t>
      </w:r>
    </w:p>
    <w:p>
      <w:pPr>
        <w:spacing w:after="0" w:line="9" w:lineRule="exact"/>
        <w:rPr>
          <w:sz w:val="20"/>
          <w:szCs w:val="20"/>
          <w:color w:val="auto"/>
        </w:rPr>
      </w:pPr>
    </w:p>
    <w:p>
      <w:pPr>
        <w:ind w:left="1460" w:right="200"/>
        <w:spacing w:after="0" w:line="323" w:lineRule="auto"/>
        <w:rPr>
          <w:sz w:val="20"/>
          <w:szCs w:val="20"/>
          <w:color w:val="auto"/>
        </w:rPr>
      </w:pPr>
      <w:r>
        <w:rPr>
          <w:rFonts w:ascii="Arial" w:cs="Arial" w:eastAsia="Arial" w:hAnsi="Arial"/>
          <w:sz w:val="16"/>
          <w:szCs w:val="16"/>
          <w:color w:val="auto"/>
        </w:rPr>
        <w:t>Executive vice president and president of Global Pharmaceuticals at Schering-Plough Corporation since 2003. Executive vice president and president of Global Prescription Business at Pharmacia Corporation, 1997-2003.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46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 xml:space="preserve">THOMAS J. ENGIBOUS  </w:t>
      </w:r>
      <w:r>
        <w:rPr>
          <w:rFonts w:ascii="Arial" w:cs="Arial" w:eastAsia="Arial" w:hAnsi="Arial"/>
          <w:sz w:val="18"/>
          <w:szCs w:val="18"/>
          <w:i w:val="1"/>
          <w:iCs w:val="1"/>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-125730</wp:posOffset>
            </wp:positionV>
            <wp:extent cx="7246620" cy="16205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620520"/>
                    </a:xfrm>
                    <a:prstGeom prst="rect">
                      <a:avLst/>
                    </a:prstGeom>
                    <a:noFill/>
                  </pic:spPr>
                </pic:pic>
              </a:graphicData>
            </a:graphic>
          </wp:anchor>
        </w:drawing>
      </w:r>
    </w:p>
    <w:p>
      <w:pPr>
        <w:jc w:val="both"/>
        <w:ind w:left="1460" w:right="400"/>
        <w:spacing w:after="0" w:line="302" w:lineRule="auto"/>
        <w:rPr>
          <w:sz w:val="20"/>
          <w:szCs w:val="20"/>
          <w:color w:val="auto"/>
        </w:rPr>
      </w:pPr>
      <w:r>
        <w:rPr>
          <w:rFonts w:ascii="Arial" w:cs="Arial" w:eastAsia="Arial" w:hAnsi="Arial"/>
          <w:sz w:val="16"/>
          <w:szCs w:val="16"/>
          <w:color w:val="auto"/>
        </w:rPr>
        <w:t>Chairman of the board since 1998. President and chief executive officer of the company, 1996-April 2004. Joined the company in 1976; elected executive vice president in 1993. Chairman, Catalyst; Director, J.C. Penney Company, Inc.; member, The Business Council; trustee, Southern Methodist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 xml:space="preserve">GERALD W. FRONTERHOUSE  </w:t>
      </w:r>
      <w:r>
        <w:rPr>
          <w:rFonts w:ascii="Arial" w:cs="Arial" w:eastAsia="Arial" w:hAnsi="Arial"/>
          <w:sz w:val="18"/>
          <w:szCs w:val="18"/>
          <w:i w:val="1"/>
          <w:iCs w:val="1"/>
          <w:color w:val="auto"/>
        </w:rPr>
        <w:t>Director</w:t>
      </w:r>
    </w:p>
    <w:p>
      <w:pPr>
        <w:spacing w:after="0" w:line="1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Member, Audit Committee.</w:t>
      </w:r>
    </w:p>
    <w:p>
      <w:pPr>
        <w:spacing w:after="0" w:line="9" w:lineRule="exact"/>
        <w:rPr>
          <w:sz w:val="20"/>
          <w:szCs w:val="20"/>
          <w:color w:val="auto"/>
        </w:rPr>
      </w:pPr>
    </w:p>
    <w:p>
      <w:pPr>
        <w:ind w:left="1460" w:right="120"/>
        <w:spacing w:after="0" w:line="261" w:lineRule="auto"/>
        <w:rPr>
          <w:sz w:val="20"/>
          <w:szCs w:val="20"/>
          <w:color w:val="auto"/>
        </w:rPr>
      </w:pPr>
      <w:r>
        <w:rPr>
          <w:rFonts w:ascii="Arial" w:cs="Arial" w:eastAsia="Arial" w:hAnsi="Arial"/>
          <w:sz w:val="18"/>
          <w:szCs w:val="18"/>
          <w:color w:val="auto"/>
        </w:rPr>
        <w:t>Private investor. Chief executive officer of First RepublicBank Corporation, 1985-88. Chairman of the board and director, Hoblitzelle Foundation.</w:t>
      </w:r>
    </w:p>
    <w:p>
      <w:pPr>
        <w:sectPr>
          <w:pgSz w:w="11900" w:h="16838" w:orient="portrait"/>
          <w:cols w:equalWidth="0" w:num="1">
            <w:col w:w="10140"/>
          </w:cols>
          <w:pgMar w:left="1440" w:top="590" w:right="319" w:bottom="965"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071880" cy="14833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071880"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 xml:space="preserve">DAVID R. GOODE  </w:t>
      </w:r>
      <w:r>
        <w:rPr>
          <w:rFonts w:ascii="Arial" w:cs="Arial" w:eastAsia="Arial" w:hAnsi="Arial"/>
          <w:sz w:val="18"/>
          <w:szCs w:val="18"/>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-125730</wp:posOffset>
            </wp:positionV>
            <wp:extent cx="7246620" cy="16205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6205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8"/>
          <w:szCs w:val="18"/>
          <w:color w:val="auto"/>
        </w:rPr>
        <w:t>Member, Governance and Stockholder Relations Committee.</w:t>
      </w:r>
    </w:p>
    <w:p>
      <w:pPr>
        <w:spacing w:after="0" w:line="9" w:lineRule="exact"/>
        <w:rPr>
          <w:sz w:val="20"/>
          <w:szCs w:val="20"/>
          <w:color w:val="auto"/>
        </w:rPr>
      </w:pPr>
    </w:p>
    <w:p>
      <w:pPr>
        <w:jc w:val="both"/>
        <w:ind w:left="1460" w:right="180"/>
        <w:spacing w:after="0" w:line="255" w:lineRule="auto"/>
        <w:rPr>
          <w:sz w:val="20"/>
          <w:szCs w:val="20"/>
          <w:color w:val="auto"/>
        </w:rPr>
      </w:pPr>
      <w:r>
        <w:rPr>
          <w:rFonts w:ascii="Arial" w:cs="Arial" w:eastAsia="Arial" w:hAnsi="Arial"/>
          <w:sz w:val="18"/>
          <w:szCs w:val="18"/>
          <w:color w:val="auto"/>
        </w:rPr>
        <w:t>Director of Norfolk Southern Corporation since 1992; chairman of the board, 1992-January 2006; chief executive officer, 1992-October 2005; president, 1991-October 2004. Director, Caterpillar, Inc., Delta Air Lines, Inc. and Russell Reynolds Associates, Inc.; member, The Business Council.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 xml:space="preserve">PAMELA H. PATSLEY  </w:t>
      </w:r>
      <w:r>
        <w:rPr>
          <w:rFonts w:ascii="Arial" w:cs="Arial" w:eastAsia="Arial" w:hAnsi="Arial"/>
          <w:sz w:val="18"/>
          <w:szCs w:val="18"/>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-125730</wp:posOffset>
            </wp:positionV>
            <wp:extent cx="1071880" cy="14833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71880" cy="14833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8"/>
          <w:szCs w:val="18"/>
          <w:color w:val="auto"/>
        </w:rPr>
        <w:t>Member, Audit Committee.</w:t>
      </w:r>
    </w:p>
    <w:p>
      <w:pPr>
        <w:spacing w:after="0" w:line="9" w:lineRule="exact"/>
        <w:rPr>
          <w:sz w:val="20"/>
          <w:szCs w:val="20"/>
          <w:color w:val="auto"/>
        </w:rPr>
      </w:pPr>
    </w:p>
    <w:p>
      <w:pPr>
        <w:jc w:val="both"/>
        <w:ind w:left="1460" w:right="60"/>
        <w:spacing w:after="0" w:line="254" w:lineRule="auto"/>
        <w:rPr>
          <w:sz w:val="20"/>
          <w:szCs w:val="20"/>
          <w:color w:val="auto"/>
        </w:rPr>
      </w:pPr>
      <w:r>
        <w:rPr>
          <w:rFonts w:ascii="Arial" w:cs="Arial" w:eastAsia="Arial" w:hAnsi="Arial"/>
          <w:sz w:val="18"/>
          <w:szCs w:val="18"/>
          <w:color w:val="auto"/>
        </w:rPr>
        <w:t>Senior executive vice president of First Data Corporation since 2000; president of its subsidiaries First Data International since 2002 and First Data Merchant Services, 2000-2002. President and chief executive officer of Paymentech, Inc., 1991-2000. Director, Molson Coors Brewing Company, Pegasus Solutions, Inc. and Tolleson Wealth Management, Inc.; national trustee, Boys and Girls Clubs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469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 xml:space="preserve">WAYNE R. SANDERS  </w:t>
      </w:r>
      <w:r>
        <w:rPr>
          <w:rFonts w:ascii="Arial" w:cs="Arial" w:eastAsia="Arial" w:hAnsi="Arial"/>
          <w:sz w:val="18"/>
          <w:szCs w:val="18"/>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-125730</wp:posOffset>
            </wp:positionV>
            <wp:extent cx="7246620" cy="16205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6205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8"/>
          <w:szCs w:val="18"/>
          <w:color w:val="auto"/>
        </w:rPr>
        <w:t>Chair, Compensation Committee.</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Chairman of the board of Kimberly-Clark Corporation, 1992-2003; chief executive officer, 1991-2002; director, 1989-2003.</w:t>
      </w:r>
    </w:p>
    <w:p>
      <w:pPr>
        <w:spacing w:after="0" w:line="3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Director, Belo Corporation; national trustee and governor, Boys and Girls Clubs of America; trustee, Marquette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 xml:space="preserve">RUTH J. SIMMONS  </w:t>
      </w:r>
      <w:r>
        <w:rPr>
          <w:rFonts w:ascii="Arial" w:cs="Arial" w:eastAsia="Arial" w:hAnsi="Arial"/>
          <w:sz w:val="18"/>
          <w:szCs w:val="18"/>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-125730</wp:posOffset>
            </wp:positionV>
            <wp:extent cx="1071880" cy="14833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71880" cy="14833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8"/>
          <w:szCs w:val="18"/>
          <w:color w:val="auto"/>
        </w:rPr>
        <w:t>Member, Compensation Committee.</w:t>
      </w:r>
    </w:p>
    <w:p>
      <w:pPr>
        <w:spacing w:after="0" w:line="9" w:lineRule="exact"/>
        <w:rPr>
          <w:sz w:val="20"/>
          <w:szCs w:val="20"/>
          <w:color w:val="auto"/>
        </w:rPr>
      </w:pPr>
    </w:p>
    <w:p>
      <w:pPr>
        <w:ind w:left="1460" w:right="240"/>
        <w:spacing w:after="0" w:line="255" w:lineRule="auto"/>
        <w:rPr>
          <w:sz w:val="20"/>
          <w:szCs w:val="20"/>
          <w:color w:val="auto"/>
        </w:rPr>
      </w:pPr>
      <w:r>
        <w:rPr>
          <w:rFonts w:ascii="Arial" w:cs="Arial" w:eastAsia="Arial" w:hAnsi="Arial"/>
          <w:sz w:val="18"/>
          <w:szCs w:val="18"/>
          <w:color w:val="auto"/>
        </w:rPr>
        <w:t>President of Brown University since 2001. President of Smith College, 1995-2001; vice provost of Princeton University, 1992-95. Director, Pfizer, Inc. and The Goldman Sachs Group, Inc.; fellow, American Academy of Arts and Sciences; member, Council on Foreign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 xml:space="preserve">RICHARD K. TEMPLETON  </w:t>
      </w:r>
      <w:r>
        <w:rPr>
          <w:rFonts w:ascii="Arial" w:cs="Arial" w:eastAsia="Arial" w:hAnsi="Arial"/>
          <w:sz w:val="18"/>
          <w:szCs w:val="18"/>
          <w:i w:val="1"/>
          <w:iCs w:val="1"/>
          <w:color w:val="auto"/>
        </w:rPr>
        <w:t>Director,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-125730</wp:posOffset>
            </wp:positionV>
            <wp:extent cx="7246620" cy="16122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612265"/>
                    </a:xfrm>
                    <a:prstGeom prst="rect">
                      <a:avLst/>
                    </a:prstGeom>
                    <a:noFill/>
                  </pic:spPr>
                </pic:pic>
              </a:graphicData>
            </a:graphic>
          </wp:anchor>
        </w:drawing>
      </w:r>
    </w:p>
    <w:p>
      <w:pPr>
        <w:jc w:val="both"/>
        <w:ind w:left="1460" w:right="120"/>
        <w:spacing w:after="0" w:line="302" w:lineRule="auto"/>
        <w:rPr>
          <w:sz w:val="20"/>
          <w:szCs w:val="20"/>
          <w:color w:val="auto"/>
        </w:rPr>
      </w:pPr>
      <w:r>
        <w:rPr>
          <w:rFonts w:ascii="Arial" w:cs="Arial" w:eastAsia="Arial" w:hAnsi="Arial"/>
          <w:sz w:val="16"/>
          <w:szCs w:val="16"/>
          <w:color w:val="auto"/>
        </w:rPr>
        <w:t>President and chief executive officer of the company since May 2004. Chief operating officer of the company, 2000-April 2004. Joined the company in 1980; elected president of the company’s Semiconductor Group and executive vice president in 1996. Director, Semiconductor Industry Association; member, The Business Roundtable.</w:t>
      </w:r>
    </w:p>
    <w:p>
      <w:pPr>
        <w:sectPr>
          <w:pgSz w:w="11900" w:h="16838" w:orient="portrait"/>
          <w:cols w:equalWidth="0" w:num="1">
            <w:col w:w="10160"/>
          </w:cols>
          <w:pgMar w:left="1440" w:top="1440" w:right="299" w:bottom="1440" w:gutter="0" w:footer="0" w:header="0"/>
        </w:sectPr>
      </w:pPr>
    </w:p>
    <w:bookmarkStart w:id="5" w:name="page6"/>
    <w:bookmarkEnd w:id="5"/>
    <w:p>
      <w:pPr>
        <w:spacing w:after="0" w:line="2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 xml:space="preserve">CHRISTINE TODD WHITMAN  </w:t>
      </w:r>
      <w:r>
        <w:rPr>
          <w:rFonts w:ascii="Arial" w:cs="Arial" w:eastAsia="Arial" w:hAnsi="Arial"/>
          <w:sz w:val="18"/>
          <w:szCs w:val="18"/>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071880" cy="14833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71880" cy="1483360"/>
                    </a:xfrm>
                    <a:prstGeom prst="rect">
                      <a:avLst/>
                    </a:prstGeom>
                    <a:noFill/>
                  </pic:spPr>
                </pic:pic>
              </a:graphicData>
            </a:graphic>
          </wp:anchor>
        </w:drawing>
      </w:r>
    </w:p>
    <w:p>
      <w:pPr>
        <w:ind w:left="2660"/>
        <w:spacing w:after="0"/>
        <w:rPr>
          <w:sz w:val="20"/>
          <w:szCs w:val="20"/>
          <w:color w:val="auto"/>
        </w:rPr>
      </w:pPr>
      <w:r>
        <w:rPr>
          <w:rFonts w:ascii="Arial" w:cs="Arial" w:eastAsia="Arial" w:hAnsi="Arial"/>
          <w:sz w:val="18"/>
          <w:szCs w:val="18"/>
          <w:color w:val="auto"/>
        </w:rPr>
        <w:t>Member, Governance and Stockholder Relations Committee.</w:t>
      </w:r>
    </w:p>
    <w:p>
      <w:pPr>
        <w:spacing w:after="0" w:line="9" w:lineRule="exact"/>
        <w:rPr>
          <w:sz w:val="20"/>
          <w:szCs w:val="20"/>
          <w:color w:val="auto"/>
        </w:rPr>
      </w:pPr>
    </w:p>
    <w:p>
      <w:pPr>
        <w:ind w:left="2660"/>
        <w:spacing w:after="0" w:line="323" w:lineRule="auto"/>
        <w:rPr>
          <w:sz w:val="20"/>
          <w:szCs w:val="20"/>
          <w:color w:val="auto"/>
        </w:rPr>
      </w:pPr>
      <w:r>
        <w:rPr>
          <w:rFonts w:ascii="Arial" w:cs="Arial" w:eastAsia="Arial" w:hAnsi="Arial"/>
          <w:sz w:val="16"/>
          <w:szCs w:val="16"/>
          <w:color w:val="auto"/>
        </w:rPr>
        <w:t>Director and president of The Whitman Strategy Group. Administrator of the Environmental Protection Agency, 2001-2003; Governor of New Jersey, 1994-2000. Director, S.C. Johnson &amp; Son, Inc. and United Technologies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2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board is responsible for approving nominees for election as directors. To assist in this task, the board has designated a standing committee, the Governance and Stockholder Relations Committee (the Committee), which is responsible for reviewing and recommending nominees to the board. The Committee is comprised solely of independent directors as defined by the rules of the New York Stock Exchange (NYSE) and the board’s corporate governance guidelines. The company’s board of directors has adopted a written charter (Statement of Responsibilities) for the Committee. The charter can be found on the company’s web site at www.ti.com/corporategovernance.</w:t>
      </w:r>
    </w:p>
    <w:p>
      <w:pPr>
        <w:spacing w:after="0" w:line="19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It is a long-standing policy of the board to consider director nominees recommended by stockholders. A stockholder who wishes to recommend a prospective board nominee for the Committee’s consideration can write to the Secretary of the Governance and Stockholder Relations Committee, Texas Instruments Incorporated, Post Office Box 655936, MS 8658, Dallas, Texas 75265-5936. The Committee will evaluate the stockholder’s prospective board nominee in the same manner as it evaluates other nominees.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evaluating prospective nominees, the Committee looks for the following minimum qualifications, qualities and skills:</w:t>
      </w:r>
    </w:p>
    <w:p>
      <w:pPr>
        <w:spacing w:after="0" w:line="225" w:lineRule="exact"/>
        <w:rPr>
          <w:sz w:val="20"/>
          <w:szCs w:val="20"/>
          <w:color w:val="auto"/>
        </w:rPr>
      </w:pPr>
    </w:p>
    <w:p>
      <w:pPr>
        <w:ind w:left="520" w:hanging="215"/>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Outstanding achievement in the individual’s personal career.</w:t>
      </w:r>
    </w:p>
    <w:p>
      <w:pPr>
        <w:spacing w:after="0" w:line="279" w:lineRule="exact"/>
        <w:rPr>
          <w:rFonts w:ascii="Arial" w:cs="Arial" w:eastAsia="Arial" w:hAnsi="Arial"/>
          <w:sz w:val="18"/>
          <w:szCs w:val="18"/>
          <w:color w:val="auto"/>
        </w:rPr>
      </w:pPr>
    </w:p>
    <w:p>
      <w:pPr>
        <w:ind w:left="520" w:hanging="215"/>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Breadth of experience.</w:t>
      </w:r>
    </w:p>
    <w:p>
      <w:pPr>
        <w:spacing w:after="0" w:line="279" w:lineRule="exact"/>
        <w:rPr>
          <w:rFonts w:ascii="Arial" w:cs="Arial" w:eastAsia="Arial" w:hAnsi="Arial"/>
          <w:sz w:val="18"/>
          <w:szCs w:val="18"/>
          <w:color w:val="auto"/>
        </w:rPr>
      </w:pPr>
    </w:p>
    <w:p>
      <w:pPr>
        <w:ind w:left="520" w:hanging="215"/>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Soundness of judgment.</w:t>
      </w:r>
    </w:p>
    <w:p>
      <w:pPr>
        <w:spacing w:after="0" w:line="279" w:lineRule="exact"/>
        <w:rPr>
          <w:rFonts w:ascii="Arial" w:cs="Arial" w:eastAsia="Arial" w:hAnsi="Arial"/>
          <w:sz w:val="18"/>
          <w:szCs w:val="18"/>
          <w:color w:val="auto"/>
        </w:rPr>
      </w:pPr>
    </w:p>
    <w:p>
      <w:pPr>
        <w:ind w:left="520" w:hanging="215"/>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make independent, analytical inquiries.</w:t>
      </w:r>
    </w:p>
    <w:p>
      <w:pPr>
        <w:spacing w:after="0" w:line="279" w:lineRule="exact"/>
        <w:rPr>
          <w:rFonts w:ascii="Arial" w:cs="Arial" w:eastAsia="Arial" w:hAnsi="Arial"/>
          <w:sz w:val="18"/>
          <w:szCs w:val="18"/>
          <w:color w:val="auto"/>
        </w:rPr>
      </w:pPr>
    </w:p>
    <w:p>
      <w:pPr>
        <w:ind w:left="520" w:hanging="215"/>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contribute to a diversity of viewpoints among board members.</w:t>
      </w:r>
    </w:p>
    <w:p>
      <w:pPr>
        <w:spacing w:after="0" w:line="279" w:lineRule="exact"/>
        <w:rPr>
          <w:rFonts w:ascii="Arial" w:cs="Arial" w:eastAsia="Arial" w:hAnsi="Arial"/>
          <w:sz w:val="18"/>
          <w:szCs w:val="18"/>
          <w:color w:val="auto"/>
        </w:rPr>
      </w:pPr>
    </w:p>
    <w:p>
      <w:pPr>
        <w:ind w:left="520" w:right="60" w:hanging="215"/>
        <w:spacing w:after="0" w:line="268"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Willingness and ability to devote the time required to perform board activities adequately (in this regard, the Committee will consider the number of other boards on which the individual serves as a director).</w:t>
      </w:r>
    </w:p>
    <w:p>
      <w:pPr>
        <w:spacing w:after="0" w:line="212" w:lineRule="exact"/>
        <w:rPr>
          <w:rFonts w:ascii="Arial" w:cs="Arial" w:eastAsia="Arial" w:hAnsi="Arial"/>
          <w:sz w:val="18"/>
          <w:szCs w:val="18"/>
          <w:color w:val="auto"/>
        </w:rPr>
      </w:pPr>
    </w:p>
    <w:p>
      <w:pPr>
        <w:ind w:left="520" w:right="320" w:hanging="215"/>
        <w:spacing w:after="0" w:line="268"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represent the total corporate interests of TI (a director will not be selected to, nor will he or she be expected to, represent the interests of any particular group).</w:t>
      </w:r>
    </w:p>
    <w:p>
      <w:pPr>
        <w:spacing w:after="0" w:line="200" w:lineRule="exact"/>
        <w:rPr>
          <w:sz w:val="20"/>
          <w:szCs w:val="20"/>
          <w:color w:val="auto"/>
        </w:rPr>
      </w:pPr>
    </w:p>
    <w:p>
      <w:pPr>
        <w:spacing w:after="0" w:line="229"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Stockholders, non-management directors, management and others may submit recommendations to the Committee. The board prefers a mix of experience among its members to maintain a diversity of viewpoints. For example, some board members may have spent much of their careers in business, some in government and some in academia. The board’s current size is within the desired range as stated in the board’s corporate governance guidelines.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w:t>
      </w:r>
    </w:p>
    <w:p>
      <w:pPr>
        <w:spacing w:after="0" w:line="23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Stockholders and others who wish to communicate with the board as a whole, or to individual directors, may write to them at: Post Office Box 655936, MS 8658, Dallas, Texas 75265-5936. All communications sent to this address will be shared with the board or the individual director, if so addressed.</w:t>
      </w:r>
    </w:p>
    <w:p>
      <w:pPr>
        <w:spacing w:after="0" w:line="139"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color w:val="auto"/>
        </w:rPr>
        <w:t>It is a policy of the board to encourage directors to attend each annual meeting of stockholders. Such attendance allows for direct interaction between stockholders and members of the board. In 2005, all directors attended TI’s annual meeting of stockholders.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has adopted the following standards for determining independence.</w:t>
      </w:r>
    </w:p>
    <w:p>
      <w:pPr>
        <w:spacing w:after="0" w:line="225"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no event will a director be considered independent if:</w:t>
      </w:r>
    </w:p>
    <w:p>
      <w:pPr>
        <w:spacing w:after="0" w:line="279" w:lineRule="exact"/>
        <w:rPr>
          <w:rFonts w:ascii="Arial" w:cs="Arial" w:eastAsia="Arial" w:hAnsi="Arial"/>
          <w:sz w:val="18"/>
          <w:szCs w:val="18"/>
          <w:color w:val="auto"/>
        </w:rPr>
      </w:pPr>
    </w:p>
    <w:p>
      <w:pPr>
        <w:ind w:left="640" w:hanging="362"/>
        <w:spacing w:after="0"/>
        <w:tabs>
          <w:tab w:leader="none" w:pos="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He or she is a current partner of or is employed by the company’s independent auditors; or</w:t>
      </w:r>
    </w:p>
    <w:p>
      <w:pPr>
        <w:sectPr>
          <w:pgSz w:w="11900" w:h="16866" w:orient="portrait"/>
          <w:cols w:equalWidth="0" w:num="1">
            <w:col w:w="11400"/>
          </w:cols>
          <w:pgMar w:left="240" w:top="131" w:right="259" w:bottom="0" w:gutter="0" w:footer="0" w:header="0"/>
        </w:sectPr>
      </w:pPr>
    </w:p>
    <w:bookmarkStart w:id="6" w:name="page7"/>
    <w:bookmarkEnd w:id="6"/>
    <w:p>
      <w:pPr>
        <w:ind w:left="640" w:right="120" w:hanging="362"/>
        <w:spacing w:after="0" w:line="332" w:lineRule="auto"/>
        <w:tabs>
          <w:tab w:leader="none" w:pos="6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An immediate family member of the director is (a) a current partner of the company’s independent auditors or (b) currently employed by the company’s independent auditors and participates in the auditors’ audit, assurance or tax compliance (but not tax planning) practice.</w:t>
      </w:r>
    </w:p>
    <w:p>
      <w:pPr>
        <w:spacing w:after="0" w:line="166" w:lineRule="exact"/>
        <w:rPr>
          <w:rFonts w:ascii="Arial" w:cs="Arial" w:eastAsia="Arial" w:hAnsi="Arial"/>
          <w:sz w:val="16"/>
          <w:szCs w:val="16"/>
          <w:color w:val="auto"/>
        </w:rPr>
      </w:pPr>
    </w:p>
    <w:p>
      <w:pPr>
        <w:ind w:left="300" w:hanging="292"/>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no event will a director be considered independent if, within the preceding three years:</w:t>
      </w:r>
    </w:p>
    <w:p>
      <w:pPr>
        <w:spacing w:after="0" w:line="279" w:lineRule="exact"/>
        <w:rPr>
          <w:rFonts w:ascii="Arial" w:cs="Arial" w:eastAsia="Arial" w:hAnsi="Arial"/>
          <w:sz w:val="18"/>
          <w:szCs w:val="18"/>
          <w:color w:val="auto"/>
        </w:rPr>
      </w:pPr>
    </w:p>
    <w:p>
      <w:pPr>
        <w:ind w:left="640" w:right="200" w:hanging="362"/>
        <w:spacing w:after="0" w:line="268" w:lineRule="auto"/>
        <w:tabs>
          <w:tab w:leader="none" w:pos="6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He or she was employed by the company (except in the capacity of interim chairman of the board, chief executive officer or other executive officer) or any of its subsidiaries;</w:t>
      </w:r>
    </w:p>
    <w:p>
      <w:pPr>
        <w:spacing w:after="0" w:line="212" w:lineRule="exact"/>
        <w:rPr>
          <w:rFonts w:ascii="Arial" w:cs="Arial" w:eastAsia="Arial" w:hAnsi="Arial"/>
          <w:sz w:val="18"/>
          <w:szCs w:val="18"/>
          <w:color w:val="auto"/>
        </w:rPr>
      </w:pPr>
    </w:p>
    <w:p>
      <w:pPr>
        <w:ind w:left="640" w:hanging="362"/>
        <w:spacing w:after="0" w:line="259" w:lineRule="auto"/>
        <w:tabs>
          <w:tab w:leader="none" w:pos="6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He or she received more than $100,000 during any twelve-month period in direct compensation from the company (other than (a) director and committee fees and pension or other forms of deferred compensation and (b) compensation received for former service as an interim chairman of the board, chief executive officer or other executive officer);</w:t>
      </w:r>
    </w:p>
    <w:p>
      <w:pPr>
        <w:spacing w:after="0" w:line="221" w:lineRule="exact"/>
        <w:rPr>
          <w:rFonts w:ascii="Arial" w:cs="Arial" w:eastAsia="Arial" w:hAnsi="Arial"/>
          <w:sz w:val="18"/>
          <w:szCs w:val="18"/>
          <w:color w:val="auto"/>
        </w:rPr>
      </w:pPr>
    </w:p>
    <w:p>
      <w:pPr>
        <w:ind w:left="640" w:hanging="362"/>
        <w:spacing w:after="0"/>
        <w:tabs>
          <w:tab w:leader="none" w:pos="6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 immediate family member of the director was employed as an executive officer by the company or any of its subsidiaries;</w:t>
      </w:r>
    </w:p>
    <w:p>
      <w:pPr>
        <w:spacing w:after="0" w:line="279" w:lineRule="exact"/>
        <w:rPr>
          <w:rFonts w:ascii="Arial" w:cs="Arial" w:eastAsia="Arial" w:hAnsi="Arial"/>
          <w:sz w:val="18"/>
          <w:szCs w:val="18"/>
          <w:color w:val="auto"/>
        </w:rPr>
      </w:pPr>
    </w:p>
    <w:p>
      <w:pPr>
        <w:ind w:left="640" w:right="240" w:hanging="362"/>
        <w:spacing w:after="0" w:line="268" w:lineRule="auto"/>
        <w:tabs>
          <w:tab w:leader="none" w:pos="6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 immediate family member of the director received more than $100,000 during any twelve-month period in direct compensation from the company (excluding compensation as a non-executive officer employee of the company);</w:t>
      </w:r>
    </w:p>
    <w:p>
      <w:pPr>
        <w:spacing w:after="0" w:line="212" w:lineRule="exact"/>
        <w:rPr>
          <w:rFonts w:ascii="Arial" w:cs="Arial" w:eastAsia="Arial" w:hAnsi="Arial"/>
          <w:sz w:val="18"/>
          <w:szCs w:val="18"/>
          <w:color w:val="auto"/>
        </w:rPr>
      </w:pPr>
    </w:p>
    <w:p>
      <w:pPr>
        <w:ind w:left="640" w:right="60" w:hanging="362"/>
        <w:spacing w:after="0" w:line="268" w:lineRule="auto"/>
        <w:tabs>
          <w:tab w:leader="none" w:pos="6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He or she was (but is no longer) a partner or employee of the company’s independent auditors and personally worked on the company’s audit within that time;</w:t>
      </w:r>
    </w:p>
    <w:p>
      <w:pPr>
        <w:spacing w:after="0" w:line="212" w:lineRule="exact"/>
        <w:rPr>
          <w:rFonts w:ascii="Arial" w:cs="Arial" w:eastAsia="Arial" w:hAnsi="Arial"/>
          <w:sz w:val="18"/>
          <w:szCs w:val="18"/>
          <w:color w:val="auto"/>
        </w:rPr>
      </w:pPr>
    </w:p>
    <w:p>
      <w:pPr>
        <w:ind w:left="640" w:right="60" w:hanging="362"/>
        <w:spacing w:after="0" w:line="268" w:lineRule="auto"/>
        <w:tabs>
          <w:tab w:leader="none" w:pos="6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 immediate family member of the director was (but is no longer) a partner or employee of the company’s independent auditors and personally worked on the company’s audit within that time;</w:t>
      </w:r>
    </w:p>
    <w:p>
      <w:pPr>
        <w:spacing w:after="0" w:line="212" w:lineRule="exact"/>
        <w:rPr>
          <w:rFonts w:ascii="Arial" w:cs="Arial" w:eastAsia="Arial" w:hAnsi="Arial"/>
          <w:sz w:val="18"/>
          <w:szCs w:val="18"/>
          <w:color w:val="auto"/>
        </w:rPr>
      </w:pPr>
    </w:p>
    <w:p>
      <w:pPr>
        <w:ind w:left="640" w:right="560" w:hanging="362"/>
        <w:spacing w:after="0" w:line="268" w:lineRule="auto"/>
        <w:tabs>
          <w:tab w:leader="none" w:pos="6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He or she was an executive officer of another company, at which any of TI’s current executive officers at the same time served on that company’s compensation committee;</w:t>
      </w:r>
    </w:p>
    <w:p>
      <w:pPr>
        <w:spacing w:after="0" w:line="212" w:lineRule="exact"/>
        <w:rPr>
          <w:rFonts w:ascii="Arial" w:cs="Arial" w:eastAsia="Arial" w:hAnsi="Arial"/>
          <w:sz w:val="18"/>
          <w:szCs w:val="18"/>
          <w:color w:val="auto"/>
        </w:rPr>
      </w:pPr>
    </w:p>
    <w:p>
      <w:pPr>
        <w:ind w:left="640" w:right="300" w:hanging="362"/>
        <w:spacing w:after="0" w:line="268" w:lineRule="auto"/>
        <w:tabs>
          <w:tab w:leader="none" w:pos="6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 immediate family member of the director was an executive officer of another company at which any of TI’s current executive officers at the same time served on that company’s compensation committee;</w:t>
      </w:r>
    </w:p>
    <w:p>
      <w:pPr>
        <w:spacing w:after="0" w:line="212" w:lineRule="exact"/>
        <w:rPr>
          <w:rFonts w:ascii="Arial" w:cs="Arial" w:eastAsia="Arial" w:hAnsi="Arial"/>
          <w:sz w:val="18"/>
          <w:szCs w:val="18"/>
          <w:color w:val="auto"/>
        </w:rPr>
      </w:pPr>
    </w:p>
    <w:p>
      <w:pPr>
        <w:ind w:left="640" w:right="520" w:hanging="362"/>
        <w:spacing w:after="0" w:line="256" w:lineRule="auto"/>
        <w:tabs>
          <w:tab w:leader="none" w:pos="6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He or she was, and remains at the time of the determination, an executive officer or employee of a company that made payments to, or received payments from, TI for property or services in an amount which, in any single fiscal year, exceeded the greater of $1 million or 2% of the other company’s consolidated gross revenues for its last completed fiscal year (for purposes of this standard, charitable contributions are not considered “payments”); or</w:t>
      </w:r>
    </w:p>
    <w:p>
      <w:pPr>
        <w:spacing w:after="0" w:line="224" w:lineRule="exact"/>
        <w:rPr>
          <w:rFonts w:ascii="Arial" w:cs="Arial" w:eastAsia="Arial" w:hAnsi="Arial"/>
          <w:sz w:val="18"/>
          <w:szCs w:val="18"/>
          <w:color w:val="auto"/>
        </w:rPr>
      </w:pPr>
    </w:p>
    <w:p>
      <w:pPr>
        <w:jc w:val="both"/>
        <w:ind w:left="640" w:right="140" w:hanging="362"/>
        <w:spacing w:after="0" w:line="259" w:lineRule="auto"/>
        <w:tabs>
          <w:tab w:leader="none" w:pos="6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 immediate family member of the director was, and remains at the time of the determination, an executive officer of a company that made payments to, or received payments from, TI for property or services in an amount which, in any single fiscal year, exceeded the greater of $1 million or 2% of the other company’s consolidated gross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revenues for its last completed fiscal year (for purposes of this standard, charitable contributions are not considered “payments”).</w:t>
      </w:r>
    </w:p>
    <w:p>
      <w:pPr>
        <w:spacing w:after="0" w:line="279" w:lineRule="exact"/>
        <w:rPr>
          <w:sz w:val="20"/>
          <w:szCs w:val="20"/>
          <w:color w:val="auto"/>
        </w:rPr>
      </w:pPr>
    </w:p>
    <w:p>
      <w:pPr>
        <w:ind w:left="400" w:right="20" w:hanging="392"/>
        <w:spacing w:after="0" w:line="306" w:lineRule="auto"/>
        <w:tabs>
          <w:tab w:leader="none" w:pos="4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Audit Committee members may not accept any consulting, advisory or other compensatory fee from TI, other than in their capacity as members of the board or any board Committee. Compensatory fees do not include the receipt of fixed amounts of compensation under a retirement plan (including deferred compensation) for prior service with TI (provided that such compensation is not contingent in any way on continued service).</w:t>
      </w:r>
    </w:p>
    <w:p>
      <w:pPr>
        <w:spacing w:after="0" w:line="187" w:lineRule="exact"/>
        <w:rPr>
          <w:rFonts w:ascii="Arial" w:cs="Arial" w:eastAsia="Arial" w:hAnsi="Arial"/>
          <w:sz w:val="16"/>
          <w:szCs w:val="16"/>
          <w:color w:val="auto"/>
        </w:rPr>
      </w:pPr>
    </w:p>
    <w:p>
      <w:pPr>
        <w:ind w:left="420" w:hanging="412"/>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following relationships will not be considered material relationships with the company for the purpose of determining director independence:</w:t>
      </w:r>
    </w:p>
    <w:p>
      <w:pPr>
        <w:spacing w:after="0" w:line="302" w:lineRule="exact"/>
        <w:rPr>
          <w:rFonts w:ascii="Arial" w:cs="Arial" w:eastAsia="Arial" w:hAnsi="Arial"/>
          <w:sz w:val="16"/>
          <w:szCs w:val="16"/>
          <w:color w:val="auto"/>
        </w:rPr>
      </w:pPr>
    </w:p>
    <w:p>
      <w:pPr>
        <w:ind w:left="640" w:right="740" w:hanging="362"/>
        <w:spacing w:after="0" w:line="332" w:lineRule="auto"/>
        <w:tabs>
          <w:tab w:leader="none" w:pos="6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 director is an employee, director or trustee of a charitable organization and TI or the TI Foundation makes discretionary contributions to that organization that are less than the greater of $50,000 or 2% of the organization’s latest publicly available consolidated gross revenue.</w:t>
      </w:r>
    </w:p>
    <w:p>
      <w:pPr>
        <w:spacing w:after="0" w:line="166" w:lineRule="exact"/>
        <w:rPr>
          <w:rFonts w:ascii="Arial" w:cs="Arial" w:eastAsia="Arial" w:hAnsi="Arial"/>
          <w:sz w:val="16"/>
          <w:szCs w:val="16"/>
          <w:color w:val="auto"/>
        </w:rPr>
      </w:pPr>
    </w:p>
    <w:p>
      <w:pPr>
        <w:ind w:left="640" w:right="100" w:hanging="362"/>
        <w:spacing w:after="0" w:line="332" w:lineRule="auto"/>
        <w:tabs>
          <w:tab w:leader="none" w:pos="6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 director is an employee, director or trustee of another entity that is indebted to TI or to which TI is indebted, and the total amount of either company’s indebtedness to the other is less than 2% of the total consolidated assets of the entity he or she serves as an executive officer, director or trustee.</w:t>
      </w:r>
    </w:p>
    <w:p>
      <w:pPr>
        <w:spacing w:after="0" w:line="38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any other relationship, the determination of whether the relationship is material, and consequently whether the director involved is independent, will be made by directors who satisfy the independence criteria set forth in this section.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these independence determinations, “immediate family member” will have the same meaning as under the NYSE rules.</w:t>
      </w:r>
    </w:p>
    <w:p>
      <w:pPr>
        <w:spacing w:after="0" w:line="225"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Applying these standards, the board has determined that the following directors have no material relationship with the company other than as a director and are, therefore, independent: Mr. Adams, Mr. Boren, Mr. Carp, Ms. Cox, Mr. Fronterhouse, Mr. Goode, Ms. Patsley, Mr. Sanders, Ms. Simmons and Ms. Whitman.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374"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Directors’ Ages, Service and Stock Ownership</w:t>
      </w:r>
    </w:p>
    <w:p>
      <w:pPr>
        <w:sectPr>
          <w:pgSz w:w="11900" w:h="16838" w:orient="portrait"/>
          <w:cols w:equalWidth="0" w:num="1">
            <w:col w:w="11420"/>
          </w:cols>
          <w:pgMar w:left="240" w:top="374" w:right="239" w:bottom="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t>The table below shows the directors’ ages and holdings of common stock of the company and the year each became a director.</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7"/>
              </w:rPr>
              <w:t>Common Stock</w:t>
            </w: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b w:val="1"/>
                <w:bCs w:val="1"/>
                <w:color w:val="auto"/>
              </w:rPr>
              <w:t>Director</w:t>
            </w:r>
          </w:p>
        </w:tc>
        <w:tc>
          <w:tcPr>
            <w:tcW w:w="28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Ownership at</w:t>
            </w:r>
          </w:p>
        </w:tc>
      </w:tr>
      <w:tr>
        <w:trPr>
          <w:trHeight w:val="174"/>
        </w:trPr>
        <w:tc>
          <w:tcPr>
            <w:tcW w:w="20" w:type="dxa"/>
            <w:vAlign w:val="bottom"/>
          </w:tcPr>
          <w:p>
            <w:pPr>
              <w:spacing w:after="0"/>
              <w:rPr>
                <w:sz w:val="15"/>
                <w:szCs w:val="15"/>
                <w:color w:val="auto"/>
              </w:rPr>
            </w:pPr>
          </w:p>
        </w:tc>
        <w:tc>
          <w:tcPr>
            <w:tcW w:w="3420" w:type="dxa"/>
            <w:vAlign w:val="bottom"/>
          </w:tcPr>
          <w:p>
            <w:pPr>
              <w:ind w:left="1460"/>
              <w:spacing w:after="0"/>
              <w:rPr>
                <w:sz w:val="20"/>
                <w:szCs w:val="20"/>
                <w:color w:val="auto"/>
              </w:rPr>
            </w:pPr>
            <w:r>
              <w:rPr>
                <w:rFonts w:ascii="Arial" w:cs="Arial" w:eastAsia="Arial" w:hAnsi="Arial"/>
                <w:sz w:val="14"/>
                <w:szCs w:val="14"/>
                <w:b w:val="1"/>
                <w:bCs w:val="1"/>
                <w:color w:val="auto"/>
              </w:rPr>
              <w:t>Director</w:t>
            </w:r>
          </w:p>
        </w:tc>
        <w:tc>
          <w:tcPr>
            <w:tcW w:w="800" w:type="dxa"/>
            <w:vAlign w:val="bottom"/>
          </w:tcPr>
          <w:p>
            <w:pPr>
              <w:spacing w:after="0"/>
              <w:rPr>
                <w:sz w:val="15"/>
                <w:szCs w:val="15"/>
                <w:color w:val="auto"/>
              </w:rPr>
            </w:pPr>
          </w:p>
        </w:tc>
        <w:tc>
          <w:tcPr>
            <w:tcW w:w="1120" w:type="dxa"/>
            <w:vAlign w:val="bottom"/>
          </w:tcPr>
          <w:p>
            <w:pPr>
              <w:jc w:val="right"/>
              <w:ind w:right="392"/>
              <w:spacing w:after="0"/>
              <w:rPr>
                <w:sz w:val="20"/>
                <w:szCs w:val="20"/>
                <w:color w:val="auto"/>
              </w:rPr>
            </w:pPr>
            <w:r>
              <w:rPr>
                <w:rFonts w:ascii="Arial" w:cs="Arial" w:eastAsia="Arial" w:hAnsi="Arial"/>
                <w:sz w:val="14"/>
                <w:szCs w:val="14"/>
                <w:b w:val="1"/>
                <w:bCs w:val="1"/>
                <w:color w:val="auto"/>
              </w:rPr>
              <w:t>Age</w:t>
            </w:r>
          </w:p>
        </w:tc>
        <w:tc>
          <w:tcPr>
            <w:tcW w:w="260" w:type="dxa"/>
            <w:vAlign w:val="bottom"/>
          </w:tcPr>
          <w:p>
            <w:pPr>
              <w:spacing w:after="0"/>
              <w:rPr>
                <w:sz w:val="15"/>
                <w:szCs w:val="15"/>
                <w:color w:val="auto"/>
              </w:rPr>
            </w:pPr>
          </w:p>
        </w:tc>
        <w:tc>
          <w:tcPr>
            <w:tcW w:w="1320" w:type="dxa"/>
            <w:vAlign w:val="bottom"/>
          </w:tcPr>
          <w:p>
            <w:pPr>
              <w:ind w:left="500"/>
              <w:spacing w:after="0"/>
              <w:rPr>
                <w:sz w:val="20"/>
                <w:szCs w:val="20"/>
                <w:color w:val="auto"/>
              </w:rPr>
            </w:pPr>
            <w:r>
              <w:rPr>
                <w:rFonts w:ascii="Arial" w:cs="Arial" w:eastAsia="Arial" w:hAnsi="Arial"/>
                <w:sz w:val="14"/>
                <w:szCs w:val="14"/>
                <w:b w:val="1"/>
                <w:bCs w:val="1"/>
                <w:color w:val="auto"/>
              </w:rPr>
              <w:t>Since</w:t>
            </w:r>
          </w:p>
        </w:tc>
        <w:tc>
          <w:tcPr>
            <w:tcW w:w="28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8"/>
              </w:rPr>
              <w:t>December 31, 2005*</w:t>
            </w:r>
          </w:p>
        </w:tc>
      </w:tr>
      <w:tr>
        <w:trPr>
          <w:trHeight w:val="55"/>
        </w:trPr>
        <w:tc>
          <w:tcPr>
            <w:tcW w:w="3440" w:type="dxa"/>
            <w:vAlign w:val="bottom"/>
            <w:gridSpan w:val="2"/>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920" w:type="dxa"/>
            <w:vAlign w:val="bottom"/>
          </w:tcPr>
          <w:p>
            <w:pPr>
              <w:spacing w:after="0"/>
              <w:rPr>
                <w:sz w:val="4"/>
                <w:szCs w:val="4"/>
                <w:color w:val="auto"/>
              </w:rPr>
            </w:pPr>
          </w:p>
        </w:tc>
      </w:tr>
      <w:tr>
        <w:trPr>
          <w:trHeight w:val="61"/>
        </w:trPr>
        <w:tc>
          <w:tcPr>
            <w:tcW w:w="20" w:type="dxa"/>
            <w:vAlign w:val="bottom"/>
          </w:tcPr>
          <w:p>
            <w:pPr>
              <w:spacing w:after="0"/>
              <w:rPr>
                <w:sz w:val="5"/>
                <w:szCs w:val="5"/>
                <w:color w:val="auto"/>
              </w:rPr>
            </w:pPr>
          </w:p>
        </w:tc>
        <w:tc>
          <w:tcPr>
            <w:tcW w:w="3420" w:type="dxa"/>
            <w:vAlign w:val="bottom"/>
            <w:tcBorders>
              <w:top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32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920" w:type="dxa"/>
            <w:vAlign w:val="bottom"/>
            <w:tcBorders>
              <w:top w:val="single" w:sz="8" w:color="auto"/>
            </w:tcBorders>
          </w:tcPr>
          <w:p>
            <w:pPr>
              <w:spacing w:after="0"/>
              <w:rPr>
                <w:sz w:val="5"/>
                <w:szCs w:val="5"/>
                <w:color w:val="auto"/>
              </w:rPr>
            </w:pPr>
          </w:p>
        </w:tc>
      </w:tr>
      <w:tr>
        <w:trPr>
          <w:trHeight w:val="243"/>
        </w:trPr>
        <w:tc>
          <w:tcPr>
            <w:tcW w:w="20" w:type="dxa"/>
            <w:vAlign w:val="bottom"/>
          </w:tcPr>
          <w:p>
            <w:pPr>
              <w:spacing w:after="0"/>
              <w:rPr>
                <w:sz w:val="21"/>
                <w:szCs w:val="21"/>
                <w:color w:val="auto"/>
              </w:rPr>
            </w:pPr>
          </w:p>
        </w:tc>
        <w:tc>
          <w:tcPr>
            <w:tcW w:w="3420" w:type="dxa"/>
            <w:vAlign w:val="bottom"/>
            <w:shd w:val="clear" w:color="auto" w:fill="FFF3CE"/>
          </w:tcPr>
          <w:p>
            <w:pPr>
              <w:spacing w:after="0"/>
              <w:rPr>
                <w:sz w:val="20"/>
                <w:szCs w:val="20"/>
                <w:color w:val="auto"/>
              </w:rPr>
            </w:pPr>
            <w:r>
              <w:rPr>
                <w:rFonts w:ascii="Arial" w:cs="Arial" w:eastAsia="Arial" w:hAnsi="Arial"/>
                <w:sz w:val="18"/>
                <w:szCs w:val="18"/>
                <w:color w:val="auto"/>
              </w:rPr>
              <w:t>James R. Adams</w:t>
            </w:r>
          </w:p>
        </w:tc>
        <w:tc>
          <w:tcPr>
            <w:tcW w:w="1920" w:type="dxa"/>
            <w:vAlign w:val="bottom"/>
            <w:gridSpan w:val="2"/>
            <w:shd w:val="clear" w:color="auto" w:fill="FFF3CE"/>
          </w:tcPr>
          <w:p>
            <w:pPr>
              <w:jc w:val="right"/>
              <w:ind w:right="392"/>
              <w:spacing w:after="0"/>
              <w:rPr>
                <w:sz w:val="20"/>
                <w:szCs w:val="20"/>
                <w:color w:val="auto"/>
              </w:rPr>
            </w:pPr>
            <w:r>
              <w:rPr>
                <w:rFonts w:ascii="Arial" w:cs="Arial" w:eastAsia="Arial" w:hAnsi="Arial"/>
                <w:sz w:val="18"/>
                <w:szCs w:val="18"/>
                <w:color w:val="auto"/>
              </w:rPr>
              <w:t>66</w:t>
            </w:r>
          </w:p>
        </w:tc>
        <w:tc>
          <w:tcPr>
            <w:tcW w:w="1580" w:type="dxa"/>
            <w:vAlign w:val="bottom"/>
            <w:gridSpan w:val="2"/>
            <w:shd w:val="clear" w:color="auto" w:fill="FFF3CE"/>
          </w:tcPr>
          <w:p>
            <w:pPr>
              <w:ind w:left="780"/>
              <w:spacing w:after="0"/>
              <w:rPr>
                <w:sz w:val="20"/>
                <w:szCs w:val="20"/>
                <w:color w:val="auto"/>
              </w:rPr>
            </w:pPr>
            <w:r>
              <w:rPr>
                <w:rFonts w:ascii="Arial" w:cs="Arial" w:eastAsia="Arial" w:hAnsi="Arial"/>
                <w:sz w:val="18"/>
                <w:szCs w:val="18"/>
                <w:color w:val="auto"/>
              </w:rPr>
              <w:t>1989</w:t>
            </w:r>
          </w:p>
        </w:tc>
        <w:tc>
          <w:tcPr>
            <w:tcW w:w="2200" w:type="dxa"/>
            <w:vAlign w:val="bottom"/>
            <w:gridSpan w:val="2"/>
            <w:shd w:val="clear" w:color="auto" w:fill="FFF3CE"/>
          </w:tcPr>
          <w:p>
            <w:pPr>
              <w:jc w:val="right"/>
              <w:ind w:right="372"/>
              <w:spacing w:after="0"/>
              <w:rPr>
                <w:sz w:val="20"/>
                <w:szCs w:val="20"/>
                <w:color w:val="auto"/>
              </w:rPr>
            </w:pPr>
            <w:r>
              <w:rPr>
                <w:rFonts w:ascii="Arial" w:cs="Arial" w:eastAsia="Arial" w:hAnsi="Arial"/>
                <w:sz w:val="18"/>
                <w:szCs w:val="18"/>
                <w:color w:val="auto"/>
              </w:rPr>
              <w:t>786,666</w:t>
            </w:r>
          </w:p>
        </w:tc>
      </w:tr>
      <w:tr>
        <w:trPr>
          <w:trHeight w:val="242"/>
        </w:trPr>
        <w:tc>
          <w:tcPr>
            <w:tcW w:w="3440" w:type="dxa"/>
            <w:vAlign w:val="bottom"/>
            <w:gridSpan w:val="2"/>
          </w:tcPr>
          <w:p>
            <w:pPr>
              <w:spacing w:after="0"/>
              <w:rPr>
                <w:sz w:val="20"/>
                <w:szCs w:val="20"/>
                <w:color w:val="auto"/>
              </w:rPr>
            </w:pPr>
            <w:r>
              <w:rPr>
                <w:rFonts w:ascii="Arial" w:cs="Arial" w:eastAsia="Arial" w:hAnsi="Arial"/>
                <w:sz w:val="18"/>
                <w:szCs w:val="18"/>
                <w:color w:val="auto"/>
              </w:rPr>
              <w:t>David L. Boren</w:t>
            </w:r>
          </w:p>
        </w:tc>
        <w:tc>
          <w:tcPr>
            <w:tcW w:w="1920" w:type="dxa"/>
            <w:vAlign w:val="bottom"/>
            <w:gridSpan w:val="2"/>
          </w:tcPr>
          <w:p>
            <w:pPr>
              <w:jc w:val="right"/>
              <w:ind w:right="392"/>
              <w:spacing w:after="0"/>
              <w:rPr>
                <w:sz w:val="20"/>
                <w:szCs w:val="20"/>
                <w:color w:val="auto"/>
              </w:rPr>
            </w:pPr>
            <w:r>
              <w:rPr>
                <w:rFonts w:ascii="Arial" w:cs="Arial" w:eastAsia="Arial" w:hAnsi="Arial"/>
                <w:sz w:val="18"/>
                <w:szCs w:val="18"/>
                <w:color w:val="auto"/>
              </w:rPr>
              <w:t>64</w:t>
            </w:r>
          </w:p>
        </w:tc>
        <w:tc>
          <w:tcPr>
            <w:tcW w:w="1580" w:type="dxa"/>
            <w:vAlign w:val="bottom"/>
            <w:gridSpan w:val="2"/>
          </w:tcPr>
          <w:p>
            <w:pPr>
              <w:ind w:left="780"/>
              <w:spacing w:after="0"/>
              <w:rPr>
                <w:sz w:val="20"/>
                <w:szCs w:val="20"/>
                <w:color w:val="auto"/>
              </w:rPr>
            </w:pPr>
            <w:r>
              <w:rPr>
                <w:rFonts w:ascii="Arial" w:cs="Arial" w:eastAsia="Arial" w:hAnsi="Arial"/>
                <w:sz w:val="18"/>
                <w:szCs w:val="18"/>
                <w:color w:val="auto"/>
              </w:rPr>
              <w:t>1995</w:t>
            </w:r>
          </w:p>
        </w:tc>
        <w:tc>
          <w:tcPr>
            <w:tcW w:w="2200" w:type="dxa"/>
            <w:vAlign w:val="bottom"/>
            <w:gridSpan w:val="2"/>
          </w:tcPr>
          <w:p>
            <w:pPr>
              <w:jc w:val="right"/>
              <w:ind w:right="372"/>
              <w:spacing w:after="0"/>
              <w:rPr>
                <w:sz w:val="20"/>
                <w:szCs w:val="20"/>
                <w:color w:val="auto"/>
              </w:rPr>
            </w:pPr>
            <w:r>
              <w:rPr>
                <w:rFonts w:ascii="Arial" w:cs="Arial" w:eastAsia="Arial" w:hAnsi="Arial"/>
                <w:sz w:val="18"/>
                <w:szCs w:val="18"/>
                <w:color w:val="auto"/>
              </w:rPr>
              <w:t>74,298</w:t>
            </w:r>
          </w:p>
        </w:tc>
      </w:tr>
      <w:tr>
        <w:trPr>
          <w:trHeight w:val="244"/>
        </w:trPr>
        <w:tc>
          <w:tcPr>
            <w:tcW w:w="20" w:type="dxa"/>
            <w:vAlign w:val="bottom"/>
          </w:tcPr>
          <w:p>
            <w:pPr>
              <w:spacing w:after="0"/>
              <w:rPr>
                <w:sz w:val="21"/>
                <w:szCs w:val="21"/>
                <w:color w:val="auto"/>
              </w:rPr>
            </w:pPr>
          </w:p>
        </w:tc>
        <w:tc>
          <w:tcPr>
            <w:tcW w:w="3420" w:type="dxa"/>
            <w:vAlign w:val="bottom"/>
            <w:shd w:val="clear" w:color="auto" w:fill="FFF3CE"/>
          </w:tcPr>
          <w:p>
            <w:pPr>
              <w:spacing w:after="0"/>
              <w:rPr>
                <w:sz w:val="20"/>
                <w:szCs w:val="20"/>
                <w:color w:val="auto"/>
              </w:rPr>
            </w:pPr>
            <w:r>
              <w:rPr>
                <w:rFonts w:ascii="Arial" w:cs="Arial" w:eastAsia="Arial" w:hAnsi="Arial"/>
                <w:sz w:val="18"/>
                <w:szCs w:val="18"/>
                <w:color w:val="auto"/>
              </w:rPr>
              <w:t>Daniel A. Carp</w:t>
            </w:r>
          </w:p>
        </w:tc>
        <w:tc>
          <w:tcPr>
            <w:tcW w:w="1920" w:type="dxa"/>
            <w:vAlign w:val="bottom"/>
            <w:gridSpan w:val="2"/>
            <w:shd w:val="clear" w:color="auto" w:fill="FFF3CE"/>
          </w:tcPr>
          <w:p>
            <w:pPr>
              <w:jc w:val="right"/>
              <w:ind w:right="392"/>
              <w:spacing w:after="0"/>
              <w:rPr>
                <w:sz w:val="20"/>
                <w:szCs w:val="20"/>
                <w:color w:val="auto"/>
              </w:rPr>
            </w:pPr>
            <w:r>
              <w:rPr>
                <w:rFonts w:ascii="Arial" w:cs="Arial" w:eastAsia="Arial" w:hAnsi="Arial"/>
                <w:sz w:val="18"/>
                <w:szCs w:val="18"/>
                <w:color w:val="auto"/>
              </w:rPr>
              <w:t>57</w:t>
            </w:r>
          </w:p>
        </w:tc>
        <w:tc>
          <w:tcPr>
            <w:tcW w:w="1580" w:type="dxa"/>
            <w:vAlign w:val="bottom"/>
            <w:gridSpan w:val="2"/>
            <w:shd w:val="clear" w:color="auto" w:fill="FFF3CE"/>
          </w:tcPr>
          <w:p>
            <w:pPr>
              <w:ind w:left="780"/>
              <w:spacing w:after="0"/>
              <w:rPr>
                <w:sz w:val="20"/>
                <w:szCs w:val="20"/>
                <w:color w:val="auto"/>
              </w:rPr>
            </w:pPr>
            <w:r>
              <w:rPr>
                <w:rFonts w:ascii="Arial" w:cs="Arial" w:eastAsia="Arial" w:hAnsi="Arial"/>
                <w:sz w:val="18"/>
                <w:szCs w:val="18"/>
                <w:color w:val="auto"/>
              </w:rPr>
              <w:t>1997</w:t>
            </w:r>
          </w:p>
        </w:tc>
        <w:tc>
          <w:tcPr>
            <w:tcW w:w="2200" w:type="dxa"/>
            <w:vAlign w:val="bottom"/>
            <w:gridSpan w:val="2"/>
            <w:shd w:val="clear" w:color="auto" w:fill="FFF3CE"/>
          </w:tcPr>
          <w:p>
            <w:pPr>
              <w:jc w:val="right"/>
              <w:ind w:right="372"/>
              <w:spacing w:after="0"/>
              <w:rPr>
                <w:sz w:val="20"/>
                <w:szCs w:val="20"/>
                <w:color w:val="auto"/>
              </w:rPr>
            </w:pPr>
            <w:r>
              <w:rPr>
                <w:rFonts w:ascii="Arial" w:cs="Arial" w:eastAsia="Arial" w:hAnsi="Arial"/>
                <w:sz w:val="18"/>
                <w:szCs w:val="18"/>
                <w:color w:val="auto"/>
              </w:rPr>
              <w:t>97,251</w:t>
            </w:r>
          </w:p>
        </w:tc>
      </w:tr>
      <w:tr>
        <w:trPr>
          <w:trHeight w:val="242"/>
        </w:trPr>
        <w:tc>
          <w:tcPr>
            <w:tcW w:w="3440" w:type="dxa"/>
            <w:vAlign w:val="bottom"/>
            <w:gridSpan w:val="2"/>
          </w:tcPr>
          <w:p>
            <w:pPr>
              <w:spacing w:after="0"/>
              <w:rPr>
                <w:sz w:val="20"/>
                <w:szCs w:val="20"/>
                <w:color w:val="auto"/>
              </w:rPr>
            </w:pPr>
            <w:r>
              <w:rPr>
                <w:rFonts w:ascii="Arial" w:cs="Arial" w:eastAsia="Arial" w:hAnsi="Arial"/>
                <w:sz w:val="18"/>
                <w:szCs w:val="18"/>
                <w:color w:val="auto"/>
              </w:rPr>
              <w:t>Carrie S. Cox</w:t>
            </w:r>
          </w:p>
        </w:tc>
        <w:tc>
          <w:tcPr>
            <w:tcW w:w="1920" w:type="dxa"/>
            <w:vAlign w:val="bottom"/>
            <w:gridSpan w:val="2"/>
          </w:tcPr>
          <w:p>
            <w:pPr>
              <w:jc w:val="right"/>
              <w:ind w:right="392"/>
              <w:spacing w:after="0"/>
              <w:rPr>
                <w:sz w:val="20"/>
                <w:szCs w:val="20"/>
                <w:color w:val="auto"/>
              </w:rPr>
            </w:pPr>
            <w:r>
              <w:rPr>
                <w:rFonts w:ascii="Arial" w:cs="Arial" w:eastAsia="Arial" w:hAnsi="Arial"/>
                <w:sz w:val="18"/>
                <w:szCs w:val="18"/>
                <w:color w:val="auto"/>
              </w:rPr>
              <w:t>48</w:t>
            </w:r>
          </w:p>
        </w:tc>
        <w:tc>
          <w:tcPr>
            <w:tcW w:w="1580" w:type="dxa"/>
            <w:vAlign w:val="bottom"/>
            <w:gridSpan w:val="2"/>
          </w:tcPr>
          <w:p>
            <w:pPr>
              <w:ind w:left="780"/>
              <w:spacing w:after="0"/>
              <w:rPr>
                <w:sz w:val="20"/>
                <w:szCs w:val="20"/>
                <w:color w:val="auto"/>
              </w:rPr>
            </w:pPr>
            <w:r>
              <w:rPr>
                <w:rFonts w:ascii="Arial" w:cs="Arial" w:eastAsia="Arial" w:hAnsi="Arial"/>
                <w:sz w:val="18"/>
                <w:szCs w:val="18"/>
                <w:color w:val="auto"/>
              </w:rPr>
              <w:t>2004</w:t>
            </w:r>
          </w:p>
        </w:tc>
        <w:tc>
          <w:tcPr>
            <w:tcW w:w="2200" w:type="dxa"/>
            <w:vAlign w:val="bottom"/>
            <w:gridSpan w:val="2"/>
          </w:tcPr>
          <w:p>
            <w:pPr>
              <w:jc w:val="right"/>
              <w:ind w:right="372"/>
              <w:spacing w:after="0"/>
              <w:rPr>
                <w:sz w:val="20"/>
                <w:szCs w:val="20"/>
                <w:color w:val="auto"/>
              </w:rPr>
            </w:pPr>
            <w:r>
              <w:rPr>
                <w:rFonts w:ascii="Arial" w:cs="Arial" w:eastAsia="Arial" w:hAnsi="Arial"/>
                <w:sz w:val="18"/>
                <w:szCs w:val="18"/>
                <w:color w:val="auto"/>
              </w:rPr>
              <w:t>6,615</w:t>
            </w:r>
          </w:p>
        </w:tc>
      </w:tr>
      <w:tr>
        <w:trPr>
          <w:trHeight w:val="244"/>
        </w:trPr>
        <w:tc>
          <w:tcPr>
            <w:tcW w:w="20" w:type="dxa"/>
            <w:vAlign w:val="bottom"/>
          </w:tcPr>
          <w:p>
            <w:pPr>
              <w:spacing w:after="0"/>
              <w:rPr>
                <w:sz w:val="21"/>
                <w:szCs w:val="21"/>
                <w:color w:val="auto"/>
              </w:rPr>
            </w:pPr>
          </w:p>
        </w:tc>
        <w:tc>
          <w:tcPr>
            <w:tcW w:w="3420" w:type="dxa"/>
            <w:vAlign w:val="bottom"/>
            <w:shd w:val="clear" w:color="auto" w:fill="FFF3CE"/>
          </w:tcPr>
          <w:p>
            <w:pPr>
              <w:spacing w:after="0"/>
              <w:rPr>
                <w:sz w:val="20"/>
                <w:szCs w:val="20"/>
                <w:color w:val="auto"/>
              </w:rPr>
            </w:pPr>
            <w:r>
              <w:rPr>
                <w:rFonts w:ascii="Arial" w:cs="Arial" w:eastAsia="Arial" w:hAnsi="Arial"/>
                <w:sz w:val="18"/>
                <w:szCs w:val="18"/>
                <w:color w:val="auto"/>
              </w:rPr>
              <w:t>Thomas J. Engibous</w:t>
            </w:r>
          </w:p>
        </w:tc>
        <w:tc>
          <w:tcPr>
            <w:tcW w:w="1920" w:type="dxa"/>
            <w:vAlign w:val="bottom"/>
            <w:gridSpan w:val="2"/>
            <w:shd w:val="clear" w:color="auto" w:fill="FFF3CE"/>
          </w:tcPr>
          <w:p>
            <w:pPr>
              <w:jc w:val="right"/>
              <w:ind w:right="392"/>
              <w:spacing w:after="0"/>
              <w:rPr>
                <w:sz w:val="20"/>
                <w:szCs w:val="20"/>
                <w:color w:val="auto"/>
              </w:rPr>
            </w:pPr>
            <w:r>
              <w:rPr>
                <w:rFonts w:ascii="Arial" w:cs="Arial" w:eastAsia="Arial" w:hAnsi="Arial"/>
                <w:sz w:val="18"/>
                <w:szCs w:val="18"/>
                <w:color w:val="auto"/>
              </w:rPr>
              <w:t>53</w:t>
            </w:r>
          </w:p>
        </w:tc>
        <w:tc>
          <w:tcPr>
            <w:tcW w:w="1580" w:type="dxa"/>
            <w:vAlign w:val="bottom"/>
            <w:gridSpan w:val="2"/>
            <w:shd w:val="clear" w:color="auto" w:fill="FFF3CE"/>
          </w:tcPr>
          <w:p>
            <w:pPr>
              <w:ind w:left="780"/>
              <w:spacing w:after="0"/>
              <w:rPr>
                <w:sz w:val="20"/>
                <w:szCs w:val="20"/>
                <w:color w:val="auto"/>
              </w:rPr>
            </w:pPr>
            <w:r>
              <w:rPr>
                <w:rFonts w:ascii="Arial" w:cs="Arial" w:eastAsia="Arial" w:hAnsi="Arial"/>
                <w:sz w:val="18"/>
                <w:szCs w:val="18"/>
                <w:color w:val="auto"/>
              </w:rPr>
              <w:t>1996</w:t>
            </w:r>
          </w:p>
        </w:tc>
        <w:tc>
          <w:tcPr>
            <w:tcW w:w="2200" w:type="dxa"/>
            <w:vAlign w:val="bottom"/>
            <w:gridSpan w:val="2"/>
            <w:shd w:val="clear" w:color="auto" w:fill="FFF3CE"/>
          </w:tcPr>
          <w:p>
            <w:pPr>
              <w:jc w:val="right"/>
              <w:ind w:right="372"/>
              <w:spacing w:after="0"/>
              <w:rPr>
                <w:sz w:val="20"/>
                <w:szCs w:val="20"/>
                <w:color w:val="auto"/>
              </w:rPr>
            </w:pPr>
            <w:r>
              <w:rPr>
                <w:rFonts w:ascii="Arial" w:cs="Arial" w:eastAsia="Arial" w:hAnsi="Arial"/>
                <w:sz w:val="18"/>
                <w:szCs w:val="18"/>
                <w:color w:val="auto"/>
              </w:rPr>
              <w:t>5,725,685</w:t>
            </w:r>
          </w:p>
        </w:tc>
      </w:tr>
      <w:tr>
        <w:trPr>
          <w:trHeight w:val="242"/>
        </w:trPr>
        <w:tc>
          <w:tcPr>
            <w:tcW w:w="3440" w:type="dxa"/>
            <w:vAlign w:val="bottom"/>
            <w:gridSpan w:val="2"/>
          </w:tcPr>
          <w:p>
            <w:pPr>
              <w:spacing w:after="0"/>
              <w:rPr>
                <w:sz w:val="20"/>
                <w:szCs w:val="20"/>
                <w:color w:val="auto"/>
              </w:rPr>
            </w:pPr>
            <w:r>
              <w:rPr>
                <w:rFonts w:ascii="Arial" w:cs="Arial" w:eastAsia="Arial" w:hAnsi="Arial"/>
                <w:sz w:val="18"/>
                <w:szCs w:val="18"/>
                <w:color w:val="auto"/>
              </w:rPr>
              <w:t>Gerald W. Fronterhouse</w:t>
            </w:r>
          </w:p>
        </w:tc>
        <w:tc>
          <w:tcPr>
            <w:tcW w:w="1920" w:type="dxa"/>
            <w:vAlign w:val="bottom"/>
            <w:gridSpan w:val="2"/>
          </w:tcPr>
          <w:p>
            <w:pPr>
              <w:jc w:val="right"/>
              <w:ind w:right="392"/>
              <w:spacing w:after="0"/>
              <w:rPr>
                <w:sz w:val="20"/>
                <w:szCs w:val="20"/>
                <w:color w:val="auto"/>
              </w:rPr>
            </w:pPr>
            <w:r>
              <w:rPr>
                <w:rFonts w:ascii="Arial" w:cs="Arial" w:eastAsia="Arial" w:hAnsi="Arial"/>
                <w:sz w:val="18"/>
                <w:szCs w:val="18"/>
                <w:color w:val="auto"/>
              </w:rPr>
              <w:t>69</w:t>
            </w:r>
          </w:p>
        </w:tc>
        <w:tc>
          <w:tcPr>
            <w:tcW w:w="1580" w:type="dxa"/>
            <w:vAlign w:val="bottom"/>
            <w:gridSpan w:val="2"/>
          </w:tcPr>
          <w:p>
            <w:pPr>
              <w:ind w:left="780"/>
              <w:spacing w:after="0"/>
              <w:rPr>
                <w:sz w:val="20"/>
                <w:szCs w:val="20"/>
                <w:color w:val="auto"/>
              </w:rPr>
            </w:pPr>
            <w:r>
              <w:rPr>
                <w:rFonts w:ascii="Arial" w:cs="Arial" w:eastAsia="Arial" w:hAnsi="Arial"/>
                <w:sz w:val="18"/>
                <w:szCs w:val="18"/>
                <w:color w:val="auto"/>
              </w:rPr>
              <w:t>1986</w:t>
            </w:r>
          </w:p>
        </w:tc>
        <w:tc>
          <w:tcPr>
            <w:tcW w:w="2200" w:type="dxa"/>
            <w:vAlign w:val="bottom"/>
            <w:gridSpan w:val="2"/>
          </w:tcPr>
          <w:p>
            <w:pPr>
              <w:jc w:val="right"/>
              <w:ind w:right="372"/>
              <w:spacing w:after="0"/>
              <w:rPr>
                <w:sz w:val="20"/>
                <w:szCs w:val="20"/>
                <w:color w:val="auto"/>
              </w:rPr>
            </w:pPr>
            <w:r>
              <w:rPr>
                <w:rFonts w:ascii="Arial" w:cs="Arial" w:eastAsia="Arial" w:hAnsi="Arial"/>
                <w:sz w:val="18"/>
                <w:szCs w:val="18"/>
                <w:color w:val="auto"/>
              </w:rPr>
              <w:t>112,839</w:t>
            </w:r>
          </w:p>
        </w:tc>
      </w:tr>
      <w:tr>
        <w:trPr>
          <w:trHeight w:val="244"/>
        </w:trPr>
        <w:tc>
          <w:tcPr>
            <w:tcW w:w="20" w:type="dxa"/>
            <w:vAlign w:val="bottom"/>
          </w:tcPr>
          <w:p>
            <w:pPr>
              <w:spacing w:after="0"/>
              <w:rPr>
                <w:sz w:val="21"/>
                <w:szCs w:val="21"/>
                <w:color w:val="auto"/>
              </w:rPr>
            </w:pPr>
          </w:p>
        </w:tc>
        <w:tc>
          <w:tcPr>
            <w:tcW w:w="3420" w:type="dxa"/>
            <w:vAlign w:val="bottom"/>
            <w:shd w:val="clear" w:color="auto" w:fill="FFF3CE"/>
          </w:tcPr>
          <w:p>
            <w:pPr>
              <w:spacing w:after="0"/>
              <w:rPr>
                <w:sz w:val="20"/>
                <w:szCs w:val="20"/>
                <w:color w:val="auto"/>
              </w:rPr>
            </w:pPr>
            <w:r>
              <w:rPr>
                <w:rFonts w:ascii="Arial" w:cs="Arial" w:eastAsia="Arial" w:hAnsi="Arial"/>
                <w:sz w:val="18"/>
                <w:szCs w:val="18"/>
                <w:color w:val="auto"/>
              </w:rPr>
              <w:t>David R. Goode</w:t>
            </w:r>
          </w:p>
        </w:tc>
        <w:tc>
          <w:tcPr>
            <w:tcW w:w="1920" w:type="dxa"/>
            <w:vAlign w:val="bottom"/>
            <w:gridSpan w:val="2"/>
            <w:shd w:val="clear" w:color="auto" w:fill="FFF3CE"/>
          </w:tcPr>
          <w:p>
            <w:pPr>
              <w:jc w:val="right"/>
              <w:ind w:right="392"/>
              <w:spacing w:after="0"/>
              <w:rPr>
                <w:sz w:val="20"/>
                <w:szCs w:val="20"/>
                <w:color w:val="auto"/>
              </w:rPr>
            </w:pPr>
            <w:r>
              <w:rPr>
                <w:rFonts w:ascii="Arial" w:cs="Arial" w:eastAsia="Arial" w:hAnsi="Arial"/>
                <w:sz w:val="18"/>
                <w:szCs w:val="18"/>
                <w:color w:val="auto"/>
              </w:rPr>
              <w:t>65</w:t>
            </w:r>
          </w:p>
        </w:tc>
        <w:tc>
          <w:tcPr>
            <w:tcW w:w="1580" w:type="dxa"/>
            <w:vAlign w:val="bottom"/>
            <w:gridSpan w:val="2"/>
            <w:shd w:val="clear" w:color="auto" w:fill="FFF3CE"/>
          </w:tcPr>
          <w:p>
            <w:pPr>
              <w:ind w:left="780"/>
              <w:spacing w:after="0"/>
              <w:rPr>
                <w:sz w:val="20"/>
                <w:szCs w:val="20"/>
                <w:color w:val="auto"/>
              </w:rPr>
            </w:pPr>
            <w:r>
              <w:rPr>
                <w:rFonts w:ascii="Arial" w:cs="Arial" w:eastAsia="Arial" w:hAnsi="Arial"/>
                <w:sz w:val="18"/>
                <w:szCs w:val="18"/>
                <w:color w:val="auto"/>
              </w:rPr>
              <w:t>1996</w:t>
            </w:r>
          </w:p>
        </w:tc>
        <w:tc>
          <w:tcPr>
            <w:tcW w:w="2200" w:type="dxa"/>
            <w:vAlign w:val="bottom"/>
            <w:gridSpan w:val="2"/>
            <w:shd w:val="clear" w:color="auto" w:fill="FFF3CE"/>
          </w:tcPr>
          <w:p>
            <w:pPr>
              <w:jc w:val="right"/>
              <w:ind w:right="372"/>
              <w:spacing w:after="0"/>
              <w:rPr>
                <w:sz w:val="20"/>
                <w:szCs w:val="20"/>
                <w:color w:val="auto"/>
              </w:rPr>
            </w:pPr>
            <w:r>
              <w:rPr>
                <w:rFonts w:ascii="Arial" w:cs="Arial" w:eastAsia="Arial" w:hAnsi="Arial"/>
                <w:sz w:val="18"/>
                <w:szCs w:val="18"/>
                <w:color w:val="auto"/>
              </w:rPr>
              <w:t>96,350</w:t>
            </w:r>
          </w:p>
        </w:tc>
      </w:tr>
      <w:tr>
        <w:trPr>
          <w:trHeight w:val="242"/>
        </w:trPr>
        <w:tc>
          <w:tcPr>
            <w:tcW w:w="3440" w:type="dxa"/>
            <w:vAlign w:val="bottom"/>
            <w:gridSpan w:val="2"/>
          </w:tcPr>
          <w:p>
            <w:pPr>
              <w:spacing w:after="0"/>
              <w:rPr>
                <w:sz w:val="20"/>
                <w:szCs w:val="20"/>
                <w:color w:val="auto"/>
              </w:rPr>
            </w:pPr>
            <w:r>
              <w:rPr>
                <w:rFonts w:ascii="Arial" w:cs="Arial" w:eastAsia="Arial" w:hAnsi="Arial"/>
                <w:sz w:val="18"/>
                <w:szCs w:val="18"/>
                <w:color w:val="auto"/>
              </w:rPr>
              <w:t>Pamela H. Patsley</w:t>
            </w:r>
          </w:p>
        </w:tc>
        <w:tc>
          <w:tcPr>
            <w:tcW w:w="1920" w:type="dxa"/>
            <w:vAlign w:val="bottom"/>
            <w:gridSpan w:val="2"/>
          </w:tcPr>
          <w:p>
            <w:pPr>
              <w:jc w:val="right"/>
              <w:ind w:right="392"/>
              <w:spacing w:after="0"/>
              <w:rPr>
                <w:sz w:val="20"/>
                <w:szCs w:val="20"/>
                <w:color w:val="auto"/>
              </w:rPr>
            </w:pPr>
            <w:r>
              <w:rPr>
                <w:rFonts w:ascii="Arial" w:cs="Arial" w:eastAsia="Arial" w:hAnsi="Arial"/>
                <w:sz w:val="18"/>
                <w:szCs w:val="18"/>
                <w:color w:val="auto"/>
              </w:rPr>
              <w:t>49</w:t>
            </w:r>
          </w:p>
        </w:tc>
        <w:tc>
          <w:tcPr>
            <w:tcW w:w="1580" w:type="dxa"/>
            <w:vAlign w:val="bottom"/>
            <w:gridSpan w:val="2"/>
          </w:tcPr>
          <w:p>
            <w:pPr>
              <w:ind w:left="780"/>
              <w:spacing w:after="0"/>
              <w:rPr>
                <w:sz w:val="20"/>
                <w:szCs w:val="20"/>
                <w:color w:val="auto"/>
              </w:rPr>
            </w:pPr>
            <w:r>
              <w:rPr>
                <w:rFonts w:ascii="Arial" w:cs="Arial" w:eastAsia="Arial" w:hAnsi="Arial"/>
                <w:sz w:val="18"/>
                <w:szCs w:val="18"/>
                <w:color w:val="auto"/>
              </w:rPr>
              <w:t>2004</w:t>
            </w:r>
          </w:p>
        </w:tc>
        <w:tc>
          <w:tcPr>
            <w:tcW w:w="2200" w:type="dxa"/>
            <w:vAlign w:val="bottom"/>
            <w:gridSpan w:val="2"/>
          </w:tcPr>
          <w:p>
            <w:pPr>
              <w:jc w:val="right"/>
              <w:ind w:right="372"/>
              <w:spacing w:after="0"/>
              <w:rPr>
                <w:sz w:val="20"/>
                <w:szCs w:val="20"/>
                <w:color w:val="auto"/>
              </w:rPr>
            </w:pPr>
            <w:r>
              <w:rPr>
                <w:rFonts w:ascii="Arial" w:cs="Arial" w:eastAsia="Arial" w:hAnsi="Arial"/>
                <w:sz w:val="18"/>
                <w:szCs w:val="18"/>
                <w:color w:val="auto"/>
              </w:rPr>
              <w:t>8,257</w:t>
            </w:r>
          </w:p>
        </w:tc>
      </w:tr>
      <w:tr>
        <w:trPr>
          <w:trHeight w:val="244"/>
        </w:trPr>
        <w:tc>
          <w:tcPr>
            <w:tcW w:w="20" w:type="dxa"/>
            <w:vAlign w:val="bottom"/>
          </w:tcPr>
          <w:p>
            <w:pPr>
              <w:spacing w:after="0"/>
              <w:rPr>
                <w:sz w:val="21"/>
                <w:szCs w:val="21"/>
                <w:color w:val="auto"/>
              </w:rPr>
            </w:pPr>
          </w:p>
        </w:tc>
        <w:tc>
          <w:tcPr>
            <w:tcW w:w="3420" w:type="dxa"/>
            <w:vAlign w:val="bottom"/>
            <w:shd w:val="clear" w:color="auto" w:fill="FFF3CE"/>
          </w:tcPr>
          <w:p>
            <w:pPr>
              <w:spacing w:after="0"/>
              <w:rPr>
                <w:sz w:val="20"/>
                <w:szCs w:val="20"/>
                <w:color w:val="auto"/>
              </w:rPr>
            </w:pPr>
            <w:r>
              <w:rPr>
                <w:rFonts w:ascii="Arial" w:cs="Arial" w:eastAsia="Arial" w:hAnsi="Arial"/>
                <w:sz w:val="18"/>
                <w:szCs w:val="18"/>
                <w:color w:val="auto"/>
              </w:rPr>
              <w:t>Wayne R. Sanders</w:t>
            </w:r>
          </w:p>
        </w:tc>
        <w:tc>
          <w:tcPr>
            <w:tcW w:w="1920" w:type="dxa"/>
            <w:vAlign w:val="bottom"/>
            <w:gridSpan w:val="2"/>
            <w:shd w:val="clear" w:color="auto" w:fill="FFF3CE"/>
          </w:tcPr>
          <w:p>
            <w:pPr>
              <w:jc w:val="right"/>
              <w:ind w:right="392"/>
              <w:spacing w:after="0"/>
              <w:rPr>
                <w:sz w:val="20"/>
                <w:szCs w:val="20"/>
                <w:color w:val="auto"/>
              </w:rPr>
            </w:pPr>
            <w:r>
              <w:rPr>
                <w:rFonts w:ascii="Arial" w:cs="Arial" w:eastAsia="Arial" w:hAnsi="Arial"/>
                <w:sz w:val="18"/>
                <w:szCs w:val="18"/>
                <w:color w:val="auto"/>
              </w:rPr>
              <w:t>58</w:t>
            </w:r>
          </w:p>
        </w:tc>
        <w:tc>
          <w:tcPr>
            <w:tcW w:w="1580" w:type="dxa"/>
            <w:vAlign w:val="bottom"/>
            <w:gridSpan w:val="2"/>
            <w:shd w:val="clear" w:color="auto" w:fill="FFF3CE"/>
          </w:tcPr>
          <w:p>
            <w:pPr>
              <w:ind w:left="780"/>
              <w:spacing w:after="0"/>
              <w:rPr>
                <w:sz w:val="20"/>
                <w:szCs w:val="20"/>
                <w:color w:val="auto"/>
              </w:rPr>
            </w:pPr>
            <w:r>
              <w:rPr>
                <w:rFonts w:ascii="Arial" w:cs="Arial" w:eastAsia="Arial" w:hAnsi="Arial"/>
                <w:sz w:val="18"/>
                <w:szCs w:val="18"/>
                <w:color w:val="auto"/>
              </w:rPr>
              <w:t>1997</w:t>
            </w:r>
          </w:p>
        </w:tc>
        <w:tc>
          <w:tcPr>
            <w:tcW w:w="2200" w:type="dxa"/>
            <w:vAlign w:val="bottom"/>
            <w:gridSpan w:val="2"/>
            <w:shd w:val="clear" w:color="auto" w:fill="FFF3CE"/>
          </w:tcPr>
          <w:p>
            <w:pPr>
              <w:jc w:val="right"/>
              <w:ind w:right="372"/>
              <w:spacing w:after="0"/>
              <w:rPr>
                <w:sz w:val="20"/>
                <w:szCs w:val="20"/>
                <w:color w:val="auto"/>
              </w:rPr>
            </w:pPr>
            <w:r>
              <w:rPr>
                <w:rFonts w:ascii="Arial" w:cs="Arial" w:eastAsia="Arial" w:hAnsi="Arial"/>
                <w:sz w:val="18"/>
                <w:szCs w:val="18"/>
                <w:color w:val="auto"/>
              </w:rPr>
              <w:t>85,248</w:t>
            </w:r>
          </w:p>
        </w:tc>
      </w:tr>
      <w:tr>
        <w:trPr>
          <w:trHeight w:val="242"/>
        </w:trPr>
        <w:tc>
          <w:tcPr>
            <w:tcW w:w="3440" w:type="dxa"/>
            <w:vAlign w:val="bottom"/>
            <w:gridSpan w:val="2"/>
          </w:tcPr>
          <w:p>
            <w:pPr>
              <w:spacing w:after="0"/>
              <w:rPr>
                <w:sz w:val="20"/>
                <w:szCs w:val="20"/>
                <w:color w:val="auto"/>
              </w:rPr>
            </w:pPr>
            <w:r>
              <w:rPr>
                <w:rFonts w:ascii="Arial" w:cs="Arial" w:eastAsia="Arial" w:hAnsi="Arial"/>
                <w:sz w:val="18"/>
                <w:szCs w:val="18"/>
                <w:color w:val="auto"/>
              </w:rPr>
              <w:t>Ruth J. Simmons</w:t>
            </w:r>
          </w:p>
        </w:tc>
        <w:tc>
          <w:tcPr>
            <w:tcW w:w="1920" w:type="dxa"/>
            <w:vAlign w:val="bottom"/>
            <w:gridSpan w:val="2"/>
          </w:tcPr>
          <w:p>
            <w:pPr>
              <w:jc w:val="right"/>
              <w:ind w:right="392"/>
              <w:spacing w:after="0"/>
              <w:rPr>
                <w:sz w:val="20"/>
                <w:szCs w:val="20"/>
                <w:color w:val="auto"/>
              </w:rPr>
            </w:pPr>
            <w:r>
              <w:rPr>
                <w:rFonts w:ascii="Arial" w:cs="Arial" w:eastAsia="Arial" w:hAnsi="Arial"/>
                <w:sz w:val="18"/>
                <w:szCs w:val="18"/>
                <w:color w:val="auto"/>
              </w:rPr>
              <w:t>60</w:t>
            </w:r>
          </w:p>
        </w:tc>
        <w:tc>
          <w:tcPr>
            <w:tcW w:w="1580" w:type="dxa"/>
            <w:vAlign w:val="bottom"/>
            <w:gridSpan w:val="2"/>
          </w:tcPr>
          <w:p>
            <w:pPr>
              <w:ind w:left="780"/>
              <w:spacing w:after="0"/>
              <w:rPr>
                <w:sz w:val="20"/>
                <w:szCs w:val="20"/>
                <w:color w:val="auto"/>
              </w:rPr>
            </w:pPr>
            <w:r>
              <w:rPr>
                <w:rFonts w:ascii="Arial" w:cs="Arial" w:eastAsia="Arial" w:hAnsi="Arial"/>
                <w:sz w:val="18"/>
                <w:szCs w:val="18"/>
                <w:color w:val="auto"/>
              </w:rPr>
              <w:t>1999</w:t>
            </w:r>
          </w:p>
        </w:tc>
        <w:tc>
          <w:tcPr>
            <w:tcW w:w="2200" w:type="dxa"/>
            <w:vAlign w:val="bottom"/>
            <w:gridSpan w:val="2"/>
          </w:tcPr>
          <w:p>
            <w:pPr>
              <w:jc w:val="right"/>
              <w:ind w:right="372"/>
              <w:spacing w:after="0"/>
              <w:rPr>
                <w:sz w:val="20"/>
                <w:szCs w:val="20"/>
                <w:color w:val="auto"/>
              </w:rPr>
            </w:pPr>
            <w:r>
              <w:rPr>
                <w:rFonts w:ascii="Arial" w:cs="Arial" w:eastAsia="Arial" w:hAnsi="Arial"/>
                <w:sz w:val="18"/>
                <w:szCs w:val="18"/>
                <w:color w:val="auto"/>
              </w:rPr>
              <w:t>70,222</w:t>
            </w:r>
          </w:p>
        </w:tc>
      </w:tr>
      <w:tr>
        <w:trPr>
          <w:trHeight w:val="244"/>
        </w:trPr>
        <w:tc>
          <w:tcPr>
            <w:tcW w:w="20" w:type="dxa"/>
            <w:vAlign w:val="bottom"/>
          </w:tcPr>
          <w:p>
            <w:pPr>
              <w:spacing w:after="0"/>
              <w:rPr>
                <w:sz w:val="21"/>
                <w:szCs w:val="21"/>
                <w:color w:val="auto"/>
              </w:rPr>
            </w:pPr>
          </w:p>
        </w:tc>
        <w:tc>
          <w:tcPr>
            <w:tcW w:w="3420" w:type="dxa"/>
            <w:vAlign w:val="bottom"/>
            <w:shd w:val="clear" w:color="auto" w:fill="FFF3CE"/>
          </w:tcPr>
          <w:p>
            <w:pPr>
              <w:spacing w:after="0"/>
              <w:rPr>
                <w:sz w:val="20"/>
                <w:szCs w:val="20"/>
                <w:color w:val="auto"/>
              </w:rPr>
            </w:pPr>
            <w:r>
              <w:rPr>
                <w:rFonts w:ascii="Arial" w:cs="Arial" w:eastAsia="Arial" w:hAnsi="Arial"/>
                <w:sz w:val="18"/>
                <w:szCs w:val="18"/>
                <w:color w:val="auto"/>
              </w:rPr>
              <w:t>Richard K. Templeton</w:t>
            </w:r>
          </w:p>
        </w:tc>
        <w:tc>
          <w:tcPr>
            <w:tcW w:w="1920" w:type="dxa"/>
            <w:vAlign w:val="bottom"/>
            <w:gridSpan w:val="2"/>
            <w:shd w:val="clear" w:color="auto" w:fill="FFF3CE"/>
          </w:tcPr>
          <w:p>
            <w:pPr>
              <w:jc w:val="right"/>
              <w:ind w:right="392"/>
              <w:spacing w:after="0"/>
              <w:rPr>
                <w:sz w:val="20"/>
                <w:szCs w:val="20"/>
                <w:color w:val="auto"/>
              </w:rPr>
            </w:pPr>
            <w:r>
              <w:rPr>
                <w:rFonts w:ascii="Arial" w:cs="Arial" w:eastAsia="Arial" w:hAnsi="Arial"/>
                <w:sz w:val="18"/>
                <w:szCs w:val="18"/>
                <w:color w:val="auto"/>
              </w:rPr>
              <w:t>47</w:t>
            </w:r>
          </w:p>
        </w:tc>
        <w:tc>
          <w:tcPr>
            <w:tcW w:w="1580" w:type="dxa"/>
            <w:vAlign w:val="bottom"/>
            <w:gridSpan w:val="2"/>
            <w:shd w:val="clear" w:color="auto" w:fill="FFF3CE"/>
          </w:tcPr>
          <w:p>
            <w:pPr>
              <w:ind w:left="780"/>
              <w:spacing w:after="0"/>
              <w:rPr>
                <w:sz w:val="20"/>
                <w:szCs w:val="20"/>
                <w:color w:val="auto"/>
              </w:rPr>
            </w:pPr>
            <w:r>
              <w:rPr>
                <w:rFonts w:ascii="Arial" w:cs="Arial" w:eastAsia="Arial" w:hAnsi="Arial"/>
                <w:sz w:val="18"/>
                <w:szCs w:val="18"/>
                <w:color w:val="auto"/>
              </w:rPr>
              <w:t>2003</w:t>
            </w:r>
          </w:p>
        </w:tc>
        <w:tc>
          <w:tcPr>
            <w:tcW w:w="2200" w:type="dxa"/>
            <w:vAlign w:val="bottom"/>
            <w:gridSpan w:val="2"/>
            <w:shd w:val="clear" w:color="auto" w:fill="FFF3CE"/>
          </w:tcPr>
          <w:p>
            <w:pPr>
              <w:jc w:val="right"/>
              <w:ind w:right="372"/>
              <w:spacing w:after="0"/>
              <w:rPr>
                <w:sz w:val="20"/>
                <w:szCs w:val="20"/>
                <w:color w:val="auto"/>
              </w:rPr>
            </w:pPr>
            <w:r>
              <w:rPr>
                <w:rFonts w:ascii="Arial" w:cs="Arial" w:eastAsia="Arial" w:hAnsi="Arial"/>
                <w:sz w:val="18"/>
                <w:szCs w:val="18"/>
                <w:color w:val="auto"/>
              </w:rPr>
              <w:t>4,637,808</w:t>
            </w:r>
          </w:p>
        </w:tc>
      </w:tr>
      <w:tr>
        <w:trPr>
          <w:trHeight w:val="241"/>
        </w:trPr>
        <w:tc>
          <w:tcPr>
            <w:tcW w:w="3440" w:type="dxa"/>
            <w:vAlign w:val="bottom"/>
            <w:gridSpan w:val="2"/>
          </w:tcPr>
          <w:p>
            <w:pPr>
              <w:spacing w:after="0"/>
              <w:rPr>
                <w:sz w:val="20"/>
                <w:szCs w:val="20"/>
                <w:color w:val="auto"/>
              </w:rPr>
            </w:pPr>
            <w:r>
              <w:rPr>
                <w:rFonts w:ascii="Arial" w:cs="Arial" w:eastAsia="Arial" w:hAnsi="Arial"/>
                <w:sz w:val="18"/>
                <w:szCs w:val="18"/>
                <w:color w:val="auto"/>
              </w:rPr>
              <w:t>Christine Todd Whitman</w:t>
            </w:r>
          </w:p>
        </w:tc>
        <w:tc>
          <w:tcPr>
            <w:tcW w:w="1920" w:type="dxa"/>
            <w:vAlign w:val="bottom"/>
            <w:gridSpan w:val="2"/>
          </w:tcPr>
          <w:p>
            <w:pPr>
              <w:jc w:val="right"/>
              <w:ind w:right="392"/>
              <w:spacing w:after="0"/>
              <w:rPr>
                <w:sz w:val="20"/>
                <w:szCs w:val="20"/>
                <w:color w:val="auto"/>
              </w:rPr>
            </w:pPr>
            <w:r>
              <w:rPr>
                <w:rFonts w:ascii="Arial" w:cs="Arial" w:eastAsia="Arial" w:hAnsi="Arial"/>
                <w:sz w:val="18"/>
                <w:szCs w:val="18"/>
                <w:color w:val="auto"/>
              </w:rPr>
              <w:t>59</w:t>
            </w:r>
          </w:p>
        </w:tc>
        <w:tc>
          <w:tcPr>
            <w:tcW w:w="1580" w:type="dxa"/>
            <w:vAlign w:val="bottom"/>
            <w:gridSpan w:val="2"/>
          </w:tcPr>
          <w:p>
            <w:pPr>
              <w:ind w:left="780"/>
              <w:spacing w:after="0"/>
              <w:rPr>
                <w:sz w:val="20"/>
                <w:szCs w:val="20"/>
                <w:color w:val="auto"/>
              </w:rPr>
            </w:pPr>
            <w:r>
              <w:rPr>
                <w:rFonts w:ascii="Arial" w:cs="Arial" w:eastAsia="Arial" w:hAnsi="Arial"/>
                <w:sz w:val="18"/>
                <w:szCs w:val="18"/>
                <w:color w:val="auto"/>
              </w:rPr>
              <w:t>2003</w:t>
            </w:r>
          </w:p>
        </w:tc>
        <w:tc>
          <w:tcPr>
            <w:tcW w:w="2200" w:type="dxa"/>
            <w:vAlign w:val="bottom"/>
            <w:gridSpan w:val="2"/>
          </w:tcPr>
          <w:p>
            <w:pPr>
              <w:jc w:val="right"/>
              <w:ind w:right="372"/>
              <w:spacing w:after="0"/>
              <w:rPr>
                <w:sz w:val="20"/>
                <w:szCs w:val="20"/>
                <w:color w:val="auto"/>
              </w:rPr>
            </w:pPr>
            <w:r>
              <w:rPr>
                <w:rFonts w:ascii="Arial" w:cs="Arial" w:eastAsia="Arial" w:hAnsi="Arial"/>
                <w:sz w:val="18"/>
                <w:szCs w:val="18"/>
                <w:color w:val="auto"/>
              </w:rPr>
              <w:t>13,250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9950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 Included in the common stock ownership shown above are:</w:t>
      </w:r>
    </w:p>
    <w:p>
      <w:pPr>
        <w:spacing w:after="0" w:line="200" w:lineRule="exact"/>
        <w:rPr>
          <w:sz w:val="20"/>
          <w:szCs w:val="20"/>
          <w:color w:val="auto"/>
        </w:rPr>
      </w:pP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5"/>
              </w:rPr>
              <w:t>Shares Credited</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5"/>
              </w:rPr>
              <w:t>Shares Credited</w:t>
            </w: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 401(k) and</w:t>
            </w:r>
          </w:p>
        </w:tc>
        <w:tc>
          <w:tcPr>
            <w:tcW w:w="2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2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Deferred</w:t>
            </w: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Obtainable</w:t>
            </w:r>
          </w:p>
        </w:tc>
        <w:tc>
          <w:tcPr>
            <w:tcW w:w="2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Profit Sharing</w:t>
            </w:r>
          </w:p>
        </w:tc>
        <w:tc>
          <w:tcPr>
            <w:tcW w:w="2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Stock Units</w:t>
            </w:r>
          </w:p>
        </w:tc>
        <w:tc>
          <w:tcPr>
            <w:tcW w:w="2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r>
      <w:tr>
        <w:trPr>
          <w:trHeight w:val="174"/>
        </w:trPr>
        <w:tc>
          <w:tcPr>
            <w:tcW w:w="20" w:type="dxa"/>
            <w:vAlign w:val="bottom"/>
          </w:tcPr>
          <w:p>
            <w:pPr>
              <w:spacing w:after="0"/>
              <w:rPr>
                <w:sz w:val="15"/>
                <w:szCs w:val="15"/>
                <w:color w:val="auto"/>
              </w:rPr>
            </w:pPr>
          </w:p>
        </w:tc>
        <w:tc>
          <w:tcPr>
            <w:tcW w:w="2220" w:type="dxa"/>
            <w:vAlign w:val="bottom"/>
          </w:tcPr>
          <w:p>
            <w:pPr>
              <w:ind w:left="860"/>
              <w:spacing w:after="0"/>
              <w:rPr>
                <w:sz w:val="20"/>
                <w:szCs w:val="20"/>
                <w:color w:val="auto"/>
              </w:rPr>
            </w:pPr>
            <w:r>
              <w:rPr>
                <w:rFonts w:ascii="Arial" w:cs="Arial" w:eastAsia="Arial" w:hAnsi="Arial"/>
                <w:sz w:val="14"/>
                <w:szCs w:val="14"/>
                <w:b w:val="1"/>
                <w:bCs w:val="1"/>
                <w:color w:val="auto"/>
              </w:rPr>
              <w:t>Director</w:t>
            </w:r>
          </w:p>
        </w:tc>
        <w:tc>
          <w:tcPr>
            <w:tcW w:w="76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Within 60 Days</w:t>
            </w:r>
          </w:p>
        </w:tc>
        <w:tc>
          <w:tcPr>
            <w:tcW w:w="2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1"/>
              </w:rPr>
              <w:t>Accounts</w:t>
            </w:r>
          </w:p>
        </w:tc>
        <w:tc>
          <w:tcPr>
            <w:tcW w:w="26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7"/>
              </w:rPr>
              <w:t>(in Shares)(1)</w:t>
            </w:r>
          </w:p>
        </w:tc>
        <w:tc>
          <w:tcPr>
            <w:tcW w:w="2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7"/>
              </w:rPr>
              <w:t>Account(2)</w:t>
            </w:r>
          </w:p>
        </w:tc>
      </w:tr>
      <w:tr>
        <w:trPr>
          <w:trHeight w:val="55"/>
        </w:trPr>
        <w:tc>
          <w:tcPr>
            <w:tcW w:w="2240" w:type="dxa"/>
            <w:vAlign w:val="bottom"/>
            <w:gridSpan w:val="2"/>
          </w:tcPr>
          <w:p>
            <w:pPr>
              <w:spacing w:after="0"/>
              <w:rPr>
                <w:sz w:val="4"/>
                <w:szCs w:val="4"/>
                <w:color w:val="auto"/>
              </w:rPr>
            </w:pPr>
          </w:p>
        </w:tc>
        <w:tc>
          <w:tcPr>
            <w:tcW w:w="7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61"/>
        </w:trPr>
        <w:tc>
          <w:tcPr>
            <w:tcW w:w="20" w:type="dxa"/>
            <w:vAlign w:val="bottom"/>
          </w:tcPr>
          <w:p>
            <w:pPr>
              <w:spacing w:after="0"/>
              <w:rPr>
                <w:sz w:val="5"/>
                <w:szCs w:val="5"/>
                <w:color w:val="auto"/>
              </w:rPr>
            </w:pPr>
          </w:p>
        </w:tc>
        <w:tc>
          <w:tcPr>
            <w:tcW w:w="2220" w:type="dxa"/>
            <w:vAlign w:val="bottom"/>
            <w:tcBorders>
              <w:top w:val="single" w:sz="8" w:color="auto"/>
            </w:tcBorders>
          </w:tcPr>
          <w:p>
            <w:pPr>
              <w:spacing w:after="0"/>
              <w:rPr>
                <w:sz w:val="5"/>
                <w:szCs w:val="5"/>
                <w:color w:val="auto"/>
              </w:rPr>
            </w:pPr>
          </w:p>
        </w:tc>
        <w:tc>
          <w:tcPr>
            <w:tcW w:w="760" w:type="dxa"/>
            <w:vAlign w:val="bottom"/>
          </w:tcPr>
          <w:p>
            <w:pPr>
              <w:spacing w:after="0"/>
              <w:rPr>
                <w:sz w:val="5"/>
                <w:szCs w:val="5"/>
                <w:color w:val="auto"/>
              </w:rPr>
            </w:pPr>
          </w:p>
        </w:tc>
        <w:tc>
          <w:tcPr>
            <w:tcW w:w="144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30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320" w:type="dxa"/>
            <w:vAlign w:val="bottom"/>
            <w:tcBorders>
              <w:top w:val="single" w:sz="8" w:color="auto"/>
            </w:tcBorders>
          </w:tcPr>
          <w:p>
            <w:pPr>
              <w:spacing w:after="0"/>
              <w:rPr>
                <w:sz w:val="5"/>
                <w:szCs w:val="5"/>
                <w:color w:val="auto"/>
              </w:rPr>
            </w:pPr>
          </w:p>
        </w:tc>
      </w:tr>
      <w:tr>
        <w:trPr>
          <w:trHeight w:val="243"/>
        </w:trPr>
        <w:tc>
          <w:tcPr>
            <w:tcW w:w="20" w:type="dxa"/>
            <w:vAlign w:val="bottom"/>
          </w:tcPr>
          <w:p>
            <w:pPr>
              <w:spacing w:after="0"/>
              <w:rPr>
                <w:sz w:val="21"/>
                <w:szCs w:val="21"/>
                <w:color w:val="auto"/>
              </w:rPr>
            </w:pPr>
          </w:p>
        </w:tc>
        <w:tc>
          <w:tcPr>
            <w:tcW w:w="2220" w:type="dxa"/>
            <w:vAlign w:val="bottom"/>
            <w:shd w:val="clear" w:color="auto" w:fill="FFF3CE"/>
          </w:tcPr>
          <w:p>
            <w:pPr>
              <w:spacing w:after="0"/>
              <w:rPr>
                <w:sz w:val="20"/>
                <w:szCs w:val="20"/>
                <w:color w:val="auto"/>
              </w:rPr>
            </w:pPr>
            <w:r>
              <w:rPr>
                <w:rFonts w:ascii="Arial" w:cs="Arial" w:eastAsia="Arial" w:hAnsi="Arial"/>
                <w:sz w:val="18"/>
                <w:szCs w:val="18"/>
                <w:color w:val="auto"/>
              </w:rPr>
              <w:t>J.R. Adams</w:t>
            </w:r>
          </w:p>
        </w:tc>
        <w:tc>
          <w:tcPr>
            <w:tcW w:w="2200" w:type="dxa"/>
            <w:vAlign w:val="bottom"/>
            <w:gridSpan w:val="2"/>
            <w:shd w:val="clear" w:color="auto" w:fill="FFF3CE"/>
          </w:tcPr>
          <w:p>
            <w:pPr>
              <w:jc w:val="right"/>
              <w:ind w:right="292"/>
              <w:spacing w:after="0"/>
              <w:rPr>
                <w:sz w:val="20"/>
                <w:szCs w:val="20"/>
                <w:color w:val="auto"/>
              </w:rPr>
            </w:pPr>
            <w:r>
              <w:rPr>
                <w:rFonts w:ascii="Arial" w:cs="Arial" w:eastAsia="Arial" w:hAnsi="Arial"/>
                <w:sz w:val="18"/>
                <w:szCs w:val="18"/>
                <w:color w:val="auto"/>
              </w:rPr>
              <w:t>508,750</w:t>
            </w:r>
          </w:p>
        </w:tc>
        <w:tc>
          <w:tcPr>
            <w:tcW w:w="1560" w:type="dxa"/>
            <w:vAlign w:val="bottom"/>
            <w:gridSpan w:val="2"/>
            <w:shd w:val="clear" w:color="auto" w:fill="FFF3CE"/>
          </w:tcPr>
          <w:p>
            <w:pPr>
              <w:jc w:val="right"/>
              <w:ind w:right="312"/>
              <w:spacing w:after="0"/>
              <w:rPr>
                <w:sz w:val="20"/>
                <w:szCs w:val="20"/>
                <w:color w:val="auto"/>
              </w:rPr>
            </w:pPr>
            <w:r>
              <w:rPr>
                <w:rFonts w:ascii="Arial" w:cs="Arial" w:eastAsia="Arial" w:hAnsi="Arial"/>
                <w:sz w:val="18"/>
                <w:szCs w:val="18"/>
                <w:color w:val="auto"/>
              </w:rPr>
              <w:t>3,429</w:t>
            </w:r>
          </w:p>
        </w:tc>
        <w:tc>
          <w:tcPr>
            <w:tcW w:w="1560" w:type="dxa"/>
            <w:vAlign w:val="bottom"/>
            <w:gridSpan w:val="2"/>
            <w:shd w:val="clear" w:color="auto" w:fill="FFF3CE"/>
          </w:tcPr>
          <w:p>
            <w:pPr>
              <w:jc w:val="right"/>
              <w:ind w:right="292"/>
              <w:spacing w:after="0"/>
              <w:rPr>
                <w:sz w:val="20"/>
                <w:szCs w:val="20"/>
                <w:color w:val="auto"/>
              </w:rPr>
            </w:pPr>
            <w:r>
              <w:rPr>
                <w:rFonts w:ascii="Arial" w:cs="Arial" w:eastAsia="Arial" w:hAnsi="Arial"/>
                <w:sz w:val="18"/>
                <w:szCs w:val="18"/>
                <w:color w:val="auto"/>
              </w:rPr>
              <w:t>18,512</w:t>
            </w:r>
          </w:p>
        </w:tc>
        <w:tc>
          <w:tcPr>
            <w:tcW w:w="1580" w:type="dxa"/>
            <w:vAlign w:val="bottom"/>
            <w:gridSpan w:val="2"/>
            <w:shd w:val="clear" w:color="auto" w:fill="FFF3CE"/>
          </w:tcPr>
          <w:p>
            <w:pPr>
              <w:jc w:val="right"/>
              <w:ind w:right="312"/>
              <w:spacing w:after="0"/>
              <w:rPr>
                <w:sz w:val="20"/>
                <w:szCs w:val="20"/>
                <w:color w:val="auto"/>
              </w:rPr>
            </w:pPr>
            <w:r>
              <w:rPr>
                <w:rFonts w:ascii="Arial" w:cs="Arial" w:eastAsia="Arial" w:hAnsi="Arial"/>
                <w:sz w:val="18"/>
                <w:szCs w:val="18"/>
                <w:color w:val="auto"/>
              </w:rPr>
              <w:t>19,076</w:t>
            </w:r>
          </w:p>
        </w:tc>
      </w:tr>
      <w:tr>
        <w:trPr>
          <w:trHeight w:val="242"/>
        </w:trPr>
        <w:tc>
          <w:tcPr>
            <w:tcW w:w="2240" w:type="dxa"/>
            <w:vAlign w:val="bottom"/>
            <w:gridSpan w:val="2"/>
          </w:tcPr>
          <w:p>
            <w:pPr>
              <w:spacing w:after="0"/>
              <w:rPr>
                <w:sz w:val="20"/>
                <w:szCs w:val="20"/>
                <w:color w:val="auto"/>
              </w:rPr>
            </w:pPr>
            <w:r>
              <w:rPr>
                <w:rFonts w:ascii="Arial" w:cs="Arial" w:eastAsia="Arial" w:hAnsi="Arial"/>
                <w:sz w:val="18"/>
                <w:szCs w:val="18"/>
                <w:color w:val="auto"/>
              </w:rPr>
              <w:t>D.L. Boren</w:t>
            </w:r>
          </w:p>
        </w:tc>
        <w:tc>
          <w:tcPr>
            <w:tcW w:w="2200" w:type="dxa"/>
            <w:vAlign w:val="bottom"/>
            <w:gridSpan w:val="2"/>
          </w:tcPr>
          <w:p>
            <w:pPr>
              <w:jc w:val="right"/>
              <w:ind w:right="292"/>
              <w:spacing w:after="0"/>
              <w:rPr>
                <w:sz w:val="20"/>
                <w:szCs w:val="20"/>
                <w:color w:val="auto"/>
              </w:rPr>
            </w:pPr>
            <w:r>
              <w:rPr>
                <w:rFonts w:ascii="Arial" w:cs="Arial" w:eastAsia="Arial" w:hAnsi="Arial"/>
                <w:sz w:val="18"/>
                <w:szCs w:val="18"/>
                <w:color w:val="auto"/>
              </w:rPr>
              <w:t>48,750</w:t>
            </w:r>
          </w:p>
        </w:tc>
        <w:tc>
          <w:tcPr>
            <w:tcW w:w="156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c>
          <w:tcPr>
            <w:tcW w:w="1560" w:type="dxa"/>
            <w:vAlign w:val="bottom"/>
            <w:gridSpan w:val="2"/>
          </w:tcPr>
          <w:p>
            <w:pPr>
              <w:jc w:val="right"/>
              <w:ind w:right="292"/>
              <w:spacing w:after="0"/>
              <w:rPr>
                <w:sz w:val="20"/>
                <w:szCs w:val="20"/>
                <w:color w:val="auto"/>
              </w:rPr>
            </w:pPr>
            <w:r>
              <w:rPr>
                <w:rFonts w:ascii="Arial" w:cs="Arial" w:eastAsia="Arial" w:hAnsi="Arial"/>
                <w:sz w:val="18"/>
                <w:szCs w:val="18"/>
                <w:color w:val="auto"/>
              </w:rPr>
              <w:t>22,880</w:t>
            </w:r>
          </w:p>
        </w:tc>
        <w:tc>
          <w:tcPr>
            <w:tcW w:w="1580" w:type="dxa"/>
            <w:vAlign w:val="bottom"/>
            <w:gridSpan w:val="2"/>
          </w:tcPr>
          <w:p>
            <w:pPr>
              <w:jc w:val="right"/>
              <w:ind w:right="312"/>
              <w:spacing w:after="0"/>
              <w:rPr>
                <w:sz w:val="20"/>
                <w:szCs w:val="20"/>
                <w:color w:val="auto"/>
              </w:rPr>
            </w:pPr>
            <w:r>
              <w:rPr>
                <w:rFonts w:ascii="Arial" w:cs="Arial" w:eastAsia="Arial" w:hAnsi="Arial"/>
                <w:sz w:val="18"/>
                <w:szCs w:val="18"/>
                <w:color w:val="auto"/>
              </w:rPr>
              <w:t>2,668</w:t>
            </w:r>
          </w:p>
        </w:tc>
      </w:tr>
      <w:tr>
        <w:trPr>
          <w:trHeight w:val="244"/>
        </w:trPr>
        <w:tc>
          <w:tcPr>
            <w:tcW w:w="20" w:type="dxa"/>
            <w:vAlign w:val="bottom"/>
          </w:tcPr>
          <w:p>
            <w:pPr>
              <w:spacing w:after="0"/>
              <w:rPr>
                <w:sz w:val="21"/>
                <w:szCs w:val="21"/>
                <w:color w:val="auto"/>
              </w:rPr>
            </w:pPr>
          </w:p>
        </w:tc>
        <w:tc>
          <w:tcPr>
            <w:tcW w:w="2220" w:type="dxa"/>
            <w:vAlign w:val="bottom"/>
            <w:shd w:val="clear" w:color="auto" w:fill="FFF3CE"/>
          </w:tcPr>
          <w:p>
            <w:pPr>
              <w:spacing w:after="0"/>
              <w:rPr>
                <w:sz w:val="20"/>
                <w:szCs w:val="20"/>
                <w:color w:val="auto"/>
              </w:rPr>
            </w:pPr>
            <w:r>
              <w:rPr>
                <w:rFonts w:ascii="Arial" w:cs="Arial" w:eastAsia="Arial" w:hAnsi="Arial"/>
                <w:sz w:val="18"/>
                <w:szCs w:val="18"/>
                <w:color w:val="auto"/>
              </w:rPr>
              <w:t>D.A. Carp</w:t>
            </w:r>
          </w:p>
        </w:tc>
        <w:tc>
          <w:tcPr>
            <w:tcW w:w="2200" w:type="dxa"/>
            <w:vAlign w:val="bottom"/>
            <w:gridSpan w:val="2"/>
            <w:shd w:val="clear" w:color="auto" w:fill="FFF3CE"/>
          </w:tcPr>
          <w:p>
            <w:pPr>
              <w:jc w:val="right"/>
              <w:ind w:right="292"/>
              <w:spacing w:after="0"/>
              <w:rPr>
                <w:sz w:val="20"/>
                <w:szCs w:val="20"/>
                <w:color w:val="auto"/>
              </w:rPr>
            </w:pPr>
            <w:r>
              <w:rPr>
                <w:rFonts w:ascii="Arial" w:cs="Arial" w:eastAsia="Arial" w:hAnsi="Arial"/>
                <w:sz w:val="18"/>
                <w:szCs w:val="18"/>
                <w:color w:val="auto"/>
              </w:rPr>
              <w:t>68,750</w:t>
            </w:r>
          </w:p>
        </w:tc>
        <w:tc>
          <w:tcPr>
            <w:tcW w:w="1560" w:type="dxa"/>
            <w:vAlign w:val="bottom"/>
            <w:gridSpan w:val="2"/>
            <w:shd w:val="clear" w:color="auto" w:fill="FFF3CE"/>
          </w:tcPr>
          <w:p>
            <w:pPr>
              <w:jc w:val="right"/>
              <w:ind w:right="312"/>
              <w:spacing w:after="0"/>
              <w:rPr>
                <w:sz w:val="20"/>
                <w:szCs w:val="20"/>
                <w:color w:val="auto"/>
              </w:rPr>
            </w:pPr>
            <w:r>
              <w:rPr>
                <w:rFonts w:ascii="Arial" w:cs="Arial" w:eastAsia="Arial" w:hAnsi="Arial"/>
                <w:sz w:val="18"/>
                <w:szCs w:val="18"/>
                <w:color w:val="auto"/>
              </w:rPr>
              <w:t>0</w:t>
            </w:r>
          </w:p>
        </w:tc>
        <w:tc>
          <w:tcPr>
            <w:tcW w:w="1560" w:type="dxa"/>
            <w:vAlign w:val="bottom"/>
            <w:gridSpan w:val="2"/>
            <w:shd w:val="clear" w:color="auto" w:fill="FFF3CE"/>
          </w:tcPr>
          <w:p>
            <w:pPr>
              <w:jc w:val="right"/>
              <w:ind w:right="292"/>
              <w:spacing w:after="0"/>
              <w:rPr>
                <w:sz w:val="20"/>
                <w:szCs w:val="20"/>
                <w:color w:val="auto"/>
              </w:rPr>
            </w:pPr>
            <w:r>
              <w:rPr>
                <w:rFonts w:ascii="Arial" w:cs="Arial" w:eastAsia="Arial" w:hAnsi="Arial"/>
                <w:sz w:val="18"/>
                <w:szCs w:val="18"/>
                <w:color w:val="auto"/>
              </w:rPr>
              <w:t>8,664</w:t>
            </w:r>
          </w:p>
        </w:tc>
        <w:tc>
          <w:tcPr>
            <w:tcW w:w="1580" w:type="dxa"/>
            <w:vAlign w:val="bottom"/>
            <w:gridSpan w:val="2"/>
            <w:shd w:val="clear" w:color="auto" w:fill="FFF3CE"/>
          </w:tcPr>
          <w:p>
            <w:pPr>
              <w:jc w:val="right"/>
              <w:ind w:right="312"/>
              <w:spacing w:after="0"/>
              <w:rPr>
                <w:sz w:val="20"/>
                <w:szCs w:val="20"/>
                <w:color w:val="auto"/>
              </w:rPr>
            </w:pPr>
            <w:r>
              <w:rPr>
                <w:rFonts w:ascii="Arial" w:cs="Arial" w:eastAsia="Arial" w:hAnsi="Arial"/>
                <w:sz w:val="18"/>
                <w:szCs w:val="18"/>
                <w:color w:val="auto"/>
              </w:rPr>
              <w:t>19,837</w:t>
            </w:r>
          </w:p>
        </w:tc>
      </w:tr>
      <w:tr>
        <w:trPr>
          <w:trHeight w:val="242"/>
        </w:trPr>
        <w:tc>
          <w:tcPr>
            <w:tcW w:w="2240" w:type="dxa"/>
            <w:vAlign w:val="bottom"/>
            <w:gridSpan w:val="2"/>
          </w:tcPr>
          <w:p>
            <w:pPr>
              <w:spacing w:after="0"/>
              <w:rPr>
                <w:sz w:val="20"/>
                <w:szCs w:val="20"/>
                <w:color w:val="auto"/>
              </w:rPr>
            </w:pPr>
            <w:r>
              <w:rPr>
                <w:rFonts w:ascii="Arial" w:cs="Arial" w:eastAsia="Arial" w:hAnsi="Arial"/>
                <w:sz w:val="18"/>
                <w:szCs w:val="18"/>
                <w:color w:val="auto"/>
              </w:rPr>
              <w:t>C.S. Cox</w:t>
            </w:r>
          </w:p>
        </w:tc>
        <w:tc>
          <w:tcPr>
            <w:tcW w:w="2200" w:type="dxa"/>
            <w:vAlign w:val="bottom"/>
            <w:gridSpan w:val="2"/>
          </w:tcPr>
          <w:p>
            <w:pPr>
              <w:jc w:val="right"/>
              <w:ind w:right="292"/>
              <w:spacing w:after="0"/>
              <w:rPr>
                <w:sz w:val="20"/>
                <w:szCs w:val="20"/>
                <w:color w:val="auto"/>
              </w:rPr>
            </w:pPr>
            <w:r>
              <w:rPr>
                <w:rFonts w:ascii="Arial" w:cs="Arial" w:eastAsia="Arial" w:hAnsi="Arial"/>
                <w:sz w:val="18"/>
                <w:szCs w:val="18"/>
                <w:color w:val="auto"/>
              </w:rPr>
              <w:t>3,750</w:t>
            </w:r>
          </w:p>
        </w:tc>
        <w:tc>
          <w:tcPr>
            <w:tcW w:w="156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c>
          <w:tcPr>
            <w:tcW w:w="1560" w:type="dxa"/>
            <w:vAlign w:val="bottom"/>
            <w:gridSpan w:val="2"/>
          </w:tcPr>
          <w:p>
            <w:pPr>
              <w:jc w:val="right"/>
              <w:ind w:right="292"/>
              <w:spacing w:after="0"/>
              <w:rPr>
                <w:sz w:val="20"/>
                <w:szCs w:val="20"/>
                <w:color w:val="auto"/>
              </w:rPr>
            </w:pPr>
            <w:r>
              <w:rPr>
                <w:rFonts w:ascii="Arial" w:cs="Arial" w:eastAsia="Arial" w:hAnsi="Arial"/>
                <w:sz w:val="18"/>
                <w:szCs w:val="18"/>
                <w:color w:val="auto"/>
              </w:rPr>
              <w:t>2,000</w:t>
            </w:r>
          </w:p>
        </w:tc>
        <w:tc>
          <w:tcPr>
            <w:tcW w:w="158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r>
      <w:tr>
        <w:trPr>
          <w:trHeight w:val="244"/>
        </w:trPr>
        <w:tc>
          <w:tcPr>
            <w:tcW w:w="20" w:type="dxa"/>
            <w:vAlign w:val="bottom"/>
          </w:tcPr>
          <w:p>
            <w:pPr>
              <w:spacing w:after="0"/>
              <w:rPr>
                <w:sz w:val="21"/>
                <w:szCs w:val="21"/>
                <w:color w:val="auto"/>
              </w:rPr>
            </w:pPr>
          </w:p>
        </w:tc>
        <w:tc>
          <w:tcPr>
            <w:tcW w:w="2220" w:type="dxa"/>
            <w:vAlign w:val="bottom"/>
            <w:shd w:val="clear" w:color="auto" w:fill="FFF3CE"/>
          </w:tcPr>
          <w:p>
            <w:pPr>
              <w:spacing w:after="0"/>
              <w:rPr>
                <w:sz w:val="20"/>
                <w:szCs w:val="20"/>
                <w:color w:val="auto"/>
              </w:rPr>
            </w:pPr>
            <w:r>
              <w:rPr>
                <w:rFonts w:ascii="Arial" w:cs="Arial" w:eastAsia="Arial" w:hAnsi="Arial"/>
                <w:sz w:val="18"/>
                <w:szCs w:val="18"/>
                <w:color w:val="auto"/>
              </w:rPr>
              <w:t>T.J. Engibous</w:t>
            </w:r>
          </w:p>
        </w:tc>
        <w:tc>
          <w:tcPr>
            <w:tcW w:w="2200" w:type="dxa"/>
            <w:vAlign w:val="bottom"/>
            <w:gridSpan w:val="2"/>
            <w:shd w:val="clear" w:color="auto" w:fill="FFF3CE"/>
          </w:tcPr>
          <w:p>
            <w:pPr>
              <w:jc w:val="right"/>
              <w:ind w:right="292"/>
              <w:spacing w:after="0"/>
              <w:rPr>
                <w:sz w:val="20"/>
                <w:szCs w:val="20"/>
                <w:color w:val="auto"/>
              </w:rPr>
            </w:pPr>
            <w:r>
              <w:rPr>
                <w:rFonts w:ascii="Arial" w:cs="Arial" w:eastAsia="Arial" w:hAnsi="Arial"/>
                <w:sz w:val="18"/>
                <w:szCs w:val="18"/>
                <w:color w:val="auto"/>
              </w:rPr>
              <w:t>5,584,690</w:t>
            </w:r>
          </w:p>
        </w:tc>
        <w:tc>
          <w:tcPr>
            <w:tcW w:w="1560" w:type="dxa"/>
            <w:vAlign w:val="bottom"/>
            <w:gridSpan w:val="2"/>
            <w:shd w:val="clear" w:color="auto" w:fill="FFF3CE"/>
          </w:tcPr>
          <w:p>
            <w:pPr>
              <w:jc w:val="right"/>
              <w:ind w:right="312"/>
              <w:spacing w:after="0"/>
              <w:rPr>
                <w:sz w:val="20"/>
                <w:szCs w:val="20"/>
                <w:color w:val="auto"/>
              </w:rPr>
            </w:pPr>
            <w:r>
              <w:rPr>
                <w:rFonts w:ascii="Arial" w:cs="Arial" w:eastAsia="Arial" w:hAnsi="Arial"/>
                <w:sz w:val="18"/>
                <w:szCs w:val="18"/>
                <w:color w:val="auto"/>
              </w:rPr>
              <w:t>17,995</w:t>
            </w:r>
          </w:p>
        </w:tc>
        <w:tc>
          <w:tcPr>
            <w:tcW w:w="1560" w:type="dxa"/>
            <w:vAlign w:val="bottom"/>
            <w:gridSpan w:val="2"/>
            <w:shd w:val="clear" w:color="auto" w:fill="FFF3CE"/>
          </w:tcPr>
          <w:p>
            <w:pPr>
              <w:jc w:val="right"/>
              <w:ind w:right="292"/>
              <w:spacing w:after="0"/>
              <w:rPr>
                <w:sz w:val="20"/>
                <w:szCs w:val="20"/>
                <w:color w:val="auto"/>
              </w:rPr>
            </w:pPr>
            <w:r>
              <w:rPr>
                <w:rFonts w:ascii="Arial" w:cs="Arial" w:eastAsia="Arial" w:hAnsi="Arial"/>
                <w:sz w:val="18"/>
                <w:szCs w:val="18"/>
                <w:color w:val="auto"/>
              </w:rPr>
              <w:t>57,600</w:t>
            </w:r>
          </w:p>
        </w:tc>
        <w:tc>
          <w:tcPr>
            <w:tcW w:w="1580" w:type="dxa"/>
            <w:vAlign w:val="bottom"/>
            <w:gridSpan w:val="2"/>
            <w:shd w:val="clear" w:color="auto" w:fill="FFF3CE"/>
          </w:tcPr>
          <w:p>
            <w:pPr>
              <w:jc w:val="right"/>
              <w:ind w:right="312"/>
              <w:spacing w:after="0"/>
              <w:rPr>
                <w:sz w:val="20"/>
                <w:szCs w:val="20"/>
                <w:color w:val="auto"/>
              </w:rPr>
            </w:pPr>
            <w:r>
              <w:rPr>
                <w:rFonts w:ascii="Arial" w:cs="Arial" w:eastAsia="Arial" w:hAnsi="Arial"/>
                <w:sz w:val="18"/>
                <w:szCs w:val="18"/>
                <w:color w:val="auto"/>
              </w:rPr>
              <w:t>0</w:t>
            </w:r>
          </w:p>
        </w:tc>
      </w:tr>
      <w:tr>
        <w:trPr>
          <w:trHeight w:val="242"/>
        </w:trPr>
        <w:tc>
          <w:tcPr>
            <w:tcW w:w="2240" w:type="dxa"/>
            <w:vAlign w:val="bottom"/>
            <w:gridSpan w:val="2"/>
          </w:tcPr>
          <w:p>
            <w:pPr>
              <w:spacing w:after="0"/>
              <w:rPr>
                <w:sz w:val="20"/>
                <w:szCs w:val="20"/>
                <w:color w:val="auto"/>
              </w:rPr>
            </w:pPr>
            <w:r>
              <w:rPr>
                <w:rFonts w:ascii="Arial" w:cs="Arial" w:eastAsia="Arial" w:hAnsi="Arial"/>
                <w:sz w:val="18"/>
                <w:szCs w:val="18"/>
                <w:color w:val="auto"/>
              </w:rPr>
              <w:t>G.W. Fronterhouse</w:t>
            </w:r>
          </w:p>
        </w:tc>
        <w:tc>
          <w:tcPr>
            <w:tcW w:w="2200" w:type="dxa"/>
            <w:vAlign w:val="bottom"/>
            <w:gridSpan w:val="2"/>
          </w:tcPr>
          <w:p>
            <w:pPr>
              <w:jc w:val="right"/>
              <w:ind w:right="292"/>
              <w:spacing w:after="0"/>
              <w:rPr>
                <w:sz w:val="20"/>
                <w:szCs w:val="20"/>
                <w:color w:val="auto"/>
              </w:rPr>
            </w:pPr>
            <w:r>
              <w:rPr>
                <w:rFonts w:ascii="Arial" w:cs="Arial" w:eastAsia="Arial" w:hAnsi="Arial"/>
                <w:sz w:val="18"/>
                <w:szCs w:val="18"/>
                <w:color w:val="auto"/>
              </w:rPr>
              <w:t>68,750</w:t>
            </w:r>
          </w:p>
        </w:tc>
        <w:tc>
          <w:tcPr>
            <w:tcW w:w="156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c>
          <w:tcPr>
            <w:tcW w:w="1560" w:type="dxa"/>
            <w:vAlign w:val="bottom"/>
            <w:gridSpan w:val="2"/>
          </w:tcPr>
          <w:p>
            <w:pPr>
              <w:jc w:val="right"/>
              <w:ind w:right="292"/>
              <w:spacing w:after="0"/>
              <w:rPr>
                <w:sz w:val="20"/>
                <w:szCs w:val="20"/>
                <w:color w:val="auto"/>
              </w:rPr>
            </w:pPr>
            <w:r>
              <w:rPr>
                <w:rFonts w:ascii="Arial" w:cs="Arial" w:eastAsia="Arial" w:hAnsi="Arial"/>
                <w:sz w:val="18"/>
                <w:szCs w:val="18"/>
                <w:color w:val="auto"/>
              </w:rPr>
              <w:t>22,880</w:t>
            </w:r>
          </w:p>
        </w:tc>
        <w:tc>
          <w:tcPr>
            <w:tcW w:w="158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r>
      <w:tr>
        <w:trPr>
          <w:trHeight w:val="244"/>
        </w:trPr>
        <w:tc>
          <w:tcPr>
            <w:tcW w:w="20" w:type="dxa"/>
            <w:vAlign w:val="bottom"/>
          </w:tcPr>
          <w:p>
            <w:pPr>
              <w:spacing w:after="0"/>
              <w:rPr>
                <w:sz w:val="21"/>
                <w:szCs w:val="21"/>
                <w:color w:val="auto"/>
              </w:rPr>
            </w:pPr>
          </w:p>
        </w:tc>
        <w:tc>
          <w:tcPr>
            <w:tcW w:w="2220" w:type="dxa"/>
            <w:vAlign w:val="bottom"/>
            <w:shd w:val="clear" w:color="auto" w:fill="FFF3CE"/>
          </w:tcPr>
          <w:p>
            <w:pPr>
              <w:spacing w:after="0"/>
              <w:rPr>
                <w:sz w:val="20"/>
                <w:szCs w:val="20"/>
                <w:color w:val="auto"/>
              </w:rPr>
            </w:pPr>
            <w:r>
              <w:rPr>
                <w:rFonts w:ascii="Arial" w:cs="Arial" w:eastAsia="Arial" w:hAnsi="Arial"/>
                <w:sz w:val="18"/>
                <w:szCs w:val="18"/>
                <w:color w:val="auto"/>
              </w:rPr>
              <w:t>D.R. Goode</w:t>
            </w:r>
          </w:p>
        </w:tc>
        <w:tc>
          <w:tcPr>
            <w:tcW w:w="2200" w:type="dxa"/>
            <w:vAlign w:val="bottom"/>
            <w:gridSpan w:val="2"/>
            <w:shd w:val="clear" w:color="auto" w:fill="FFF3CE"/>
          </w:tcPr>
          <w:p>
            <w:pPr>
              <w:jc w:val="right"/>
              <w:ind w:right="292"/>
              <w:spacing w:after="0"/>
              <w:rPr>
                <w:sz w:val="20"/>
                <w:szCs w:val="20"/>
                <w:color w:val="auto"/>
              </w:rPr>
            </w:pPr>
            <w:r>
              <w:rPr>
                <w:rFonts w:ascii="Arial" w:cs="Arial" w:eastAsia="Arial" w:hAnsi="Arial"/>
                <w:sz w:val="18"/>
                <w:szCs w:val="18"/>
                <w:color w:val="auto"/>
              </w:rPr>
              <w:t>68,750</w:t>
            </w:r>
          </w:p>
        </w:tc>
        <w:tc>
          <w:tcPr>
            <w:tcW w:w="1560" w:type="dxa"/>
            <w:vAlign w:val="bottom"/>
            <w:gridSpan w:val="2"/>
            <w:shd w:val="clear" w:color="auto" w:fill="FFF3CE"/>
          </w:tcPr>
          <w:p>
            <w:pPr>
              <w:jc w:val="right"/>
              <w:ind w:right="312"/>
              <w:spacing w:after="0"/>
              <w:rPr>
                <w:sz w:val="20"/>
                <w:szCs w:val="20"/>
                <w:color w:val="auto"/>
              </w:rPr>
            </w:pPr>
            <w:r>
              <w:rPr>
                <w:rFonts w:ascii="Arial" w:cs="Arial" w:eastAsia="Arial" w:hAnsi="Arial"/>
                <w:sz w:val="18"/>
                <w:szCs w:val="18"/>
                <w:color w:val="auto"/>
              </w:rPr>
              <w:t>0</w:t>
            </w:r>
          </w:p>
        </w:tc>
        <w:tc>
          <w:tcPr>
            <w:tcW w:w="1560" w:type="dxa"/>
            <w:vAlign w:val="bottom"/>
            <w:gridSpan w:val="2"/>
            <w:shd w:val="clear" w:color="auto" w:fill="FFF3CE"/>
          </w:tcPr>
          <w:p>
            <w:pPr>
              <w:jc w:val="right"/>
              <w:ind w:right="292"/>
              <w:spacing w:after="0"/>
              <w:rPr>
                <w:sz w:val="20"/>
                <w:szCs w:val="20"/>
                <w:color w:val="auto"/>
              </w:rPr>
            </w:pPr>
            <w:r>
              <w:rPr>
                <w:rFonts w:ascii="Arial" w:cs="Arial" w:eastAsia="Arial" w:hAnsi="Arial"/>
                <w:sz w:val="18"/>
                <w:szCs w:val="18"/>
                <w:color w:val="auto"/>
              </w:rPr>
              <w:t>13,632</w:t>
            </w:r>
          </w:p>
        </w:tc>
        <w:tc>
          <w:tcPr>
            <w:tcW w:w="1580" w:type="dxa"/>
            <w:vAlign w:val="bottom"/>
            <w:gridSpan w:val="2"/>
            <w:shd w:val="clear" w:color="auto" w:fill="FFF3CE"/>
          </w:tcPr>
          <w:p>
            <w:pPr>
              <w:jc w:val="right"/>
              <w:ind w:right="312"/>
              <w:spacing w:after="0"/>
              <w:rPr>
                <w:sz w:val="20"/>
                <w:szCs w:val="20"/>
                <w:color w:val="auto"/>
              </w:rPr>
            </w:pPr>
            <w:r>
              <w:rPr>
                <w:rFonts w:ascii="Arial" w:cs="Arial" w:eastAsia="Arial" w:hAnsi="Arial"/>
                <w:sz w:val="18"/>
                <w:szCs w:val="18"/>
                <w:color w:val="auto"/>
              </w:rPr>
              <w:t>13,968</w:t>
            </w:r>
          </w:p>
        </w:tc>
      </w:tr>
      <w:tr>
        <w:trPr>
          <w:trHeight w:val="242"/>
        </w:trPr>
        <w:tc>
          <w:tcPr>
            <w:tcW w:w="2240" w:type="dxa"/>
            <w:vAlign w:val="bottom"/>
            <w:gridSpan w:val="2"/>
          </w:tcPr>
          <w:p>
            <w:pPr>
              <w:spacing w:after="0"/>
              <w:rPr>
                <w:sz w:val="20"/>
                <w:szCs w:val="20"/>
                <w:color w:val="auto"/>
              </w:rPr>
            </w:pPr>
            <w:r>
              <w:rPr>
                <w:rFonts w:ascii="Arial" w:cs="Arial" w:eastAsia="Arial" w:hAnsi="Arial"/>
                <w:sz w:val="18"/>
                <w:szCs w:val="18"/>
                <w:color w:val="auto"/>
              </w:rPr>
              <w:t>P.H. Patsley</w:t>
            </w:r>
          </w:p>
        </w:tc>
        <w:tc>
          <w:tcPr>
            <w:tcW w:w="2200" w:type="dxa"/>
            <w:vAlign w:val="bottom"/>
            <w:gridSpan w:val="2"/>
          </w:tcPr>
          <w:p>
            <w:pPr>
              <w:jc w:val="right"/>
              <w:ind w:right="292"/>
              <w:spacing w:after="0"/>
              <w:rPr>
                <w:sz w:val="20"/>
                <w:szCs w:val="20"/>
                <w:color w:val="auto"/>
              </w:rPr>
            </w:pPr>
            <w:r>
              <w:rPr>
                <w:rFonts w:ascii="Arial" w:cs="Arial" w:eastAsia="Arial" w:hAnsi="Arial"/>
                <w:sz w:val="18"/>
                <w:szCs w:val="18"/>
                <w:color w:val="auto"/>
              </w:rPr>
              <w:t>3,750</w:t>
            </w:r>
          </w:p>
        </w:tc>
        <w:tc>
          <w:tcPr>
            <w:tcW w:w="156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c>
          <w:tcPr>
            <w:tcW w:w="1560" w:type="dxa"/>
            <w:vAlign w:val="bottom"/>
            <w:gridSpan w:val="2"/>
          </w:tcPr>
          <w:p>
            <w:pPr>
              <w:jc w:val="right"/>
              <w:ind w:right="292"/>
              <w:spacing w:after="0"/>
              <w:rPr>
                <w:sz w:val="20"/>
                <w:szCs w:val="20"/>
                <w:color w:val="auto"/>
              </w:rPr>
            </w:pPr>
            <w:r>
              <w:rPr>
                <w:rFonts w:ascii="Arial" w:cs="Arial" w:eastAsia="Arial" w:hAnsi="Arial"/>
                <w:sz w:val="18"/>
                <w:szCs w:val="18"/>
                <w:color w:val="auto"/>
              </w:rPr>
              <w:t>2,000</w:t>
            </w:r>
          </w:p>
        </w:tc>
        <w:tc>
          <w:tcPr>
            <w:tcW w:w="1580" w:type="dxa"/>
            <w:vAlign w:val="bottom"/>
            <w:gridSpan w:val="2"/>
          </w:tcPr>
          <w:p>
            <w:pPr>
              <w:jc w:val="right"/>
              <w:ind w:right="312"/>
              <w:spacing w:after="0"/>
              <w:rPr>
                <w:sz w:val="20"/>
                <w:szCs w:val="20"/>
                <w:color w:val="auto"/>
              </w:rPr>
            </w:pPr>
            <w:r>
              <w:rPr>
                <w:rFonts w:ascii="Arial" w:cs="Arial" w:eastAsia="Arial" w:hAnsi="Arial"/>
                <w:sz w:val="18"/>
                <w:szCs w:val="18"/>
                <w:color w:val="auto"/>
              </w:rPr>
              <w:t>2,507</w:t>
            </w:r>
          </w:p>
        </w:tc>
      </w:tr>
      <w:tr>
        <w:trPr>
          <w:trHeight w:val="244"/>
        </w:trPr>
        <w:tc>
          <w:tcPr>
            <w:tcW w:w="20" w:type="dxa"/>
            <w:vAlign w:val="bottom"/>
          </w:tcPr>
          <w:p>
            <w:pPr>
              <w:spacing w:after="0"/>
              <w:rPr>
                <w:sz w:val="21"/>
                <w:szCs w:val="21"/>
                <w:color w:val="auto"/>
              </w:rPr>
            </w:pPr>
          </w:p>
        </w:tc>
        <w:tc>
          <w:tcPr>
            <w:tcW w:w="2220" w:type="dxa"/>
            <w:vAlign w:val="bottom"/>
            <w:shd w:val="clear" w:color="auto" w:fill="FFF3CE"/>
          </w:tcPr>
          <w:p>
            <w:pPr>
              <w:spacing w:after="0"/>
              <w:rPr>
                <w:sz w:val="20"/>
                <w:szCs w:val="20"/>
                <w:color w:val="auto"/>
              </w:rPr>
            </w:pPr>
            <w:r>
              <w:rPr>
                <w:rFonts w:ascii="Arial" w:cs="Arial" w:eastAsia="Arial" w:hAnsi="Arial"/>
                <w:sz w:val="18"/>
                <w:szCs w:val="18"/>
                <w:color w:val="auto"/>
              </w:rPr>
              <w:t>W.R. Sanders</w:t>
            </w:r>
          </w:p>
        </w:tc>
        <w:tc>
          <w:tcPr>
            <w:tcW w:w="2200" w:type="dxa"/>
            <w:vAlign w:val="bottom"/>
            <w:gridSpan w:val="2"/>
            <w:shd w:val="clear" w:color="auto" w:fill="FFF3CE"/>
          </w:tcPr>
          <w:p>
            <w:pPr>
              <w:jc w:val="right"/>
              <w:ind w:right="292"/>
              <w:spacing w:after="0"/>
              <w:rPr>
                <w:sz w:val="20"/>
                <w:szCs w:val="20"/>
                <w:color w:val="auto"/>
              </w:rPr>
            </w:pPr>
            <w:r>
              <w:rPr>
                <w:rFonts w:ascii="Arial" w:cs="Arial" w:eastAsia="Arial" w:hAnsi="Arial"/>
                <w:sz w:val="18"/>
                <w:szCs w:val="18"/>
                <w:color w:val="auto"/>
              </w:rPr>
              <w:t>68,750</w:t>
            </w:r>
          </w:p>
        </w:tc>
        <w:tc>
          <w:tcPr>
            <w:tcW w:w="1560" w:type="dxa"/>
            <w:vAlign w:val="bottom"/>
            <w:gridSpan w:val="2"/>
            <w:shd w:val="clear" w:color="auto" w:fill="FFF3CE"/>
          </w:tcPr>
          <w:p>
            <w:pPr>
              <w:jc w:val="right"/>
              <w:ind w:right="312"/>
              <w:spacing w:after="0"/>
              <w:rPr>
                <w:sz w:val="20"/>
                <w:szCs w:val="20"/>
                <w:color w:val="auto"/>
              </w:rPr>
            </w:pPr>
            <w:r>
              <w:rPr>
                <w:rFonts w:ascii="Arial" w:cs="Arial" w:eastAsia="Arial" w:hAnsi="Arial"/>
                <w:sz w:val="18"/>
                <w:szCs w:val="18"/>
                <w:color w:val="auto"/>
              </w:rPr>
              <w:t>0</w:t>
            </w:r>
          </w:p>
        </w:tc>
        <w:tc>
          <w:tcPr>
            <w:tcW w:w="1560" w:type="dxa"/>
            <w:vAlign w:val="bottom"/>
            <w:gridSpan w:val="2"/>
            <w:shd w:val="clear" w:color="auto" w:fill="FFF3CE"/>
          </w:tcPr>
          <w:p>
            <w:pPr>
              <w:jc w:val="right"/>
              <w:ind w:right="292"/>
              <w:spacing w:after="0"/>
              <w:rPr>
                <w:sz w:val="20"/>
                <w:szCs w:val="20"/>
                <w:color w:val="auto"/>
              </w:rPr>
            </w:pPr>
            <w:r>
              <w:rPr>
                <w:rFonts w:ascii="Arial" w:cs="Arial" w:eastAsia="Arial" w:hAnsi="Arial"/>
                <w:sz w:val="18"/>
                <w:szCs w:val="18"/>
                <w:color w:val="auto"/>
              </w:rPr>
              <w:t>9,600</w:t>
            </w:r>
          </w:p>
        </w:tc>
        <w:tc>
          <w:tcPr>
            <w:tcW w:w="1580" w:type="dxa"/>
            <w:vAlign w:val="bottom"/>
            <w:gridSpan w:val="2"/>
            <w:shd w:val="clear" w:color="auto" w:fill="FFF3CE"/>
          </w:tcPr>
          <w:p>
            <w:pPr>
              <w:jc w:val="right"/>
              <w:ind w:right="312"/>
              <w:spacing w:after="0"/>
              <w:rPr>
                <w:sz w:val="20"/>
                <w:szCs w:val="20"/>
                <w:color w:val="auto"/>
              </w:rPr>
            </w:pPr>
            <w:r>
              <w:rPr>
                <w:rFonts w:ascii="Arial" w:cs="Arial" w:eastAsia="Arial" w:hAnsi="Arial"/>
                <w:sz w:val="18"/>
                <w:szCs w:val="18"/>
                <w:color w:val="auto"/>
              </w:rPr>
              <w:t>1,298</w:t>
            </w:r>
          </w:p>
        </w:tc>
      </w:tr>
      <w:tr>
        <w:trPr>
          <w:trHeight w:val="242"/>
        </w:trPr>
        <w:tc>
          <w:tcPr>
            <w:tcW w:w="2240" w:type="dxa"/>
            <w:vAlign w:val="bottom"/>
            <w:gridSpan w:val="2"/>
          </w:tcPr>
          <w:p>
            <w:pPr>
              <w:spacing w:after="0"/>
              <w:rPr>
                <w:sz w:val="20"/>
                <w:szCs w:val="20"/>
                <w:color w:val="auto"/>
              </w:rPr>
            </w:pPr>
            <w:r>
              <w:rPr>
                <w:rFonts w:ascii="Arial" w:cs="Arial" w:eastAsia="Arial" w:hAnsi="Arial"/>
                <w:sz w:val="18"/>
                <w:szCs w:val="18"/>
                <w:color w:val="auto"/>
              </w:rPr>
              <w:t>R.J. Simmons</w:t>
            </w:r>
          </w:p>
        </w:tc>
        <w:tc>
          <w:tcPr>
            <w:tcW w:w="2200" w:type="dxa"/>
            <w:vAlign w:val="bottom"/>
            <w:gridSpan w:val="2"/>
          </w:tcPr>
          <w:p>
            <w:pPr>
              <w:jc w:val="right"/>
              <w:ind w:right="292"/>
              <w:spacing w:after="0"/>
              <w:rPr>
                <w:sz w:val="20"/>
                <w:szCs w:val="20"/>
                <w:color w:val="auto"/>
              </w:rPr>
            </w:pPr>
            <w:r>
              <w:rPr>
                <w:rFonts w:ascii="Arial" w:cs="Arial" w:eastAsia="Arial" w:hAnsi="Arial"/>
                <w:sz w:val="18"/>
                <w:szCs w:val="18"/>
                <w:color w:val="auto"/>
              </w:rPr>
              <w:t>48,750</w:t>
            </w:r>
          </w:p>
        </w:tc>
        <w:tc>
          <w:tcPr>
            <w:tcW w:w="156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c>
          <w:tcPr>
            <w:tcW w:w="1560" w:type="dxa"/>
            <w:vAlign w:val="bottom"/>
            <w:gridSpan w:val="2"/>
          </w:tcPr>
          <w:p>
            <w:pPr>
              <w:jc w:val="right"/>
              <w:ind w:right="292"/>
              <w:spacing w:after="0"/>
              <w:rPr>
                <w:sz w:val="20"/>
                <w:szCs w:val="20"/>
                <w:color w:val="auto"/>
              </w:rPr>
            </w:pPr>
            <w:r>
              <w:rPr>
                <w:rFonts w:ascii="Arial" w:cs="Arial" w:eastAsia="Arial" w:hAnsi="Arial"/>
                <w:sz w:val="18"/>
                <w:szCs w:val="18"/>
                <w:color w:val="auto"/>
              </w:rPr>
              <w:t>8,000</w:t>
            </w:r>
          </w:p>
        </w:tc>
        <w:tc>
          <w:tcPr>
            <w:tcW w:w="1580" w:type="dxa"/>
            <w:vAlign w:val="bottom"/>
            <w:gridSpan w:val="2"/>
          </w:tcPr>
          <w:p>
            <w:pPr>
              <w:jc w:val="right"/>
              <w:ind w:right="312"/>
              <w:spacing w:after="0"/>
              <w:rPr>
                <w:sz w:val="20"/>
                <w:szCs w:val="20"/>
                <w:color w:val="auto"/>
              </w:rPr>
            </w:pPr>
            <w:r>
              <w:rPr>
                <w:rFonts w:ascii="Arial" w:cs="Arial" w:eastAsia="Arial" w:hAnsi="Arial"/>
                <w:sz w:val="18"/>
                <w:szCs w:val="18"/>
                <w:color w:val="auto"/>
              </w:rPr>
              <w:t>13,472</w:t>
            </w:r>
          </w:p>
        </w:tc>
      </w:tr>
      <w:tr>
        <w:trPr>
          <w:trHeight w:val="244"/>
        </w:trPr>
        <w:tc>
          <w:tcPr>
            <w:tcW w:w="20" w:type="dxa"/>
            <w:vAlign w:val="bottom"/>
          </w:tcPr>
          <w:p>
            <w:pPr>
              <w:spacing w:after="0"/>
              <w:rPr>
                <w:sz w:val="21"/>
                <w:szCs w:val="21"/>
                <w:color w:val="auto"/>
              </w:rPr>
            </w:pPr>
          </w:p>
        </w:tc>
        <w:tc>
          <w:tcPr>
            <w:tcW w:w="2220" w:type="dxa"/>
            <w:vAlign w:val="bottom"/>
            <w:shd w:val="clear" w:color="auto" w:fill="FFF3CE"/>
          </w:tcPr>
          <w:p>
            <w:pPr>
              <w:spacing w:after="0"/>
              <w:rPr>
                <w:sz w:val="20"/>
                <w:szCs w:val="20"/>
                <w:color w:val="auto"/>
              </w:rPr>
            </w:pPr>
            <w:r>
              <w:rPr>
                <w:rFonts w:ascii="Arial" w:cs="Arial" w:eastAsia="Arial" w:hAnsi="Arial"/>
                <w:sz w:val="18"/>
                <w:szCs w:val="18"/>
                <w:color w:val="auto"/>
              </w:rPr>
              <w:t>R.K. Templeton</w:t>
            </w:r>
          </w:p>
        </w:tc>
        <w:tc>
          <w:tcPr>
            <w:tcW w:w="2200" w:type="dxa"/>
            <w:vAlign w:val="bottom"/>
            <w:gridSpan w:val="2"/>
            <w:shd w:val="clear" w:color="auto" w:fill="FFF3CE"/>
          </w:tcPr>
          <w:p>
            <w:pPr>
              <w:jc w:val="right"/>
              <w:ind w:right="292"/>
              <w:spacing w:after="0"/>
              <w:rPr>
                <w:sz w:val="20"/>
                <w:szCs w:val="20"/>
                <w:color w:val="auto"/>
              </w:rPr>
            </w:pPr>
            <w:r>
              <w:rPr>
                <w:rFonts w:ascii="Arial" w:cs="Arial" w:eastAsia="Arial" w:hAnsi="Arial"/>
                <w:sz w:val="18"/>
                <w:szCs w:val="18"/>
                <w:color w:val="auto"/>
              </w:rPr>
              <w:t>4,305,190</w:t>
            </w:r>
          </w:p>
        </w:tc>
        <w:tc>
          <w:tcPr>
            <w:tcW w:w="1560" w:type="dxa"/>
            <w:vAlign w:val="bottom"/>
            <w:gridSpan w:val="2"/>
            <w:shd w:val="clear" w:color="auto" w:fill="FFF3CE"/>
          </w:tcPr>
          <w:p>
            <w:pPr>
              <w:jc w:val="right"/>
              <w:ind w:right="312"/>
              <w:spacing w:after="0"/>
              <w:rPr>
                <w:sz w:val="20"/>
                <w:szCs w:val="20"/>
                <w:color w:val="auto"/>
              </w:rPr>
            </w:pPr>
            <w:r>
              <w:rPr>
                <w:rFonts w:ascii="Arial" w:cs="Arial" w:eastAsia="Arial" w:hAnsi="Arial"/>
                <w:sz w:val="18"/>
                <w:szCs w:val="18"/>
                <w:color w:val="auto"/>
              </w:rPr>
              <w:t>11,009</w:t>
            </w:r>
          </w:p>
        </w:tc>
        <w:tc>
          <w:tcPr>
            <w:tcW w:w="1560" w:type="dxa"/>
            <w:vAlign w:val="bottom"/>
            <w:gridSpan w:val="2"/>
            <w:shd w:val="clear" w:color="auto" w:fill="FFF3CE"/>
          </w:tcPr>
          <w:p>
            <w:pPr>
              <w:jc w:val="right"/>
              <w:ind w:right="292"/>
              <w:spacing w:after="0"/>
              <w:rPr>
                <w:sz w:val="20"/>
                <w:szCs w:val="20"/>
                <w:color w:val="auto"/>
              </w:rPr>
            </w:pPr>
            <w:r>
              <w:rPr>
                <w:rFonts w:ascii="Arial" w:cs="Arial" w:eastAsia="Arial" w:hAnsi="Arial"/>
                <w:sz w:val="18"/>
                <w:szCs w:val="18"/>
                <w:color w:val="auto"/>
              </w:rPr>
              <w:t>320,000</w:t>
            </w:r>
          </w:p>
        </w:tc>
        <w:tc>
          <w:tcPr>
            <w:tcW w:w="1580" w:type="dxa"/>
            <w:vAlign w:val="bottom"/>
            <w:gridSpan w:val="2"/>
            <w:shd w:val="clear" w:color="auto" w:fill="FFF3CE"/>
          </w:tcPr>
          <w:p>
            <w:pPr>
              <w:jc w:val="right"/>
              <w:ind w:right="312"/>
              <w:spacing w:after="0"/>
              <w:rPr>
                <w:sz w:val="20"/>
                <w:szCs w:val="20"/>
                <w:color w:val="auto"/>
              </w:rPr>
            </w:pPr>
            <w:r>
              <w:rPr>
                <w:rFonts w:ascii="Arial" w:cs="Arial" w:eastAsia="Arial" w:hAnsi="Arial"/>
                <w:sz w:val="18"/>
                <w:szCs w:val="18"/>
                <w:color w:val="auto"/>
              </w:rPr>
              <w:t>0</w:t>
            </w:r>
          </w:p>
        </w:tc>
      </w:tr>
      <w:tr>
        <w:trPr>
          <w:trHeight w:val="241"/>
        </w:trPr>
        <w:tc>
          <w:tcPr>
            <w:tcW w:w="2240" w:type="dxa"/>
            <w:vAlign w:val="bottom"/>
            <w:gridSpan w:val="2"/>
          </w:tcPr>
          <w:p>
            <w:pPr>
              <w:spacing w:after="0"/>
              <w:rPr>
                <w:sz w:val="20"/>
                <w:szCs w:val="20"/>
                <w:color w:val="auto"/>
              </w:rPr>
            </w:pPr>
            <w:r>
              <w:rPr>
                <w:rFonts w:ascii="Arial" w:cs="Arial" w:eastAsia="Arial" w:hAnsi="Arial"/>
                <w:sz w:val="18"/>
                <w:szCs w:val="18"/>
                <w:color w:val="auto"/>
              </w:rPr>
              <w:t>C.T. Whitman</w:t>
            </w:r>
          </w:p>
        </w:tc>
        <w:tc>
          <w:tcPr>
            <w:tcW w:w="2200" w:type="dxa"/>
            <w:vAlign w:val="bottom"/>
            <w:gridSpan w:val="2"/>
          </w:tcPr>
          <w:p>
            <w:pPr>
              <w:jc w:val="right"/>
              <w:ind w:right="292"/>
              <w:spacing w:after="0"/>
              <w:rPr>
                <w:sz w:val="20"/>
                <w:szCs w:val="20"/>
                <w:color w:val="auto"/>
              </w:rPr>
            </w:pPr>
            <w:r>
              <w:rPr>
                <w:rFonts w:ascii="Arial" w:cs="Arial" w:eastAsia="Arial" w:hAnsi="Arial"/>
                <w:sz w:val="18"/>
                <w:szCs w:val="18"/>
                <w:color w:val="auto"/>
              </w:rPr>
              <w:t>11,250</w:t>
            </w:r>
          </w:p>
        </w:tc>
        <w:tc>
          <w:tcPr>
            <w:tcW w:w="156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c>
          <w:tcPr>
            <w:tcW w:w="1560" w:type="dxa"/>
            <w:vAlign w:val="bottom"/>
            <w:gridSpan w:val="2"/>
          </w:tcPr>
          <w:p>
            <w:pPr>
              <w:jc w:val="right"/>
              <w:ind w:right="292"/>
              <w:spacing w:after="0"/>
              <w:rPr>
                <w:sz w:val="20"/>
                <w:szCs w:val="20"/>
                <w:color w:val="auto"/>
              </w:rPr>
            </w:pPr>
            <w:r>
              <w:rPr>
                <w:rFonts w:ascii="Arial" w:cs="Arial" w:eastAsia="Arial" w:hAnsi="Arial"/>
                <w:sz w:val="18"/>
                <w:szCs w:val="18"/>
                <w:color w:val="auto"/>
              </w:rPr>
              <w:t>2,000</w:t>
            </w:r>
          </w:p>
        </w:tc>
        <w:tc>
          <w:tcPr>
            <w:tcW w:w="158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9950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00" w:hanging="292"/>
        <w:spacing w:after="0" w:line="268" w:lineRule="auto"/>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non-employee directors’ restricted stock units are settled in TI stock upon the director’s termination of service provided he or she has served at least eight years or has reached the company’s retirement age for directors.</w:t>
      </w:r>
    </w:p>
    <w:p>
      <w:pPr>
        <w:spacing w:after="0" w:line="212"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shares in deferred compensation accounts are issued following the director’s termination of service.</w:t>
      </w:r>
    </w:p>
    <w:p>
      <w:pPr>
        <w:spacing w:after="0" w:line="200" w:lineRule="exact"/>
        <w:rPr>
          <w:sz w:val="20"/>
          <w:szCs w:val="20"/>
          <w:color w:val="auto"/>
        </w:rPr>
      </w:pPr>
    </w:p>
    <w:p>
      <w:pPr>
        <w:spacing w:after="0" w:line="295" w:lineRule="exact"/>
        <w:rPr>
          <w:sz w:val="20"/>
          <w:szCs w:val="20"/>
          <w:color w:val="auto"/>
        </w:rPr>
      </w:pPr>
    </w:p>
    <w:p>
      <w:pPr>
        <w:jc w:val="center"/>
        <w:ind w:right="260"/>
        <w:spacing w:after="0"/>
        <w:rPr>
          <w:sz w:val="20"/>
          <w:szCs w:val="20"/>
          <w:color w:val="auto"/>
        </w:rPr>
      </w:pPr>
      <w:r>
        <w:rPr>
          <w:rFonts w:ascii="Arial" w:cs="Arial" w:eastAsia="Arial" w:hAnsi="Arial"/>
          <w:sz w:val="15"/>
          <w:szCs w:val="15"/>
          <w:color w:val="auto"/>
        </w:rPr>
        <w:t>Excludes shares held by a family member if a director has disclaimed beneficial ownership. Each director owns less than 1% of the company’s common stock.</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During 2005, the board held 10 meetings. The board has three standing committees described below. The committees of the board collectively held 20 meetings in 2005. Overall attendance at board and committee meetings was approximately 95%.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231"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The charter (Statement of Responsibilities) of each of the standing committees can be found on the company’s web site at www.ti.com/corporategovernance. Stockholders may request copies of these documents free of charge by writing to Texas Instruments Incorporated, P.O. Box 660199, MS 8657, Dallas, Texas, 75266-0199, Attn: Investor Relations. A summary of the committees’ duties follows.</w:t>
      </w:r>
    </w:p>
    <w:p>
      <w:pPr>
        <w:spacing w:after="0" w:line="155"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Audit Committee</w:t>
      </w:r>
      <w:r>
        <w:rPr>
          <w:rFonts w:ascii="Arial" w:cs="Arial" w:eastAsia="Arial" w:hAnsi="Arial"/>
          <w:sz w:val="18"/>
          <w:szCs w:val="18"/>
          <w:color w:val="auto"/>
        </w:rPr>
        <w:t>. All members of the Audit Committee are independent under the rules of the NYSE and the board’s corporate governance guidelines. The</w:t>
      </w:r>
      <w:r>
        <w:rPr>
          <w:rFonts w:ascii="Arial" w:cs="Arial" w:eastAsia="Arial" w:hAnsi="Arial"/>
          <w:sz w:val="18"/>
          <w:szCs w:val="18"/>
          <w:b w:val="1"/>
          <w:bCs w:val="1"/>
          <w:color w:val="auto"/>
        </w:rPr>
        <w:t xml:space="preserve"> </w:t>
      </w:r>
      <w:r>
        <w:rPr>
          <w:rFonts w:ascii="Arial" w:cs="Arial" w:eastAsia="Arial" w:hAnsi="Arial"/>
          <w:sz w:val="18"/>
          <w:szCs w:val="18"/>
          <w:color w:val="auto"/>
        </w:rPr>
        <w:t>Audit Committee is generally responsible for:</w:t>
      </w:r>
    </w:p>
    <w:p>
      <w:pPr>
        <w:spacing w:after="0" w:line="180" w:lineRule="exact"/>
        <w:rPr>
          <w:sz w:val="20"/>
          <w:szCs w:val="20"/>
          <w:color w:val="auto"/>
        </w:rPr>
      </w:pPr>
    </w:p>
    <w:p>
      <w:pPr>
        <w:ind w:left="300"/>
        <w:spacing w:after="0"/>
        <w:tabs>
          <w:tab w:leader="none" w:pos="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Appointing, compensating, retaining and overseeing the company’s independent registered public accounting firm.</w:t>
      </w:r>
    </w:p>
    <w:p>
      <w:pPr>
        <w:sectPr>
          <w:pgSz w:w="11900" w:h="16838" w:orient="portrait"/>
          <w:cols w:equalWidth="0" w:num="1">
            <w:col w:w="11400"/>
          </w:cols>
          <w:pgMar w:left="240" w:top="131" w:right="259" w:bottom="0" w:gutter="0" w:footer="0" w:header="0"/>
        </w:sectPr>
      </w:pPr>
    </w:p>
    <w:bookmarkStart w:id="8" w:name="page9"/>
    <w:bookmarkEnd w:id="8"/>
    <w:p>
      <w:pPr>
        <w:ind w:left="520" w:hanging="215"/>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the annual report of the company’s independent registered public accounting firm related to quality control.</w:t>
      </w:r>
    </w:p>
    <w:p>
      <w:pPr>
        <w:spacing w:after="0" w:line="279" w:lineRule="exact"/>
        <w:rPr>
          <w:rFonts w:ascii="Arial" w:cs="Arial" w:eastAsia="Arial" w:hAnsi="Arial"/>
          <w:sz w:val="18"/>
          <w:szCs w:val="18"/>
          <w:color w:val="auto"/>
        </w:rPr>
      </w:pPr>
    </w:p>
    <w:p>
      <w:pPr>
        <w:ind w:left="520" w:right="40" w:hanging="215"/>
        <w:spacing w:after="0" w:line="268"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the company’s annual reports to the SEC, including the financial statements and the “Management’s Discussion and Analysis” portion of those reports, and recommending appropriate action to the board.</w:t>
      </w:r>
    </w:p>
    <w:p>
      <w:pPr>
        <w:spacing w:after="0" w:line="212" w:lineRule="exact"/>
        <w:rPr>
          <w:rFonts w:ascii="Arial" w:cs="Arial" w:eastAsia="Arial" w:hAnsi="Arial"/>
          <w:sz w:val="18"/>
          <w:szCs w:val="18"/>
          <w:color w:val="auto"/>
        </w:rPr>
      </w:pPr>
    </w:p>
    <w:p>
      <w:pPr>
        <w:ind w:left="520" w:hanging="215"/>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the company’s audit plans.</w:t>
      </w:r>
    </w:p>
    <w:p>
      <w:pPr>
        <w:spacing w:after="0" w:line="279" w:lineRule="exact"/>
        <w:rPr>
          <w:rFonts w:ascii="Arial" w:cs="Arial" w:eastAsia="Arial" w:hAnsi="Arial"/>
          <w:sz w:val="18"/>
          <w:szCs w:val="18"/>
          <w:color w:val="auto"/>
        </w:rPr>
      </w:pPr>
    </w:p>
    <w:p>
      <w:pPr>
        <w:ind w:left="520" w:right="500" w:hanging="215"/>
        <w:spacing w:after="0" w:line="268"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before issuance the company’s news releases regarding annual and interim financial results and discussing with management any related earnings guidance that may be provided to analysts and rating agencies.</w:t>
      </w:r>
    </w:p>
    <w:p>
      <w:pPr>
        <w:spacing w:after="0" w:line="212" w:lineRule="exact"/>
        <w:rPr>
          <w:rFonts w:ascii="Arial" w:cs="Arial" w:eastAsia="Arial" w:hAnsi="Arial"/>
          <w:sz w:val="18"/>
          <w:szCs w:val="18"/>
          <w:color w:val="auto"/>
        </w:rPr>
      </w:pPr>
    </w:p>
    <w:p>
      <w:pPr>
        <w:ind w:left="520" w:right="260" w:hanging="215"/>
        <w:spacing w:after="0" w:line="268"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Discussing the company’s audited financial statements with management and the independent registered public accounting firm, including a discussion with the firm regarding the matters required to be discussed by Statement of Auditing Standards No. 61.</w:t>
      </w:r>
    </w:p>
    <w:p>
      <w:pPr>
        <w:spacing w:after="0" w:line="212" w:lineRule="exact"/>
        <w:rPr>
          <w:rFonts w:ascii="Arial" w:cs="Arial" w:eastAsia="Arial" w:hAnsi="Arial"/>
          <w:sz w:val="18"/>
          <w:szCs w:val="18"/>
          <w:color w:val="auto"/>
        </w:rPr>
      </w:pPr>
    </w:p>
    <w:p>
      <w:pPr>
        <w:ind w:left="520" w:right="160" w:hanging="215"/>
        <w:spacing w:after="0" w:line="268"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relationships between the independent registered public accounting firm and the company in accordance with Independence Standards Board Standard No. 1.</w:t>
      </w:r>
    </w:p>
    <w:p>
      <w:pPr>
        <w:spacing w:after="0" w:line="212" w:lineRule="exact"/>
        <w:rPr>
          <w:rFonts w:ascii="Arial" w:cs="Arial" w:eastAsia="Arial" w:hAnsi="Arial"/>
          <w:sz w:val="18"/>
          <w:szCs w:val="18"/>
          <w:color w:val="auto"/>
        </w:rPr>
      </w:pPr>
    </w:p>
    <w:p>
      <w:pPr>
        <w:ind w:left="520" w:right="120" w:hanging="215"/>
        <w:spacing w:after="0" w:line="268"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discussing the adequacy of the company’s internal accounting controls and other factors affecting the integrity of the company’s financial reports with management and with the company’s independent registered public accounting firm.</w:t>
      </w:r>
    </w:p>
    <w:p>
      <w:pPr>
        <w:spacing w:after="0" w:line="212" w:lineRule="exact"/>
        <w:rPr>
          <w:rFonts w:ascii="Arial" w:cs="Arial" w:eastAsia="Arial" w:hAnsi="Arial"/>
          <w:sz w:val="18"/>
          <w:szCs w:val="18"/>
          <w:color w:val="auto"/>
        </w:rPr>
      </w:pPr>
    </w:p>
    <w:p>
      <w:pPr>
        <w:ind w:left="520" w:hanging="215"/>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Creating and periodically reviewing the company’s whistleblower policy.</w:t>
      </w:r>
    </w:p>
    <w:p>
      <w:pPr>
        <w:spacing w:after="0" w:line="279" w:lineRule="exact"/>
        <w:rPr>
          <w:rFonts w:ascii="Arial" w:cs="Arial" w:eastAsia="Arial" w:hAnsi="Arial"/>
          <w:sz w:val="18"/>
          <w:szCs w:val="18"/>
          <w:color w:val="auto"/>
        </w:rPr>
      </w:pPr>
    </w:p>
    <w:p>
      <w:pPr>
        <w:ind w:left="520" w:hanging="215"/>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the company’s risk assessment and risk management policies.</w:t>
      </w:r>
    </w:p>
    <w:p>
      <w:pPr>
        <w:spacing w:after="0" w:line="200" w:lineRule="exact"/>
        <w:rPr>
          <w:sz w:val="20"/>
          <w:szCs w:val="20"/>
          <w:color w:val="auto"/>
        </w:rPr>
      </w:pPr>
    </w:p>
    <w:p>
      <w:pPr>
        <w:spacing w:after="0" w:line="29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board has determined that all members of the Audit Committee are financially literate and have financial management expertise, as the board has interpreted such qualifications in its business judgment. In addition, the board has designated Mr. Adams as the audit committee financial expert as defined in the Securities Exchange Act of 1934.</w:t>
      </w:r>
    </w:p>
    <w:p>
      <w:pPr>
        <w:spacing w:after="0" w:line="19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Audit Committee met 6 times in 2005. The committee also continued its long-standing practice of meeting directly with the company’s internal audit staff to discuss the current year’s audit plan and to allow for direct interaction between Audit Committee members and the company’s internal auditors. See page 24 for a report of the committee.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2160" w:val="left"/>
        </w:tabs>
        <w:rPr>
          <w:sz w:val="20"/>
          <w:szCs w:val="20"/>
          <w:color w:val="auto"/>
        </w:rPr>
      </w:pPr>
      <w:r>
        <w:rPr>
          <w:rFonts w:ascii="Arial" w:cs="Arial" w:eastAsia="Arial" w:hAnsi="Arial"/>
          <w:sz w:val="18"/>
          <w:szCs w:val="18"/>
          <w:b w:val="1"/>
          <w:bCs w:val="1"/>
          <w:color w:val="auto"/>
        </w:rPr>
        <w:t>Compensation Committee.</w:t>
      </w:r>
      <w:r>
        <w:rPr>
          <w:sz w:val="20"/>
          <w:szCs w:val="20"/>
          <w:color w:val="auto"/>
        </w:rPr>
        <w:tab/>
      </w:r>
      <w:r>
        <w:rPr>
          <w:rFonts w:ascii="Arial" w:cs="Arial" w:eastAsia="Arial" w:hAnsi="Arial"/>
          <w:sz w:val="15"/>
          <w:szCs w:val="15"/>
          <w:color w:val="auto"/>
        </w:rPr>
        <w:t>All members of the Compensation Committee are independent. The Compensation Committee is generally responsible for:</w:t>
      </w:r>
    </w:p>
    <w:p>
      <w:pPr>
        <w:spacing w:after="0" w:line="231" w:lineRule="exact"/>
        <w:rPr>
          <w:sz w:val="20"/>
          <w:szCs w:val="20"/>
          <w:color w:val="auto"/>
        </w:rPr>
      </w:pPr>
    </w:p>
    <w:p>
      <w:pPr>
        <w:ind w:left="520" w:hanging="215"/>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approving company goals and objectives relevant to CEO compensation.</w:t>
      </w:r>
    </w:p>
    <w:p>
      <w:pPr>
        <w:spacing w:after="0" w:line="279" w:lineRule="exact"/>
        <w:rPr>
          <w:rFonts w:ascii="Arial" w:cs="Arial" w:eastAsia="Arial" w:hAnsi="Arial"/>
          <w:sz w:val="18"/>
          <w:szCs w:val="18"/>
          <w:color w:val="auto"/>
        </w:rPr>
      </w:pPr>
    </w:p>
    <w:p>
      <w:pPr>
        <w:ind w:left="520" w:hanging="215"/>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Evaluating the CEO’s performance in light of those goals and objectives.</w:t>
      </w:r>
    </w:p>
    <w:p>
      <w:pPr>
        <w:spacing w:after="0" w:line="279" w:lineRule="exact"/>
        <w:rPr>
          <w:rFonts w:ascii="Arial" w:cs="Arial" w:eastAsia="Arial" w:hAnsi="Arial"/>
          <w:sz w:val="18"/>
          <w:szCs w:val="18"/>
          <w:color w:val="auto"/>
        </w:rPr>
      </w:pPr>
    </w:p>
    <w:p>
      <w:pPr>
        <w:ind w:left="520" w:hanging="215"/>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Setting the compensation of the CEO and other executive officers.</w:t>
      </w:r>
    </w:p>
    <w:p>
      <w:pPr>
        <w:spacing w:after="0" w:line="279" w:lineRule="exact"/>
        <w:rPr>
          <w:rFonts w:ascii="Arial" w:cs="Arial" w:eastAsia="Arial" w:hAnsi="Arial"/>
          <w:sz w:val="18"/>
          <w:szCs w:val="18"/>
          <w:color w:val="auto"/>
        </w:rPr>
      </w:pPr>
    </w:p>
    <w:p>
      <w:pPr>
        <w:ind w:left="520" w:hanging="215"/>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Making recommendations to the board regarding:</w:t>
      </w:r>
    </w:p>
    <w:p>
      <w:pPr>
        <w:spacing w:after="0" w:line="279" w:lineRule="exact"/>
        <w:rPr>
          <w:rFonts w:ascii="Arial" w:cs="Arial" w:eastAsia="Arial" w:hAnsi="Arial"/>
          <w:sz w:val="18"/>
          <w:szCs w:val="18"/>
          <w:color w:val="auto"/>
        </w:rPr>
      </w:pPr>
    </w:p>
    <w:p>
      <w:pPr>
        <w:ind w:left="800" w:right="180" w:hanging="225"/>
        <w:spacing w:after="0" w:line="259" w:lineRule="auto"/>
        <w:tabs>
          <w:tab w:leader="none" w:pos="8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Institution and termination of, revisions in and actions under employee benefit plans that (i) increase benefits only for officers of the company or disproportionately increase benefits for officers of the company more than other employees of the company, (ii) require or permit the issuance of the company’s stock or (iii) the board must approve.</w:t>
      </w:r>
    </w:p>
    <w:p>
      <w:pPr>
        <w:spacing w:after="0" w:line="221" w:lineRule="exact"/>
        <w:rPr>
          <w:rFonts w:ascii="Arial" w:cs="Arial" w:eastAsia="Arial" w:hAnsi="Arial"/>
          <w:sz w:val="18"/>
          <w:szCs w:val="18"/>
          <w:color w:val="auto"/>
        </w:rPr>
      </w:pPr>
    </w:p>
    <w:p>
      <w:pPr>
        <w:ind w:left="800" w:hanging="225"/>
        <w:spacing w:after="0"/>
        <w:tabs>
          <w:tab w:leader="none" w:pos="8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Reservation of company stock for use as awards or grants under plans or as contributions or sales to any trustee of an employee benefit plan.</w:t>
      </w:r>
    </w:p>
    <w:p>
      <w:pPr>
        <w:spacing w:after="0" w:line="302" w:lineRule="exact"/>
        <w:rPr>
          <w:rFonts w:ascii="Arial" w:cs="Arial" w:eastAsia="Arial" w:hAnsi="Arial"/>
          <w:sz w:val="16"/>
          <w:szCs w:val="16"/>
          <w:color w:val="auto"/>
        </w:rPr>
      </w:pPr>
    </w:p>
    <w:p>
      <w:pPr>
        <w:ind w:left="800" w:hanging="225"/>
        <w:spacing w:after="0"/>
        <w:tabs>
          <w:tab w:leader="none" w:pos="8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Purchase of company stock in connection with employee benefit plans.</w:t>
      </w:r>
    </w:p>
    <w:p>
      <w:pPr>
        <w:spacing w:after="0" w:line="279" w:lineRule="exact"/>
        <w:rPr>
          <w:rFonts w:ascii="Arial" w:cs="Arial" w:eastAsia="Arial" w:hAnsi="Arial"/>
          <w:sz w:val="18"/>
          <w:szCs w:val="18"/>
          <w:color w:val="auto"/>
        </w:rPr>
      </w:pPr>
    </w:p>
    <w:p>
      <w:pPr>
        <w:ind w:left="520" w:right="100" w:hanging="215"/>
        <w:spacing w:after="0" w:line="259"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Taking action as appropriate regarding the institution and termination of, revisions in and actions under employee benefit plans that are not required to be approved by the board; administration of employee benefit plans; and the approval and execution of employee benefit plan documents, contracts with employee benefit plan providers and other third parties.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met 7 times in 2005. See page 18 for a report of the committee on its executive compensation decisions for the year 2005.</w:t>
      </w:r>
    </w:p>
    <w:p>
      <w:pPr>
        <w:spacing w:after="0" w:line="242"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Governance and Stockholder Relations Committee. </w:t>
      </w:r>
      <w:r>
        <w:rPr>
          <w:rFonts w:ascii="Arial" w:cs="Arial" w:eastAsia="Arial" w:hAnsi="Arial"/>
          <w:sz w:val="18"/>
          <w:szCs w:val="18"/>
          <w:color w:val="auto"/>
        </w:rPr>
        <w:t>All members of the Governance and Stockholder Relations Committee are independent. The Governance</w:t>
      </w:r>
      <w:r>
        <w:rPr>
          <w:rFonts w:ascii="Arial" w:cs="Arial" w:eastAsia="Arial" w:hAnsi="Arial"/>
          <w:sz w:val="18"/>
          <w:szCs w:val="18"/>
          <w:b w:val="1"/>
          <w:bCs w:val="1"/>
          <w:color w:val="auto"/>
        </w:rPr>
        <w:t xml:space="preserve"> </w:t>
      </w:r>
      <w:r>
        <w:rPr>
          <w:rFonts w:ascii="Arial" w:cs="Arial" w:eastAsia="Arial" w:hAnsi="Arial"/>
          <w:sz w:val="18"/>
          <w:szCs w:val="18"/>
          <w:color w:val="auto"/>
        </w:rPr>
        <w:t>and Stockholder Relations Committee is generally responsible for:</w:t>
      </w:r>
    </w:p>
    <w:p>
      <w:pPr>
        <w:spacing w:after="0" w:line="180" w:lineRule="exact"/>
        <w:rPr>
          <w:sz w:val="20"/>
          <w:szCs w:val="20"/>
          <w:color w:val="auto"/>
        </w:rPr>
      </w:pPr>
    </w:p>
    <w:p>
      <w:pPr>
        <w:ind w:left="520" w:hanging="215"/>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Making recommendations to the board regarding:</w:t>
      </w:r>
    </w:p>
    <w:p>
      <w:pPr>
        <w:spacing w:after="0" w:line="279" w:lineRule="exact"/>
        <w:rPr>
          <w:rFonts w:ascii="Arial" w:cs="Arial" w:eastAsia="Arial" w:hAnsi="Arial"/>
          <w:sz w:val="18"/>
          <w:szCs w:val="18"/>
          <w:color w:val="auto"/>
        </w:rPr>
      </w:pPr>
    </w:p>
    <w:p>
      <w:pPr>
        <w:ind w:left="800" w:hanging="225"/>
        <w:spacing w:after="0"/>
        <w:tabs>
          <w:tab w:leader="none" w:pos="8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development and revision of the company’s corporate governance principles.</w:t>
      </w:r>
    </w:p>
    <w:p>
      <w:pPr>
        <w:spacing w:after="0" w:line="279" w:lineRule="exact"/>
        <w:rPr>
          <w:rFonts w:ascii="Arial" w:cs="Arial" w:eastAsia="Arial" w:hAnsi="Arial"/>
          <w:sz w:val="18"/>
          <w:szCs w:val="18"/>
          <w:color w:val="auto"/>
        </w:rPr>
      </w:pPr>
    </w:p>
    <w:p>
      <w:pPr>
        <w:ind w:left="800" w:hanging="225"/>
        <w:spacing w:after="0"/>
        <w:tabs>
          <w:tab w:leader="none" w:pos="8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size, composition and functioning of the board and board committees.</w:t>
      </w:r>
    </w:p>
    <w:p>
      <w:pPr>
        <w:spacing w:after="0" w:line="279" w:lineRule="exact"/>
        <w:rPr>
          <w:rFonts w:ascii="Arial" w:cs="Arial" w:eastAsia="Arial" w:hAnsi="Arial"/>
          <w:sz w:val="18"/>
          <w:szCs w:val="18"/>
          <w:color w:val="auto"/>
        </w:rPr>
      </w:pPr>
    </w:p>
    <w:p>
      <w:pPr>
        <w:ind w:left="800" w:hanging="225"/>
        <w:spacing w:after="0"/>
        <w:tabs>
          <w:tab w:leader="none" w:pos="8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Candidates to fill board positions.</w:t>
      </w:r>
    </w:p>
    <w:p>
      <w:pPr>
        <w:sectPr>
          <w:pgSz w:w="11900" w:h="16838" w:orient="portrait"/>
          <w:cols w:equalWidth="0" w:num="1">
            <w:col w:w="11400"/>
          </w:cols>
          <w:pgMar w:left="240" w:top="131" w:right="259" w:bottom="0" w:gutter="0" w:footer="0" w:header="0"/>
        </w:sectPr>
      </w:pPr>
    </w:p>
    <w:bookmarkStart w:id="9" w:name="page10"/>
    <w:bookmarkEnd w:id="9"/>
    <w:p>
      <w:pPr>
        <w:ind w:left="800" w:hanging="225"/>
        <w:spacing w:after="0"/>
        <w:tabs>
          <w:tab w:leader="none" w:pos="8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Nominees to be designated for election as directors.</w:t>
      </w:r>
    </w:p>
    <w:p>
      <w:pPr>
        <w:spacing w:after="0" w:line="279" w:lineRule="exact"/>
        <w:rPr>
          <w:rFonts w:ascii="Arial" w:cs="Arial" w:eastAsia="Arial" w:hAnsi="Arial"/>
          <w:sz w:val="18"/>
          <w:szCs w:val="18"/>
          <w:color w:val="auto"/>
        </w:rPr>
      </w:pPr>
    </w:p>
    <w:p>
      <w:pPr>
        <w:ind w:left="800" w:hanging="225"/>
        <w:spacing w:after="0"/>
        <w:tabs>
          <w:tab w:leader="none" w:pos="8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Compensation of board members.</w:t>
      </w:r>
    </w:p>
    <w:p>
      <w:pPr>
        <w:spacing w:after="0" w:line="279" w:lineRule="exact"/>
        <w:rPr>
          <w:rFonts w:ascii="Arial" w:cs="Arial" w:eastAsia="Arial" w:hAnsi="Arial"/>
          <w:sz w:val="18"/>
          <w:szCs w:val="18"/>
          <w:color w:val="auto"/>
        </w:rPr>
      </w:pPr>
    </w:p>
    <w:p>
      <w:pPr>
        <w:ind w:left="800" w:hanging="225"/>
        <w:spacing w:after="0"/>
        <w:tabs>
          <w:tab w:leader="none" w:pos="8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Organization and responsibilities of board committees.</w:t>
      </w:r>
    </w:p>
    <w:p>
      <w:pPr>
        <w:spacing w:after="0" w:line="279" w:lineRule="exact"/>
        <w:rPr>
          <w:rFonts w:ascii="Arial" w:cs="Arial" w:eastAsia="Arial" w:hAnsi="Arial"/>
          <w:sz w:val="18"/>
          <w:szCs w:val="18"/>
          <w:color w:val="auto"/>
        </w:rPr>
      </w:pPr>
    </w:p>
    <w:p>
      <w:pPr>
        <w:ind w:left="800" w:hanging="225"/>
        <w:spacing w:after="0"/>
        <w:tabs>
          <w:tab w:leader="none" w:pos="8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Succession planning by the company.</w:t>
      </w:r>
    </w:p>
    <w:p>
      <w:pPr>
        <w:spacing w:after="0" w:line="279" w:lineRule="exact"/>
        <w:rPr>
          <w:rFonts w:ascii="Arial" w:cs="Arial" w:eastAsia="Arial" w:hAnsi="Arial"/>
          <w:sz w:val="18"/>
          <w:szCs w:val="18"/>
          <w:color w:val="auto"/>
        </w:rPr>
      </w:pPr>
    </w:p>
    <w:p>
      <w:pPr>
        <w:ind w:left="800" w:hanging="225"/>
        <w:spacing w:after="0"/>
        <w:tabs>
          <w:tab w:leader="none" w:pos="8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Issues of potential conflicts of interest involving a board member raised under the company’s conflict of interest policy.</w:t>
      </w:r>
    </w:p>
    <w:p>
      <w:pPr>
        <w:spacing w:after="0" w:line="279" w:lineRule="exact"/>
        <w:rPr>
          <w:rFonts w:ascii="Arial" w:cs="Arial" w:eastAsia="Arial" w:hAnsi="Arial"/>
          <w:sz w:val="18"/>
          <w:szCs w:val="18"/>
          <w:color w:val="auto"/>
        </w:rPr>
      </w:pPr>
    </w:p>
    <w:p>
      <w:pPr>
        <w:ind w:left="800" w:hanging="225"/>
        <w:spacing w:after="0"/>
        <w:tabs>
          <w:tab w:leader="none" w:pos="8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Topics affecting the relationship between management and stockholders, and public issues.</w:t>
      </w:r>
    </w:p>
    <w:p>
      <w:pPr>
        <w:spacing w:after="0" w:line="279" w:lineRule="exact"/>
        <w:rPr>
          <w:rFonts w:ascii="Arial" w:cs="Arial" w:eastAsia="Arial" w:hAnsi="Arial"/>
          <w:sz w:val="18"/>
          <w:szCs w:val="18"/>
          <w:color w:val="auto"/>
        </w:rPr>
      </w:pPr>
    </w:p>
    <w:p>
      <w:pPr>
        <w:ind w:left="800" w:hanging="225"/>
        <w:spacing w:after="0"/>
        <w:tabs>
          <w:tab w:leader="none" w:pos="8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Responses to proposals submitted by stockholders.</w:t>
      </w:r>
    </w:p>
    <w:p>
      <w:pPr>
        <w:spacing w:after="0" w:line="279" w:lineRule="exact"/>
        <w:rPr>
          <w:rFonts w:ascii="Arial" w:cs="Arial" w:eastAsia="Arial" w:hAnsi="Arial"/>
          <w:sz w:val="18"/>
          <w:szCs w:val="18"/>
          <w:color w:val="auto"/>
        </w:rPr>
      </w:pPr>
    </w:p>
    <w:p>
      <w:pPr>
        <w:ind w:left="520" w:hanging="215"/>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w:t>
      </w:r>
    </w:p>
    <w:p>
      <w:pPr>
        <w:spacing w:after="0" w:line="279" w:lineRule="exact"/>
        <w:rPr>
          <w:rFonts w:ascii="Arial" w:cs="Arial" w:eastAsia="Arial" w:hAnsi="Arial"/>
          <w:sz w:val="18"/>
          <w:szCs w:val="18"/>
          <w:color w:val="auto"/>
        </w:rPr>
      </w:pPr>
    </w:p>
    <w:p>
      <w:pPr>
        <w:ind w:left="800" w:hanging="225"/>
        <w:spacing w:after="0"/>
        <w:tabs>
          <w:tab w:leader="none" w:pos="8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Contribution policies of the company and of the TI Foundation.</w:t>
      </w:r>
    </w:p>
    <w:p>
      <w:pPr>
        <w:spacing w:after="0" w:line="279" w:lineRule="exact"/>
        <w:rPr>
          <w:rFonts w:ascii="Arial" w:cs="Arial" w:eastAsia="Arial" w:hAnsi="Arial"/>
          <w:sz w:val="18"/>
          <w:szCs w:val="18"/>
          <w:color w:val="auto"/>
        </w:rPr>
      </w:pPr>
    </w:p>
    <w:p>
      <w:pPr>
        <w:ind w:left="800" w:hanging="225"/>
        <w:spacing w:after="0"/>
        <w:tabs>
          <w:tab w:leader="none" w:pos="8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Revisions to TI’s code of ethics.</w:t>
      </w:r>
    </w:p>
    <w:p>
      <w:pPr>
        <w:spacing w:after="0" w:line="279" w:lineRule="exact"/>
        <w:rPr>
          <w:rFonts w:ascii="Arial" w:cs="Arial" w:eastAsia="Arial" w:hAnsi="Arial"/>
          <w:sz w:val="18"/>
          <w:szCs w:val="18"/>
          <w:color w:val="auto"/>
        </w:rPr>
      </w:pPr>
    </w:p>
    <w:p>
      <w:pPr>
        <w:ind w:left="520" w:hanging="215"/>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an annual evaluation of the board and the committees.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Governance and Stockholder Relations Committee met 7 times in 2005. See below for a report of the committee regarding its activities. See also page 5 for a discussion of stockholder nominations and communications with the board.</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GOVERNANCE</w:t>
      </w:r>
    </w:p>
    <w:p>
      <w:pPr>
        <w:spacing w:after="0" w:line="231"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board has a long-standing commitment to responsible and effective corporate governance. Information regarding the corporate governance practices of the board is available on the company’s web site at www.ti.com/corporategovernance. The board acted on a number of important corporate governance matters during 2005 and early 2006. To provide details of those actions, the Governance and Stockholder Relations Committee offers the following report:</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GOVERNANCE AND STOCKHOLDER RELATIONS COMMITTEE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Majority Voting</w:t>
      </w:r>
    </w:p>
    <w:p>
      <w:pPr>
        <w:spacing w:after="0" w:line="23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2005 and early 2006, the Governance and Stockholder Relations Committee of the board of directors (the Committee) spent significant time reviewing the company’s director election process. In February 2006, the Committee recommended and the board determined to amend the company’s by-laws to change the voting standard for the election of directors from a plurality to a majority vote. The board believes the change to a majority vote standard will appropriately give stockholders a greater voice in the election of directors of the company.</w:t>
      </w:r>
    </w:p>
    <w:p>
      <w:pPr>
        <w:spacing w:after="0" w:line="197"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Under the plurality standard, which most companies incorporated in Delaware employ, director candidates with the most votes cast for them are elected, even if the total number of votes cast is less than a majority. Under the majority standard now applicable to the company’s director elections, a director must receive the affirmative vote of a majority of the shares represented in person or by proxy at an annual meeting.</w:t>
      </w:r>
    </w:p>
    <w:p>
      <w:pPr>
        <w:spacing w:after="0" w:line="16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Delaware law, an incumbent director who fails to receive the required vote “holds over,” or continues to serve as a director until his or her successor is elected and qualified. Consequently, the Committee is considering the adoption of a policy that would address this “hold over” issue. Because it is difficult to anticipate the various reasons stockholders might withhold votes from a director, the policy is likely to give the board flexibility in determining what action to take. The board agreed with the Committee’s recommendation to amend the company’s by-laws and acted accordingly. The amended by-laws can be found on the company’s web site at www.ti.com/corporategovernance.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at TI</w:t>
      </w:r>
    </w:p>
    <w:p>
      <w:pPr>
        <w:spacing w:after="0" w:line="23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TI’s board of directors first adopted written governance guidelines and committee charters in 1973. Its policies and practices have evolved over time, adapting to meet the needs of the company and its stockholders, although some practices, such as maintaining a majority of independent directors, are of long standing. The board’s commitment to governance is evidenced by the time members devote to TI matters. Historically the board has met at least eight times a year. TI directors have also long participated in strategic conferences in addition to the regular board meetings. Directors interact directly with managers other than the chief executive officer at board meetings and the strategic planning conferences. This practice facilitates the directors’ oversight efforts and also gives directors opportunities to evaluate those managers, aiding directors in succession planning considerations. As illustrated in 2004, the board has also shown a willingness to change the status quo by revising the</w:t>
      </w:r>
    </w:p>
    <w:p>
      <w:pPr>
        <w:sectPr>
          <w:pgSz w:w="11900" w:h="16838" w:orient="portrait"/>
          <w:cols w:equalWidth="0" w:num="1">
            <w:col w:w="11400"/>
          </w:cols>
          <w:pgMar w:left="240" w:top="374" w:right="259" w:bottom="873"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469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00"/>
          </w:cols>
          <w:pgMar w:left="240" w:top="374" w:right="259" w:bottom="873" w:gutter="0" w:footer="0" w:header="0"/>
          <w:type w:val="continuous"/>
        </w:sectPr>
      </w:pPr>
    </w:p>
    <w:bookmarkStart w:id="10" w:name="page11"/>
    <w:bookmarkEnd w:id="10"/>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size and composition of the board and the board’s committee structure. Moreover, the board and each of its committees conduct evaluations annually; changes to processes such as agenda setting, and expanded presentations to the board on certain topics, are examples of improvements that have resulted from those evaluations.</w:t>
      </w:r>
    </w:p>
    <w:p>
      <w:pPr>
        <w:spacing w:after="0" w:line="194"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TI’s corporate governance guidelines document several other principles the board has long followed. Following are examples of policies included in the guidelines:</w:t>
      </w:r>
    </w:p>
    <w:p>
      <w:pPr>
        <w:spacing w:after="0" w:line="186" w:lineRule="exact"/>
        <w:rPr>
          <w:sz w:val="20"/>
          <w:szCs w:val="20"/>
          <w:color w:val="auto"/>
        </w:rPr>
      </w:pPr>
    </w:p>
    <w:p>
      <w:pPr>
        <w:ind w:left="520" w:right="100" w:hanging="215"/>
        <w:spacing w:after="0" w:line="255"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The roles of chairman and chief executive officer</w:t>
      </w:r>
      <w:r>
        <w:rPr>
          <w:rFonts w:ascii="Arial" w:cs="Arial" w:eastAsia="Arial" w:hAnsi="Arial"/>
          <w:sz w:val="18"/>
          <w:szCs w:val="18"/>
          <w:color w:val="auto"/>
        </w:rPr>
        <w:t>. TI’s board believes that the company’s situation warrants separating the roles of chairman and chief executive officer. However, the board does not believe it is in the best interests of stockholders to be permanently bound to that structure. Instead, the board will determine the leadership structure that serves the company best at any given time. That structure may involve a separation of the roles of chief executive officer and chairman, or may involve the chief executive officer’s simultaneously serving as chairman, depending on current and anticipated circumstances.</w:t>
      </w:r>
    </w:p>
    <w:p>
      <w:pPr>
        <w:spacing w:after="0" w:line="223" w:lineRule="exact"/>
        <w:rPr>
          <w:rFonts w:ascii="Arial" w:cs="Arial" w:eastAsia="Arial" w:hAnsi="Arial"/>
          <w:sz w:val="18"/>
          <w:szCs w:val="18"/>
          <w:color w:val="auto"/>
        </w:rPr>
      </w:pPr>
    </w:p>
    <w:p>
      <w:pPr>
        <w:ind w:left="520" w:right="80" w:hanging="215"/>
        <w:spacing w:after="0" w:line="306" w:lineRule="auto"/>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Retirement age and term limits</w:t>
      </w:r>
      <w:r>
        <w:rPr>
          <w:rFonts w:ascii="Arial" w:cs="Arial" w:eastAsia="Arial" w:hAnsi="Arial"/>
          <w:sz w:val="16"/>
          <w:szCs w:val="16"/>
          <w:color w:val="auto"/>
        </w:rPr>
        <w:t>. The board maintains a retirement age of 70 for directors. The board has considered whether to institute term limits but concluded that term limits can result in the loss of directors who have developed, over a period of time, an in-depth understanding of the company and its strategic objectives, operations and challenges and, therefore, provide a valuable contribution to the board as a whole.</w:t>
      </w:r>
    </w:p>
    <w:p>
      <w:pPr>
        <w:spacing w:after="0" w:line="187" w:lineRule="exact"/>
        <w:rPr>
          <w:rFonts w:ascii="Arial" w:cs="Arial" w:eastAsia="Arial" w:hAnsi="Arial"/>
          <w:sz w:val="16"/>
          <w:szCs w:val="16"/>
          <w:color w:val="auto"/>
        </w:rPr>
      </w:pPr>
    </w:p>
    <w:p>
      <w:pPr>
        <w:ind w:left="520" w:right="60" w:hanging="215"/>
        <w:spacing w:after="0" w:line="254"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Executive sessions and “lead director.”</w:t>
      </w:r>
      <w:r>
        <w:rPr>
          <w:rFonts w:ascii="Arial" w:cs="Arial" w:eastAsia="Arial" w:hAnsi="Arial"/>
          <w:sz w:val="18"/>
          <w:szCs w:val="18"/>
          <w:color w:val="auto"/>
        </w:rPr>
        <w:t xml:space="preserve"> Non-management directors of the board meet in executive session at each regularly scheduled meeting and at such other times as the Committee recommends. Any management director, such as the chief executive officer, is excluded from these executive sessions. The chair of the appropriate board committee acts as chair at executive sessions at which the principal item to be considered is within the scope of authority of his or her committee or, if there is no single principal item, the chair of this Committee. This practice, by providing opportunities for leadership to more than one independent director, more fully engages the board members. The board prefers this approach to the selection of one “lead director.”</w:t>
      </w:r>
    </w:p>
    <w:p>
      <w:pPr>
        <w:spacing w:after="0" w:line="225" w:lineRule="exact"/>
        <w:rPr>
          <w:rFonts w:ascii="Arial" w:cs="Arial" w:eastAsia="Arial" w:hAnsi="Arial"/>
          <w:sz w:val="18"/>
          <w:szCs w:val="18"/>
          <w:color w:val="auto"/>
        </w:rPr>
      </w:pPr>
    </w:p>
    <w:p>
      <w:pPr>
        <w:ind w:left="520" w:right="540" w:hanging="215"/>
        <w:spacing w:after="0" w:line="332" w:lineRule="auto"/>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Director independence</w:t>
      </w:r>
      <w:r>
        <w:rPr>
          <w:rFonts w:ascii="Arial" w:cs="Arial" w:eastAsia="Arial" w:hAnsi="Arial"/>
          <w:sz w:val="16"/>
          <w:szCs w:val="16"/>
          <w:color w:val="auto"/>
        </w:rPr>
        <w:t>. TI’s board has historically been comprised almost entirely of independent directors. In accordance with the NYSE listing standards, the Committee has developed specified standards for determining independence. Those standards are listed beginning on page 6.</w:t>
      </w:r>
    </w:p>
    <w:p>
      <w:pPr>
        <w:spacing w:after="0" w:line="382" w:lineRule="exact"/>
        <w:rPr>
          <w:sz w:val="20"/>
          <w:szCs w:val="20"/>
          <w:color w:val="auto"/>
        </w:rPr>
      </w:pPr>
    </w:p>
    <w:p>
      <w:pPr>
        <w:ind w:left="3040"/>
        <w:spacing w:after="0"/>
        <w:tabs>
          <w:tab w:leader="none" w:pos="5040" w:val="left"/>
          <w:tab w:leader="none" w:pos="6620" w:val="left"/>
        </w:tabs>
        <w:rPr>
          <w:sz w:val="20"/>
          <w:szCs w:val="20"/>
          <w:color w:val="auto"/>
        </w:rPr>
      </w:pPr>
      <w:r>
        <w:rPr>
          <w:rFonts w:ascii="Arial" w:cs="Arial" w:eastAsia="Arial" w:hAnsi="Arial"/>
          <w:sz w:val="18"/>
          <w:szCs w:val="18"/>
          <w:color w:val="auto"/>
        </w:rPr>
        <w:t>David R. Boren, Chair</w:t>
      </w:r>
      <w:r>
        <w:rPr>
          <w:sz w:val="20"/>
          <w:szCs w:val="20"/>
          <w:color w:val="auto"/>
        </w:rPr>
        <w:tab/>
      </w:r>
      <w:r>
        <w:rPr>
          <w:rFonts w:ascii="Arial" w:cs="Arial" w:eastAsia="Arial" w:hAnsi="Arial"/>
          <w:sz w:val="18"/>
          <w:szCs w:val="18"/>
          <w:color w:val="auto"/>
        </w:rPr>
        <w:t>David R. Goode</w:t>
      </w:r>
      <w:r>
        <w:rPr>
          <w:sz w:val="20"/>
          <w:szCs w:val="20"/>
          <w:color w:val="auto"/>
        </w:rPr>
        <w:tab/>
      </w:r>
      <w:r>
        <w:rPr>
          <w:rFonts w:ascii="Arial" w:cs="Arial" w:eastAsia="Arial" w:hAnsi="Arial"/>
          <w:sz w:val="16"/>
          <w:szCs w:val="16"/>
          <w:color w:val="auto"/>
        </w:rPr>
        <w:t>Christine Todd Whitman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Documents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board’s corporate governance guidelines, the charters of the board’s committees, the company’s code of business conduct and the company’s code of ethics for its chief executive officer and senior financial officers are available on the company’s web site at www.ti.com/corporategovernance. Stockholders may request copies of these documents free of charge by writing to Texas Instruments Incorporated, P.O. Box 660199, MS 8657, Dallas, Texas, 75266-0199, Attn: Investor Relations.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Directors who are not employees are paid an annual retainer of $70,000 for their board and committee service. The chair of the Audit Committee receives an additional annual retainer of $10,000. The chairs of the Compensation Committee and the Governance and Stockholder Relations Committee each receive an additional annual retainer of $5,000. Compensation for other activities designated by the chairman of the board is $1,000 per day.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Under the terms of the Texas Instruments 2003 Director Compensation Plan (Director Plan), which was approved by stockholders in April 2003, non-employee directors receive the following additional compensation:</w:t>
      </w:r>
    </w:p>
    <w:p>
      <w:pPr>
        <w:spacing w:after="0" w:line="180" w:lineRule="exact"/>
        <w:rPr>
          <w:sz w:val="20"/>
          <w:szCs w:val="20"/>
          <w:color w:val="auto"/>
        </w:rPr>
      </w:pPr>
    </w:p>
    <w:p>
      <w:pPr>
        <w:ind w:left="280" w:right="220"/>
        <w:spacing w:after="0" w:line="258"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Non-employee directors are annually granted a 10-year option to purchase 15,000 shares of the company’s common stock. The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price of the shares is 100% of the fair market value on the date of grant. These nonqualified options become exercisable in four equal annual installments beginning on the first anniversary date of the grant and also may become fully exercisable in the event of a change in control (as defined in the plan) of the company.</w:t>
      </w:r>
    </w:p>
    <w:p>
      <w:pPr>
        <w:spacing w:after="0" w:line="190" w:lineRule="exact"/>
        <w:rPr>
          <w:sz w:val="20"/>
          <w:szCs w:val="20"/>
          <w:color w:val="auto"/>
        </w:rPr>
      </w:pPr>
    </w:p>
    <w:p>
      <w:pPr>
        <w:ind w:left="280" w:right="60"/>
        <w:spacing w:after="0" w:line="258" w:lineRule="auto"/>
        <w:rPr>
          <w:sz w:val="20"/>
          <w:szCs w:val="20"/>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New non-employee directors are granted 2,000 restricted stock units, each representing one share of company common stock.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units provide for issuance of company common stock at the time of retirement from the board, or upon earlier termination of service from the board after completing eight years of service or because of death or disability. Dividend equivalents are paid on restricted stock units at the same rate as dividends on the company’s common stock.</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2005, the company’s non-employee directors received the following compensation:</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4"/>
              </w:rPr>
              <w:t>Restricted</w:t>
            </w:r>
          </w:p>
        </w:tc>
        <w:tc>
          <w:tcPr>
            <w:tcW w:w="2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4"/>
              </w:rPr>
              <w:t>Fees for</w:t>
            </w: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Stock Units</w:t>
            </w:r>
          </w:p>
        </w:tc>
        <w:tc>
          <w:tcPr>
            <w:tcW w:w="2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Designated</w:t>
            </w:r>
          </w:p>
        </w:tc>
      </w:tr>
      <w:tr>
        <w:trPr>
          <w:trHeight w:val="174"/>
        </w:trPr>
        <w:tc>
          <w:tcPr>
            <w:tcW w:w="20" w:type="dxa"/>
            <w:vAlign w:val="bottom"/>
          </w:tcPr>
          <w:p>
            <w:pPr>
              <w:spacing w:after="0"/>
              <w:rPr>
                <w:sz w:val="15"/>
                <w:szCs w:val="15"/>
                <w:color w:val="auto"/>
              </w:rPr>
            </w:pPr>
          </w:p>
        </w:tc>
        <w:tc>
          <w:tcPr>
            <w:tcW w:w="2680" w:type="dxa"/>
            <w:vAlign w:val="bottom"/>
          </w:tcPr>
          <w:p>
            <w:pPr>
              <w:ind w:left="1080"/>
              <w:spacing w:after="0"/>
              <w:rPr>
                <w:sz w:val="20"/>
                <w:szCs w:val="20"/>
                <w:color w:val="auto"/>
              </w:rPr>
            </w:pPr>
            <w:r>
              <w:rPr>
                <w:rFonts w:ascii="Arial" w:cs="Arial" w:eastAsia="Arial" w:hAnsi="Arial"/>
                <w:sz w:val="14"/>
                <w:szCs w:val="14"/>
                <w:b w:val="1"/>
                <w:bCs w:val="1"/>
                <w:color w:val="auto"/>
              </w:rPr>
              <w:t>Director</w:t>
            </w:r>
          </w:p>
        </w:tc>
        <w:tc>
          <w:tcPr>
            <w:tcW w:w="800" w:type="dxa"/>
            <w:vAlign w:val="bottom"/>
          </w:tcPr>
          <w:p>
            <w:pPr>
              <w:spacing w:after="0"/>
              <w:rPr>
                <w:sz w:val="15"/>
                <w:szCs w:val="15"/>
                <w:color w:val="auto"/>
              </w:rPr>
            </w:pPr>
          </w:p>
        </w:tc>
        <w:tc>
          <w:tcPr>
            <w:tcW w:w="1380" w:type="dxa"/>
            <w:vAlign w:val="bottom"/>
          </w:tcPr>
          <w:p>
            <w:pPr>
              <w:jc w:val="right"/>
              <w:ind w:right="372"/>
              <w:spacing w:after="0"/>
              <w:rPr>
                <w:sz w:val="20"/>
                <w:szCs w:val="20"/>
                <w:color w:val="auto"/>
              </w:rPr>
            </w:pPr>
            <w:r>
              <w:rPr>
                <w:rFonts w:ascii="Arial" w:cs="Arial" w:eastAsia="Arial" w:hAnsi="Arial"/>
                <w:sz w:val="14"/>
                <w:szCs w:val="14"/>
                <w:b w:val="1"/>
                <w:bCs w:val="1"/>
                <w:color w:val="auto"/>
              </w:rPr>
              <w:t>Retainer</w:t>
            </w:r>
          </w:p>
        </w:tc>
        <w:tc>
          <w:tcPr>
            <w:tcW w:w="26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5"/>
              </w:rPr>
              <w:t>(in Shares)</w:t>
            </w:r>
          </w:p>
        </w:tc>
        <w:tc>
          <w:tcPr>
            <w:tcW w:w="2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5"/>
              </w:rPr>
              <w:t>(in Shares)</w:t>
            </w:r>
          </w:p>
        </w:tc>
        <w:tc>
          <w:tcPr>
            <w:tcW w:w="2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6"/>
              </w:rPr>
              <w:t>Activities</w:t>
            </w:r>
          </w:p>
        </w:tc>
      </w:tr>
      <w:tr>
        <w:trPr>
          <w:trHeight w:val="55"/>
        </w:trPr>
        <w:tc>
          <w:tcPr>
            <w:tcW w:w="2700" w:type="dxa"/>
            <w:vAlign w:val="bottom"/>
            <w:gridSpan w:val="2"/>
          </w:tcPr>
          <w:p>
            <w:pPr>
              <w:spacing w:after="0"/>
              <w:rPr>
                <w:sz w:val="4"/>
                <w:szCs w:val="4"/>
                <w:color w:val="auto"/>
              </w:rPr>
            </w:pPr>
          </w:p>
        </w:tc>
        <w:tc>
          <w:tcPr>
            <w:tcW w:w="8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61"/>
        </w:trPr>
        <w:tc>
          <w:tcPr>
            <w:tcW w:w="20" w:type="dxa"/>
            <w:vAlign w:val="bottom"/>
          </w:tcPr>
          <w:p>
            <w:pPr>
              <w:spacing w:after="0"/>
              <w:rPr>
                <w:sz w:val="5"/>
                <w:szCs w:val="5"/>
                <w:color w:val="auto"/>
              </w:rPr>
            </w:pPr>
          </w:p>
        </w:tc>
        <w:tc>
          <w:tcPr>
            <w:tcW w:w="2680" w:type="dxa"/>
            <w:vAlign w:val="bottom"/>
            <w:tcBorders>
              <w:top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138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38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Borders>
              <w:top w:val="single" w:sz="8" w:color="auto"/>
            </w:tcBorders>
          </w:tcPr>
          <w:p>
            <w:pPr>
              <w:spacing w:after="0"/>
              <w:rPr>
                <w:sz w:val="5"/>
                <w:szCs w:val="5"/>
                <w:color w:val="auto"/>
              </w:rPr>
            </w:pPr>
          </w:p>
        </w:tc>
      </w:tr>
      <w:tr>
        <w:trPr>
          <w:trHeight w:val="243"/>
        </w:trPr>
        <w:tc>
          <w:tcPr>
            <w:tcW w:w="20" w:type="dxa"/>
            <w:vAlign w:val="bottom"/>
          </w:tcPr>
          <w:p>
            <w:pPr>
              <w:spacing w:after="0"/>
              <w:rPr>
                <w:sz w:val="21"/>
                <w:szCs w:val="21"/>
                <w:color w:val="auto"/>
              </w:rPr>
            </w:pPr>
          </w:p>
        </w:tc>
        <w:tc>
          <w:tcPr>
            <w:tcW w:w="2680" w:type="dxa"/>
            <w:vAlign w:val="bottom"/>
            <w:shd w:val="clear" w:color="auto" w:fill="FFF3CE"/>
          </w:tcPr>
          <w:p>
            <w:pPr>
              <w:spacing w:after="0"/>
              <w:rPr>
                <w:sz w:val="20"/>
                <w:szCs w:val="20"/>
                <w:color w:val="auto"/>
              </w:rPr>
            </w:pPr>
            <w:r>
              <w:rPr>
                <w:rFonts w:ascii="Arial" w:cs="Arial" w:eastAsia="Arial" w:hAnsi="Arial"/>
                <w:sz w:val="18"/>
                <w:szCs w:val="18"/>
                <w:color w:val="auto"/>
              </w:rPr>
              <w:t>J.R. Adams</w:t>
            </w:r>
          </w:p>
        </w:tc>
        <w:tc>
          <w:tcPr>
            <w:tcW w:w="2180" w:type="dxa"/>
            <w:vAlign w:val="bottom"/>
            <w:gridSpan w:val="2"/>
            <w:shd w:val="clear" w:color="auto" w:fill="FFF3CE"/>
          </w:tcPr>
          <w:p>
            <w:pPr>
              <w:jc w:val="right"/>
              <w:ind w:right="392"/>
              <w:spacing w:after="0"/>
              <w:rPr>
                <w:sz w:val="20"/>
                <w:szCs w:val="20"/>
                <w:color w:val="auto"/>
              </w:rPr>
            </w:pPr>
            <w:r>
              <w:rPr>
                <w:rFonts w:ascii="Arial" w:cs="Arial" w:eastAsia="Arial" w:hAnsi="Arial"/>
                <w:sz w:val="18"/>
                <w:szCs w:val="18"/>
                <w:color w:val="auto"/>
              </w:rPr>
              <w:t>$80,000</w:t>
            </w:r>
          </w:p>
        </w:tc>
        <w:tc>
          <w:tcPr>
            <w:tcW w:w="1640" w:type="dxa"/>
            <w:vAlign w:val="bottom"/>
            <w:gridSpan w:val="2"/>
            <w:shd w:val="clear" w:color="auto" w:fill="FFF3CE"/>
          </w:tcPr>
          <w:p>
            <w:pPr>
              <w:jc w:val="center"/>
              <w:ind w:left="192"/>
              <w:spacing w:after="0"/>
              <w:rPr>
                <w:sz w:val="20"/>
                <w:szCs w:val="20"/>
                <w:color w:val="auto"/>
              </w:rPr>
            </w:pPr>
            <w:r>
              <w:rPr>
                <w:rFonts w:ascii="Arial" w:cs="Arial" w:eastAsia="Arial" w:hAnsi="Arial"/>
                <w:sz w:val="18"/>
                <w:szCs w:val="18"/>
                <w:color w:val="auto"/>
                <w:w w:val="87"/>
              </w:rPr>
              <w:t>15,000</w:t>
            </w:r>
          </w:p>
        </w:tc>
        <w:tc>
          <w:tcPr>
            <w:tcW w:w="1320" w:type="dxa"/>
            <w:vAlign w:val="bottom"/>
            <w:gridSpan w:val="2"/>
            <w:shd w:val="clear" w:color="auto" w:fill="FFF3CE"/>
          </w:tcPr>
          <w:p>
            <w:pPr>
              <w:jc w:val="right"/>
              <w:ind w:right="392"/>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FFF3CE"/>
          </w:tcPr>
          <w:p>
            <w:pPr>
              <w:jc w:val="right"/>
              <w:ind w:right="372"/>
              <w:spacing w:after="0"/>
              <w:rPr>
                <w:sz w:val="20"/>
                <w:szCs w:val="20"/>
                <w:color w:val="auto"/>
              </w:rPr>
            </w:pPr>
            <w:r>
              <w:rPr>
                <w:rFonts w:ascii="Arial" w:cs="Arial" w:eastAsia="Arial" w:hAnsi="Arial"/>
                <w:sz w:val="18"/>
                <w:szCs w:val="18"/>
                <w:color w:val="auto"/>
              </w:rPr>
              <w:t>0</w:t>
            </w:r>
          </w:p>
        </w:tc>
      </w:tr>
      <w:tr>
        <w:trPr>
          <w:trHeight w:val="242"/>
        </w:trPr>
        <w:tc>
          <w:tcPr>
            <w:tcW w:w="2700" w:type="dxa"/>
            <w:vAlign w:val="bottom"/>
            <w:gridSpan w:val="2"/>
          </w:tcPr>
          <w:p>
            <w:pPr>
              <w:spacing w:after="0"/>
              <w:rPr>
                <w:sz w:val="20"/>
                <w:szCs w:val="20"/>
                <w:color w:val="auto"/>
              </w:rPr>
            </w:pPr>
            <w:r>
              <w:rPr>
                <w:rFonts w:ascii="Arial" w:cs="Arial" w:eastAsia="Arial" w:hAnsi="Arial"/>
                <w:sz w:val="18"/>
                <w:szCs w:val="18"/>
                <w:color w:val="auto"/>
              </w:rPr>
              <w:t>D.L. Boren</w:t>
            </w:r>
          </w:p>
        </w:tc>
        <w:tc>
          <w:tcPr>
            <w:tcW w:w="2180" w:type="dxa"/>
            <w:vAlign w:val="bottom"/>
            <w:gridSpan w:val="2"/>
          </w:tcPr>
          <w:p>
            <w:pPr>
              <w:jc w:val="right"/>
              <w:ind w:right="392"/>
              <w:spacing w:after="0"/>
              <w:rPr>
                <w:sz w:val="20"/>
                <w:szCs w:val="20"/>
                <w:color w:val="auto"/>
              </w:rPr>
            </w:pPr>
            <w:r>
              <w:rPr>
                <w:rFonts w:ascii="Arial" w:cs="Arial" w:eastAsia="Arial" w:hAnsi="Arial"/>
                <w:sz w:val="18"/>
                <w:szCs w:val="18"/>
                <w:color w:val="auto"/>
              </w:rPr>
              <w:t>$75,000</w:t>
            </w:r>
          </w:p>
        </w:tc>
        <w:tc>
          <w:tcPr>
            <w:tcW w:w="164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15,000</w:t>
            </w:r>
          </w:p>
        </w:tc>
        <w:tc>
          <w:tcPr>
            <w:tcW w:w="1320" w:type="dxa"/>
            <w:vAlign w:val="bottom"/>
            <w:gridSpan w:val="2"/>
          </w:tcPr>
          <w:p>
            <w:pPr>
              <w:jc w:val="right"/>
              <w:ind w:right="392"/>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372"/>
              <w:spacing w:after="0"/>
              <w:rPr>
                <w:sz w:val="20"/>
                <w:szCs w:val="20"/>
                <w:color w:val="auto"/>
              </w:rPr>
            </w:pPr>
            <w:r>
              <w:rPr>
                <w:rFonts w:ascii="Arial" w:cs="Arial" w:eastAsia="Arial" w:hAnsi="Arial"/>
                <w:sz w:val="18"/>
                <w:szCs w:val="18"/>
                <w:color w:val="auto"/>
              </w:rPr>
              <w:t>0</w:t>
            </w:r>
          </w:p>
        </w:tc>
      </w:tr>
      <w:tr>
        <w:trPr>
          <w:trHeight w:val="244"/>
        </w:trPr>
        <w:tc>
          <w:tcPr>
            <w:tcW w:w="20" w:type="dxa"/>
            <w:vAlign w:val="bottom"/>
          </w:tcPr>
          <w:p>
            <w:pPr>
              <w:spacing w:after="0"/>
              <w:rPr>
                <w:sz w:val="21"/>
                <w:szCs w:val="21"/>
                <w:color w:val="auto"/>
              </w:rPr>
            </w:pPr>
          </w:p>
        </w:tc>
        <w:tc>
          <w:tcPr>
            <w:tcW w:w="2680" w:type="dxa"/>
            <w:vAlign w:val="bottom"/>
            <w:shd w:val="clear" w:color="auto" w:fill="FFF3CE"/>
          </w:tcPr>
          <w:p>
            <w:pPr>
              <w:spacing w:after="0"/>
              <w:rPr>
                <w:sz w:val="20"/>
                <w:szCs w:val="20"/>
                <w:color w:val="auto"/>
              </w:rPr>
            </w:pPr>
            <w:r>
              <w:rPr>
                <w:rFonts w:ascii="Arial" w:cs="Arial" w:eastAsia="Arial" w:hAnsi="Arial"/>
                <w:sz w:val="18"/>
                <w:szCs w:val="18"/>
                <w:color w:val="auto"/>
              </w:rPr>
              <w:t>D.A. Carp</w:t>
            </w:r>
          </w:p>
        </w:tc>
        <w:tc>
          <w:tcPr>
            <w:tcW w:w="2180" w:type="dxa"/>
            <w:vAlign w:val="bottom"/>
            <w:gridSpan w:val="2"/>
            <w:shd w:val="clear" w:color="auto" w:fill="FFF3CE"/>
          </w:tcPr>
          <w:p>
            <w:pPr>
              <w:jc w:val="right"/>
              <w:ind w:right="392"/>
              <w:spacing w:after="0"/>
              <w:rPr>
                <w:sz w:val="20"/>
                <w:szCs w:val="20"/>
                <w:color w:val="auto"/>
              </w:rPr>
            </w:pPr>
            <w:r>
              <w:rPr>
                <w:rFonts w:ascii="Arial" w:cs="Arial" w:eastAsia="Arial" w:hAnsi="Arial"/>
                <w:sz w:val="18"/>
                <w:szCs w:val="18"/>
                <w:color w:val="auto"/>
              </w:rPr>
              <w:t>$70,000</w:t>
            </w:r>
          </w:p>
        </w:tc>
        <w:tc>
          <w:tcPr>
            <w:tcW w:w="1640" w:type="dxa"/>
            <w:vAlign w:val="bottom"/>
            <w:gridSpan w:val="2"/>
            <w:shd w:val="clear" w:color="auto" w:fill="FFF3CE"/>
          </w:tcPr>
          <w:p>
            <w:pPr>
              <w:jc w:val="center"/>
              <w:ind w:left="192"/>
              <w:spacing w:after="0"/>
              <w:rPr>
                <w:sz w:val="20"/>
                <w:szCs w:val="20"/>
                <w:color w:val="auto"/>
              </w:rPr>
            </w:pPr>
            <w:r>
              <w:rPr>
                <w:rFonts w:ascii="Arial" w:cs="Arial" w:eastAsia="Arial" w:hAnsi="Arial"/>
                <w:sz w:val="18"/>
                <w:szCs w:val="18"/>
                <w:color w:val="auto"/>
                <w:w w:val="87"/>
              </w:rPr>
              <w:t>15,000</w:t>
            </w:r>
          </w:p>
        </w:tc>
        <w:tc>
          <w:tcPr>
            <w:tcW w:w="1320" w:type="dxa"/>
            <w:vAlign w:val="bottom"/>
            <w:gridSpan w:val="2"/>
            <w:shd w:val="clear" w:color="auto" w:fill="FFF3CE"/>
          </w:tcPr>
          <w:p>
            <w:pPr>
              <w:jc w:val="right"/>
              <w:ind w:right="392"/>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FFF3CE"/>
          </w:tcPr>
          <w:p>
            <w:pPr>
              <w:jc w:val="right"/>
              <w:ind w:right="372"/>
              <w:spacing w:after="0"/>
              <w:rPr>
                <w:sz w:val="20"/>
                <w:szCs w:val="20"/>
                <w:color w:val="auto"/>
              </w:rPr>
            </w:pPr>
            <w:r>
              <w:rPr>
                <w:rFonts w:ascii="Arial" w:cs="Arial" w:eastAsia="Arial" w:hAnsi="Arial"/>
                <w:sz w:val="18"/>
                <w:szCs w:val="18"/>
                <w:color w:val="auto"/>
              </w:rPr>
              <w:t>0</w:t>
            </w:r>
          </w:p>
        </w:tc>
      </w:tr>
      <w:tr>
        <w:trPr>
          <w:trHeight w:val="242"/>
        </w:trPr>
        <w:tc>
          <w:tcPr>
            <w:tcW w:w="2700" w:type="dxa"/>
            <w:vAlign w:val="bottom"/>
            <w:gridSpan w:val="2"/>
          </w:tcPr>
          <w:p>
            <w:pPr>
              <w:spacing w:after="0"/>
              <w:rPr>
                <w:sz w:val="20"/>
                <w:szCs w:val="20"/>
                <w:color w:val="auto"/>
              </w:rPr>
            </w:pPr>
            <w:r>
              <w:rPr>
                <w:rFonts w:ascii="Arial" w:cs="Arial" w:eastAsia="Arial" w:hAnsi="Arial"/>
                <w:sz w:val="18"/>
                <w:szCs w:val="18"/>
                <w:color w:val="auto"/>
              </w:rPr>
              <w:t>C.S. Cox</w:t>
            </w:r>
          </w:p>
        </w:tc>
        <w:tc>
          <w:tcPr>
            <w:tcW w:w="2180" w:type="dxa"/>
            <w:vAlign w:val="bottom"/>
            <w:gridSpan w:val="2"/>
          </w:tcPr>
          <w:p>
            <w:pPr>
              <w:jc w:val="right"/>
              <w:ind w:right="392"/>
              <w:spacing w:after="0"/>
              <w:rPr>
                <w:sz w:val="20"/>
                <w:szCs w:val="20"/>
                <w:color w:val="auto"/>
              </w:rPr>
            </w:pPr>
            <w:r>
              <w:rPr>
                <w:rFonts w:ascii="Arial" w:cs="Arial" w:eastAsia="Arial" w:hAnsi="Arial"/>
                <w:sz w:val="18"/>
                <w:szCs w:val="18"/>
                <w:color w:val="auto"/>
              </w:rPr>
              <w:t>$70,000</w:t>
            </w:r>
          </w:p>
        </w:tc>
        <w:tc>
          <w:tcPr>
            <w:tcW w:w="164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15,000</w:t>
            </w:r>
          </w:p>
        </w:tc>
        <w:tc>
          <w:tcPr>
            <w:tcW w:w="1320" w:type="dxa"/>
            <w:vAlign w:val="bottom"/>
            <w:gridSpan w:val="2"/>
          </w:tcPr>
          <w:p>
            <w:pPr>
              <w:jc w:val="right"/>
              <w:ind w:right="392"/>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372"/>
              <w:spacing w:after="0"/>
              <w:rPr>
                <w:sz w:val="20"/>
                <w:szCs w:val="20"/>
                <w:color w:val="auto"/>
              </w:rPr>
            </w:pPr>
            <w:r>
              <w:rPr>
                <w:rFonts w:ascii="Arial" w:cs="Arial" w:eastAsia="Arial" w:hAnsi="Arial"/>
                <w:sz w:val="18"/>
                <w:szCs w:val="18"/>
                <w:color w:val="auto"/>
              </w:rPr>
              <w:t>0</w:t>
            </w:r>
          </w:p>
        </w:tc>
      </w:tr>
      <w:tr>
        <w:trPr>
          <w:trHeight w:val="244"/>
        </w:trPr>
        <w:tc>
          <w:tcPr>
            <w:tcW w:w="20" w:type="dxa"/>
            <w:vAlign w:val="bottom"/>
          </w:tcPr>
          <w:p>
            <w:pPr>
              <w:spacing w:after="0"/>
              <w:rPr>
                <w:sz w:val="21"/>
                <w:szCs w:val="21"/>
                <w:color w:val="auto"/>
              </w:rPr>
            </w:pPr>
          </w:p>
        </w:tc>
        <w:tc>
          <w:tcPr>
            <w:tcW w:w="2680" w:type="dxa"/>
            <w:vAlign w:val="bottom"/>
            <w:shd w:val="clear" w:color="auto" w:fill="FFF3CE"/>
          </w:tcPr>
          <w:p>
            <w:pPr>
              <w:spacing w:after="0"/>
              <w:rPr>
                <w:sz w:val="20"/>
                <w:szCs w:val="20"/>
                <w:color w:val="auto"/>
              </w:rPr>
            </w:pPr>
            <w:r>
              <w:rPr>
                <w:rFonts w:ascii="Arial" w:cs="Arial" w:eastAsia="Arial" w:hAnsi="Arial"/>
                <w:sz w:val="18"/>
                <w:szCs w:val="18"/>
                <w:color w:val="auto"/>
              </w:rPr>
              <w:t>G.W. Fronterhouse</w:t>
            </w:r>
          </w:p>
        </w:tc>
        <w:tc>
          <w:tcPr>
            <w:tcW w:w="2180" w:type="dxa"/>
            <w:vAlign w:val="bottom"/>
            <w:gridSpan w:val="2"/>
            <w:shd w:val="clear" w:color="auto" w:fill="FFF3CE"/>
          </w:tcPr>
          <w:p>
            <w:pPr>
              <w:jc w:val="right"/>
              <w:ind w:right="392"/>
              <w:spacing w:after="0"/>
              <w:rPr>
                <w:sz w:val="20"/>
                <w:szCs w:val="20"/>
                <w:color w:val="auto"/>
              </w:rPr>
            </w:pPr>
            <w:r>
              <w:rPr>
                <w:rFonts w:ascii="Arial" w:cs="Arial" w:eastAsia="Arial" w:hAnsi="Arial"/>
                <w:sz w:val="18"/>
                <w:szCs w:val="18"/>
                <w:color w:val="auto"/>
              </w:rPr>
              <w:t>$70,000</w:t>
            </w:r>
          </w:p>
        </w:tc>
        <w:tc>
          <w:tcPr>
            <w:tcW w:w="1640" w:type="dxa"/>
            <w:vAlign w:val="bottom"/>
            <w:gridSpan w:val="2"/>
            <w:shd w:val="clear" w:color="auto" w:fill="FFF3CE"/>
          </w:tcPr>
          <w:p>
            <w:pPr>
              <w:jc w:val="center"/>
              <w:ind w:left="192"/>
              <w:spacing w:after="0"/>
              <w:rPr>
                <w:sz w:val="20"/>
                <w:szCs w:val="20"/>
                <w:color w:val="auto"/>
              </w:rPr>
            </w:pPr>
            <w:r>
              <w:rPr>
                <w:rFonts w:ascii="Arial" w:cs="Arial" w:eastAsia="Arial" w:hAnsi="Arial"/>
                <w:sz w:val="18"/>
                <w:szCs w:val="18"/>
                <w:color w:val="auto"/>
                <w:w w:val="87"/>
              </w:rPr>
              <w:t>15,000</w:t>
            </w:r>
          </w:p>
        </w:tc>
        <w:tc>
          <w:tcPr>
            <w:tcW w:w="1320" w:type="dxa"/>
            <w:vAlign w:val="bottom"/>
            <w:gridSpan w:val="2"/>
            <w:shd w:val="clear" w:color="auto" w:fill="FFF3CE"/>
          </w:tcPr>
          <w:p>
            <w:pPr>
              <w:jc w:val="right"/>
              <w:ind w:right="392"/>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FFF3CE"/>
          </w:tcPr>
          <w:p>
            <w:pPr>
              <w:jc w:val="right"/>
              <w:ind w:right="372"/>
              <w:spacing w:after="0"/>
              <w:rPr>
                <w:sz w:val="20"/>
                <w:szCs w:val="20"/>
                <w:color w:val="auto"/>
              </w:rPr>
            </w:pPr>
            <w:r>
              <w:rPr>
                <w:rFonts w:ascii="Arial" w:cs="Arial" w:eastAsia="Arial" w:hAnsi="Arial"/>
                <w:sz w:val="18"/>
                <w:szCs w:val="18"/>
                <w:color w:val="auto"/>
              </w:rPr>
              <w:t>0</w:t>
            </w:r>
          </w:p>
        </w:tc>
      </w:tr>
      <w:tr>
        <w:trPr>
          <w:trHeight w:val="242"/>
        </w:trPr>
        <w:tc>
          <w:tcPr>
            <w:tcW w:w="2700" w:type="dxa"/>
            <w:vAlign w:val="bottom"/>
            <w:gridSpan w:val="2"/>
          </w:tcPr>
          <w:p>
            <w:pPr>
              <w:spacing w:after="0"/>
              <w:rPr>
                <w:sz w:val="20"/>
                <w:szCs w:val="20"/>
                <w:color w:val="auto"/>
              </w:rPr>
            </w:pPr>
            <w:r>
              <w:rPr>
                <w:rFonts w:ascii="Arial" w:cs="Arial" w:eastAsia="Arial" w:hAnsi="Arial"/>
                <w:sz w:val="18"/>
                <w:szCs w:val="18"/>
                <w:color w:val="auto"/>
              </w:rPr>
              <w:t>D.R. Goode</w:t>
            </w:r>
          </w:p>
        </w:tc>
        <w:tc>
          <w:tcPr>
            <w:tcW w:w="2180" w:type="dxa"/>
            <w:vAlign w:val="bottom"/>
            <w:gridSpan w:val="2"/>
          </w:tcPr>
          <w:p>
            <w:pPr>
              <w:jc w:val="right"/>
              <w:ind w:right="392"/>
              <w:spacing w:after="0"/>
              <w:rPr>
                <w:sz w:val="20"/>
                <w:szCs w:val="20"/>
                <w:color w:val="auto"/>
              </w:rPr>
            </w:pPr>
            <w:r>
              <w:rPr>
                <w:rFonts w:ascii="Arial" w:cs="Arial" w:eastAsia="Arial" w:hAnsi="Arial"/>
                <w:sz w:val="18"/>
                <w:szCs w:val="18"/>
                <w:color w:val="auto"/>
              </w:rPr>
              <w:t>$70,000</w:t>
            </w:r>
          </w:p>
        </w:tc>
        <w:tc>
          <w:tcPr>
            <w:tcW w:w="164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15,000</w:t>
            </w:r>
          </w:p>
        </w:tc>
        <w:tc>
          <w:tcPr>
            <w:tcW w:w="1320" w:type="dxa"/>
            <w:vAlign w:val="bottom"/>
            <w:gridSpan w:val="2"/>
          </w:tcPr>
          <w:p>
            <w:pPr>
              <w:jc w:val="right"/>
              <w:ind w:right="392"/>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372"/>
              <w:spacing w:after="0"/>
              <w:rPr>
                <w:sz w:val="20"/>
                <w:szCs w:val="20"/>
                <w:color w:val="auto"/>
              </w:rPr>
            </w:pPr>
            <w:r>
              <w:rPr>
                <w:rFonts w:ascii="Arial" w:cs="Arial" w:eastAsia="Arial" w:hAnsi="Arial"/>
                <w:sz w:val="18"/>
                <w:szCs w:val="18"/>
                <w:color w:val="auto"/>
              </w:rPr>
              <w:t>0</w:t>
            </w:r>
          </w:p>
        </w:tc>
      </w:tr>
      <w:tr>
        <w:trPr>
          <w:trHeight w:val="244"/>
        </w:trPr>
        <w:tc>
          <w:tcPr>
            <w:tcW w:w="20" w:type="dxa"/>
            <w:vAlign w:val="bottom"/>
          </w:tcPr>
          <w:p>
            <w:pPr>
              <w:spacing w:after="0"/>
              <w:rPr>
                <w:sz w:val="21"/>
                <w:szCs w:val="21"/>
                <w:color w:val="auto"/>
              </w:rPr>
            </w:pPr>
          </w:p>
        </w:tc>
        <w:tc>
          <w:tcPr>
            <w:tcW w:w="2680" w:type="dxa"/>
            <w:vAlign w:val="bottom"/>
            <w:shd w:val="clear" w:color="auto" w:fill="FFF3CE"/>
          </w:tcPr>
          <w:p>
            <w:pPr>
              <w:spacing w:after="0"/>
              <w:rPr>
                <w:sz w:val="20"/>
                <w:szCs w:val="20"/>
                <w:color w:val="auto"/>
              </w:rPr>
            </w:pPr>
            <w:r>
              <w:rPr>
                <w:rFonts w:ascii="Arial" w:cs="Arial" w:eastAsia="Arial" w:hAnsi="Arial"/>
                <w:sz w:val="18"/>
                <w:szCs w:val="18"/>
                <w:color w:val="auto"/>
              </w:rPr>
              <w:t>P.H. Patsley</w:t>
            </w:r>
          </w:p>
        </w:tc>
        <w:tc>
          <w:tcPr>
            <w:tcW w:w="2180" w:type="dxa"/>
            <w:vAlign w:val="bottom"/>
            <w:gridSpan w:val="2"/>
            <w:shd w:val="clear" w:color="auto" w:fill="FFF3CE"/>
          </w:tcPr>
          <w:p>
            <w:pPr>
              <w:jc w:val="right"/>
              <w:ind w:right="392"/>
              <w:spacing w:after="0"/>
              <w:rPr>
                <w:sz w:val="20"/>
                <w:szCs w:val="20"/>
                <w:color w:val="auto"/>
              </w:rPr>
            </w:pPr>
            <w:r>
              <w:rPr>
                <w:rFonts w:ascii="Arial" w:cs="Arial" w:eastAsia="Arial" w:hAnsi="Arial"/>
                <w:sz w:val="18"/>
                <w:szCs w:val="18"/>
                <w:color w:val="auto"/>
              </w:rPr>
              <w:t>$70,000</w:t>
            </w:r>
          </w:p>
        </w:tc>
        <w:tc>
          <w:tcPr>
            <w:tcW w:w="1640" w:type="dxa"/>
            <w:vAlign w:val="bottom"/>
            <w:gridSpan w:val="2"/>
            <w:shd w:val="clear" w:color="auto" w:fill="FFF3CE"/>
          </w:tcPr>
          <w:p>
            <w:pPr>
              <w:jc w:val="center"/>
              <w:ind w:left="192"/>
              <w:spacing w:after="0"/>
              <w:rPr>
                <w:sz w:val="20"/>
                <w:szCs w:val="20"/>
                <w:color w:val="auto"/>
              </w:rPr>
            </w:pPr>
            <w:r>
              <w:rPr>
                <w:rFonts w:ascii="Arial" w:cs="Arial" w:eastAsia="Arial" w:hAnsi="Arial"/>
                <w:sz w:val="18"/>
                <w:szCs w:val="18"/>
                <w:color w:val="auto"/>
                <w:w w:val="87"/>
              </w:rPr>
              <w:t>15,000</w:t>
            </w:r>
          </w:p>
        </w:tc>
        <w:tc>
          <w:tcPr>
            <w:tcW w:w="1320" w:type="dxa"/>
            <w:vAlign w:val="bottom"/>
            <w:gridSpan w:val="2"/>
            <w:shd w:val="clear" w:color="auto" w:fill="FFF3CE"/>
          </w:tcPr>
          <w:p>
            <w:pPr>
              <w:jc w:val="right"/>
              <w:ind w:right="392"/>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FFF3CE"/>
          </w:tcPr>
          <w:p>
            <w:pPr>
              <w:jc w:val="right"/>
              <w:ind w:right="372"/>
              <w:spacing w:after="0"/>
              <w:rPr>
                <w:sz w:val="20"/>
                <w:szCs w:val="20"/>
                <w:color w:val="auto"/>
              </w:rPr>
            </w:pPr>
            <w:r>
              <w:rPr>
                <w:rFonts w:ascii="Arial" w:cs="Arial" w:eastAsia="Arial" w:hAnsi="Arial"/>
                <w:sz w:val="18"/>
                <w:szCs w:val="18"/>
                <w:color w:val="auto"/>
              </w:rPr>
              <w:t>0</w:t>
            </w:r>
          </w:p>
        </w:tc>
      </w:tr>
      <w:tr>
        <w:trPr>
          <w:trHeight w:val="242"/>
        </w:trPr>
        <w:tc>
          <w:tcPr>
            <w:tcW w:w="2700" w:type="dxa"/>
            <w:vAlign w:val="bottom"/>
            <w:gridSpan w:val="2"/>
          </w:tcPr>
          <w:p>
            <w:pPr>
              <w:spacing w:after="0"/>
              <w:rPr>
                <w:sz w:val="20"/>
                <w:szCs w:val="20"/>
                <w:color w:val="auto"/>
              </w:rPr>
            </w:pPr>
            <w:r>
              <w:rPr>
                <w:rFonts w:ascii="Arial" w:cs="Arial" w:eastAsia="Arial" w:hAnsi="Arial"/>
                <w:sz w:val="18"/>
                <w:szCs w:val="18"/>
                <w:color w:val="auto"/>
              </w:rPr>
              <w:t>W.R. Sanders</w:t>
            </w:r>
          </w:p>
        </w:tc>
        <w:tc>
          <w:tcPr>
            <w:tcW w:w="2180" w:type="dxa"/>
            <w:vAlign w:val="bottom"/>
            <w:gridSpan w:val="2"/>
          </w:tcPr>
          <w:p>
            <w:pPr>
              <w:jc w:val="right"/>
              <w:ind w:right="392"/>
              <w:spacing w:after="0"/>
              <w:rPr>
                <w:sz w:val="20"/>
                <w:szCs w:val="20"/>
                <w:color w:val="auto"/>
              </w:rPr>
            </w:pPr>
            <w:r>
              <w:rPr>
                <w:rFonts w:ascii="Arial" w:cs="Arial" w:eastAsia="Arial" w:hAnsi="Arial"/>
                <w:sz w:val="18"/>
                <w:szCs w:val="18"/>
                <w:color w:val="auto"/>
              </w:rPr>
              <w:t>$75,000</w:t>
            </w:r>
          </w:p>
        </w:tc>
        <w:tc>
          <w:tcPr>
            <w:tcW w:w="164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15,000</w:t>
            </w:r>
          </w:p>
        </w:tc>
        <w:tc>
          <w:tcPr>
            <w:tcW w:w="1320" w:type="dxa"/>
            <w:vAlign w:val="bottom"/>
            <w:gridSpan w:val="2"/>
          </w:tcPr>
          <w:p>
            <w:pPr>
              <w:jc w:val="right"/>
              <w:ind w:right="392"/>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372"/>
              <w:spacing w:after="0"/>
              <w:rPr>
                <w:sz w:val="20"/>
                <w:szCs w:val="20"/>
                <w:color w:val="auto"/>
              </w:rPr>
            </w:pPr>
            <w:r>
              <w:rPr>
                <w:rFonts w:ascii="Arial" w:cs="Arial" w:eastAsia="Arial" w:hAnsi="Arial"/>
                <w:sz w:val="18"/>
                <w:szCs w:val="18"/>
                <w:color w:val="auto"/>
              </w:rPr>
              <w:t>0</w:t>
            </w:r>
          </w:p>
        </w:tc>
      </w:tr>
      <w:tr>
        <w:trPr>
          <w:trHeight w:val="98"/>
        </w:trPr>
        <w:tc>
          <w:tcPr>
            <w:tcW w:w="20" w:type="dxa"/>
            <w:vAlign w:val="bottom"/>
            <w:shd w:val="clear" w:color="auto" w:fill="FFF3CE"/>
          </w:tcPr>
          <w:p>
            <w:pPr>
              <w:spacing w:after="0"/>
              <w:rPr>
                <w:sz w:val="8"/>
                <w:szCs w:val="8"/>
                <w:color w:val="auto"/>
              </w:rPr>
            </w:pPr>
          </w:p>
        </w:tc>
        <w:tc>
          <w:tcPr>
            <w:tcW w:w="2680" w:type="dxa"/>
            <w:vAlign w:val="bottom"/>
            <w:shd w:val="clear" w:color="auto" w:fill="FFF3CE"/>
          </w:tcPr>
          <w:p>
            <w:pPr>
              <w:spacing w:after="0"/>
              <w:rPr>
                <w:sz w:val="8"/>
                <w:szCs w:val="8"/>
                <w:color w:val="auto"/>
              </w:rPr>
            </w:pPr>
          </w:p>
        </w:tc>
        <w:tc>
          <w:tcPr>
            <w:tcW w:w="800" w:type="dxa"/>
            <w:vAlign w:val="bottom"/>
            <w:shd w:val="clear" w:color="auto" w:fill="FFF3CE"/>
          </w:tcPr>
          <w:p>
            <w:pPr>
              <w:spacing w:after="0"/>
              <w:rPr>
                <w:sz w:val="8"/>
                <w:szCs w:val="8"/>
                <w:color w:val="auto"/>
              </w:rPr>
            </w:pPr>
          </w:p>
        </w:tc>
        <w:tc>
          <w:tcPr>
            <w:tcW w:w="1380" w:type="dxa"/>
            <w:vAlign w:val="bottom"/>
            <w:shd w:val="clear" w:color="auto" w:fill="FFF3CE"/>
          </w:tcPr>
          <w:p>
            <w:pPr>
              <w:spacing w:after="0"/>
              <w:rPr>
                <w:sz w:val="8"/>
                <w:szCs w:val="8"/>
                <w:color w:val="auto"/>
              </w:rPr>
            </w:pPr>
          </w:p>
        </w:tc>
        <w:tc>
          <w:tcPr>
            <w:tcW w:w="260" w:type="dxa"/>
            <w:vAlign w:val="bottom"/>
            <w:shd w:val="clear" w:color="auto" w:fill="FFF3CE"/>
          </w:tcPr>
          <w:p>
            <w:pPr>
              <w:spacing w:after="0"/>
              <w:rPr>
                <w:sz w:val="8"/>
                <w:szCs w:val="8"/>
                <w:color w:val="auto"/>
              </w:rPr>
            </w:pPr>
          </w:p>
        </w:tc>
        <w:tc>
          <w:tcPr>
            <w:tcW w:w="1380" w:type="dxa"/>
            <w:vAlign w:val="bottom"/>
            <w:shd w:val="clear" w:color="auto" w:fill="FFF3CE"/>
          </w:tcPr>
          <w:p>
            <w:pPr>
              <w:spacing w:after="0"/>
              <w:rPr>
                <w:sz w:val="8"/>
                <w:szCs w:val="8"/>
                <w:color w:val="auto"/>
              </w:rPr>
            </w:pPr>
          </w:p>
        </w:tc>
        <w:tc>
          <w:tcPr>
            <w:tcW w:w="280" w:type="dxa"/>
            <w:vAlign w:val="bottom"/>
            <w:shd w:val="clear" w:color="auto" w:fill="FFF3CE"/>
          </w:tcPr>
          <w:p>
            <w:pPr>
              <w:spacing w:after="0"/>
              <w:rPr>
                <w:sz w:val="8"/>
                <w:szCs w:val="8"/>
                <w:color w:val="auto"/>
              </w:rPr>
            </w:pPr>
          </w:p>
        </w:tc>
        <w:tc>
          <w:tcPr>
            <w:tcW w:w="1040" w:type="dxa"/>
            <w:vAlign w:val="bottom"/>
            <w:shd w:val="clear" w:color="auto" w:fill="FFF3CE"/>
          </w:tcPr>
          <w:p>
            <w:pPr>
              <w:spacing w:after="0"/>
              <w:rPr>
                <w:sz w:val="8"/>
                <w:szCs w:val="8"/>
                <w:color w:val="auto"/>
              </w:rPr>
            </w:pPr>
          </w:p>
        </w:tc>
        <w:tc>
          <w:tcPr>
            <w:tcW w:w="260" w:type="dxa"/>
            <w:vAlign w:val="bottom"/>
            <w:shd w:val="clear" w:color="auto" w:fill="FFF3CE"/>
          </w:tcPr>
          <w:p>
            <w:pPr>
              <w:spacing w:after="0"/>
              <w:rPr>
                <w:sz w:val="8"/>
                <w:szCs w:val="8"/>
                <w:color w:val="auto"/>
              </w:rPr>
            </w:pPr>
          </w:p>
        </w:tc>
        <w:tc>
          <w:tcPr>
            <w:tcW w:w="1040" w:type="dxa"/>
            <w:vAlign w:val="bottom"/>
            <w:shd w:val="clear" w:color="auto" w:fill="FFF3CE"/>
          </w:tcPr>
          <w:p>
            <w:pPr>
              <w:spacing w:after="0"/>
              <w:rPr>
                <w:sz w:val="8"/>
                <w:szCs w:val="8"/>
                <w:color w:val="auto"/>
              </w:rPr>
            </w:pPr>
          </w:p>
        </w:tc>
      </w:tr>
    </w:tbl>
    <w:p>
      <w:pPr>
        <w:sectPr>
          <w:pgSz w:w="11900" w:h="16900" w:orient="portrait"/>
          <w:cols w:equalWidth="0" w:num="1">
            <w:col w:w="11380"/>
          </w:cols>
          <w:pgMar w:left="240" w:top="347" w:right="279" w:bottom="0" w:gutter="0" w:footer="0" w:header="0"/>
        </w:sectPr>
      </w:pPr>
    </w:p>
    <w:bookmarkStart w:id="11" w:name="page12"/>
    <w:bookmarkEnd w:id="11"/>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2400" w:type="dxa"/>
            <w:vAlign w:val="bottom"/>
            <w:shd w:val="clear" w:color="auto" w:fill="FFF3CE"/>
          </w:tcPr>
          <w:p>
            <w:pPr>
              <w:spacing w:after="0"/>
              <w:rPr>
                <w:sz w:val="20"/>
                <w:szCs w:val="20"/>
                <w:color w:val="auto"/>
              </w:rPr>
            </w:pPr>
            <w:r>
              <w:rPr>
                <w:rFonts w:ascii="Arial" w:cs="Arial" w:eastAsia="Arial" w:hAnsi="Arial"/>
                <w:sz w:val="18"/>
                <w:szCs w:val="18"/>
                <w:color w:val="auto"/>
              </w:rPr>
              <w:t>R.J. Simmons</w:t>
            </w:r>
          </w:p>
        </w:tc>
        <w:tc>
          <w:tcPr>
            <w:tcW w:w="2580" w:type="dxa"/>
            <w:vAlign w:val="bottom"/>
            <w:shd w:val="clear" w:color="auto" w:fill="FFF3CE"/>
          </w:tcPr>
          <w:p>
            <w:pPr>
              <w:jc w:val="right"/>
              <w:ind w:right="492"/>
              <w:spacing w:after="0"/>
              <w:rPr>
                <w:sz w:val="20"/>
                <w:szCs w:val="20"/>
                <w:color w:val="auto"/>
              </w:rPr>
            </w:pPr>
            <w:r>
              <w:rPr>
                <w:rFonts w:ascii="Arial" w:cs="Arial" w:eastAsia="Arial" w:hAnsi="Arial"/>
                <w:sz w:val="18"/>
                <w:szCs w:val="18"/>
                <w:color w:val="auto"/>
              </w:rPr>
              <w:t>$70,000</w:t>
            </w:r>
          </w:p>
        </w:tc>
        <w:tc>
          <w:tcPr>
            <w:tcW w:w="1680" w:type="dxa"/>
            <w:vAlign w:val="bottom"/>
            <w:shd w:val="clear" w:color="auto" w:fill="FFF3CE"/>
          </w:tcPr>
          <w:p>
            <w:pPr>
              <w:jc w:val="right"/>
              <w:ind w:right="512"/>
              <w:spacing w:after="0"/>
              <w:rPr>
                <w:sz w:val="20"/>
                <w:szCs w:val="20"/>
                <w:color w:val="auto"/>
              </w:rPr>
            </w:pPr>
            <w:r>
              <w:rPr>
                <w:rFonts w:ascii="Arial" w:cs="Arial" w:eastAsia="Arial" w:hAnsi="Arial"/>
                <w:sz w:val="18"/>
                <w:szCs w:val="18"/>
                <w:color w:val="auto"/>
              </w:rPr>
              <w:t>15,000</w:t>
            </w:r>
          </w:p>
        </w:tc>
        <w:tc>
          <w:tcPr>
            <w:tcW w:w="1320" w:type="dxa"/>
            <w:vAlign w:val="bottom"/>
            <w:shd w:val="clear" w:color="auto" w:fill="FFF3CE"/>
          </w:tcPr>
          <w:p>
            <w:pPr>
              <w:jc w:val="right"/>
              <w:ind w:right="532"/>
              <w:spacing w:after="0"/>
              <w:rPr>
                <w:sz w:val="20"/>
                <w:szCs w:val="20"/>
                <w:color w:val="auto"/>
              </w:rPr>
            </w:pPr>
            <w:r>
              <w:rPr>
                <w:rFonts w:ascii="Arial" w:cs="Arial" w:eastAsia="Arial" w:hAnsi="Arial"/>
                <w:sz w:val="18"/>
                <w:szCs w:val="18"/>
                <w:color w:val="auto"/>
              </w:rPr>
              <w:t>0</w:t>
            </w:r>
          </w:p>
        </w:tc>
        <w:tc>
          <w:tcPr>
            <w:tcW w:w="1140" w:type="dxa"/>
            <w:vAlign w:val="bottom"/>
            <w:shd w:val="clear" w:color="auto" w:fill="FFF3CE"/>
          </w:tcPr>
          <w:p>
            <w:pPr>
              <w:jc w:val="right"/>
              <w:ind w:right="352"/>
              <w:spacing w:after="0"/>
              <w:rPr>
                <w:sz w:val="20"/>
                <w:szCs w:val="20"/>
                <w:color w:val="auto"/>
              </w:rPr>
            </w:pPr>
            <w:r>
              <w:rPr>
                <w:rFonts w:ascii="Arial" w:cs="Arial" w:eastAsia="Arial" w:hAnsi="Arial"/>
                <w:sz w:val="18"/>
                <w:szCs w:val="18"/>
                <w:color w:val="auto"/>
              </w:rPr>
              <w:t>0</w:t>
            </w:r>
          </w:p>
        </w:tc>
      </w:tr>
      <w:tr>
        <w:trPr>
          <w:trHeight w:val="241"/>
        </w:trPr>
        <w:tc>
          <w:tcPr>
            <w:tcW w:w="2420" w:type="dxa"/>
            <w:vAlign w:val="bottom"/>
            <w:gridSpan w:val="2"/>
          </w:tcPr>
          <w:p>
            <w:pPr>
              <w:spacing w:after="0"/>
              <w:rPr>
                <w:sz w:val="20"/>
                <w:szCs w:val="20"/>
                <w:color w:val="auto"/>
              </w:rPr>
            </w:pPr>
            <w:r>
              <w:rPr>
                <w:rFonts w:ascii="Arial" w:cs="Arial" w:eastAsia="Arial" w:hAnsi="Arial"/>
                <w:sz w:val="18"/>
                <w:szCs w:val="18"/>
                <w:color w:val="auto"/>
              </w:rPr>
              <w:t>C.T. Whitman</w:t>
            </w:r>
          </w:p>
        </w:tc>
        <w:tc>
          <w:tcPr>
            <w:tcW w:w="2580" w:type="dxa"/>
            <w:vAlign w:val="bottom"/>
          </w:tcPr>
          <w:p>
            <w:pPr>
              <w:jc w:val="right"/>
              <w:ind w:right="492"/>
              <w:spacing w:after="0"/>
              <w:rPr>
                <w:sz w:val="20"/>
                <w:szCs w:val="20"/>
                <w:color w:val="auto"/>
              </w:rPr>
            </w:pPr>
            <w:r>
              <w:rPr>
                <w:rFonts w:ascii="Arial" w:cs="Arial" w:eastAsia="Arial" w:hAnsi="Arial"/>
                <w:sz w:val="18"/>
                <w:szCs w:val="18"/>
                <w:color w:val="auto"/>
              </w:rPr>
              <w:t>$70,000</w:t>
            </w:r>
          </w:p>
        </w:tc>
        <w:tc>
          <w:tcPr>
            <w:tcW w:w="1680" w:type="dxa"/>
            <w:vAlign w:val="bottom"/>
          </w:tcPr>
          <w:p>
            <w:pPr>
              <w:jc w:val="right"/>
              <w:ind w:right="512"/>
              <w:spacing w:after="0"/>
              <w:rPr>
                <w:sz w:val="20"/>
                <w:szCs w:val="20"/>
                <w:color w:val="auto"/>
              </w:rPr>
            </w:pPr>
            <w:r>
              <w:rPr>
                <w:rFonts w:ascii="Arial" w:cs="Arial" w:eastAsia="Arial" w:hAnsi="Arial"/>
                <w:sz w:val="18"/>
                <w:szCs w:val="18"/>
                <w:color w:val="auto"/>
              </w:rPr>
              <w:t>15,000</w:t>
            </w:r>
          </w:p>
        </w:tc>
        <w:tc>
          <w:tcPr>
            <w:tcW w:w="1320" w:type="dxa"/>
            <w:vAlign w:val="bottom"/>
          </w:tcPr>
          <w:p>
            <w:pPr>
              <w:jc w:val="right"/>
              <w:ind w:right="532"/>
              <w:spacing w:after="0"/>
              <w:rPr>
                <w:sz w:val="20"/>
                <w:szCs w:val="20"/>
                <w:color w:val="auto"/>
              </w:rPr>
            </w:pPr>
            <w:r>
              <w:rPr>
                <w:rFonts w:ascii="Arial" w:cs="Arial" w:eastAsia="Arial" w:hAnsi="Arial"/>
                <w:sz w:val="18"/>
                <w:szCs w:val="18"/>
                <w:color w:val="auto"/>
              </w:rPr>
              <w:t>0</w:t>
            </w: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pacing w:after="0" w:line="253"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In 2005, the company also made payments (an aggregate of $5,200) relating to premiums for life, medical, travel and accident insurance policies covering non-employee directors. The company does not pay its directors a fee for meeting attendance, but it does reimburse non-employee directors for their travel, lodging and related expenses incurred in connection with attending board, committee and stockholders meetings and other designated TI events. In addition, non-employee directors may use company aircraft for travel to and from these meetings and other designated events. On occasion, directors’ spouses are invited to attend board events; the spouses’ expenses incurred in connection with attendance at those events are also reimbursed.</w:t>
      </w:r>
    </w:p>
    <w:p>
      <w:pPr>
        <w:spacing w:after="0" w:line="17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Under the Director Plan, subject to some limitations, directors can choose to have all or part of their cash compensation deferred until they leave the board (or certain other specified times). The deferred amounts are credited to either a cash account or stock unit account. Cash accounts earn interest from the company at a rate (currently based on published interest rates on certain corporate bonds) determined by the Governance and Stockholder Relations Committee. Stock unit accounts fluctuate in value with the underlying shares of company common stock, which will be issued after the deferral period.</w:t>
      </w:r>
    </w:p>
    <w:p>
      <w:pPr>
        <w:spacing w:after="0" w:line="167"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TI has arrangements with certain customers whereby TI’s employees may purchase specific products containing TI manufactured components at discounted pricing. Under these arrangements, directors are entitled to participate on the same terms and conditions available to employees.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Non-employee directors are not eligible to participate in any TI-sponsored pension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Each director whose service commenced prior to June 20, 2002, is eligible to participate in the company’s Director Award Program. This program was established to promote the company’s interest in supporting charitable institutions. Under the program, the company may contribute a total of $500,000 per eligible director to as many as three educational institutions recommended by the director and approved by the company. The contributions will be made in five annual installments of $100,000 each following the director’s death. Directors receive no financial benefit from the program, and all charitable deductions belong to the company.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following table shows the compensation of the company’s chief executive officer and each of the four other most highly compensated executive officers for services in all capacities to the company in 2003, 2004 and 2005, except as otherwise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6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rPr>
              <w:t>Annual Compensation</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w w:val="87"/>
              </w:rPr>
              <w:t>Long-Term Compensation</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55"/>
        </w:trPr>
        <w:tc>
          <w:tcPr>
            <w:tcW w:w="1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23"/>
        </w:trPr>
        <w:tc>
          <w:tcPr>
            <w:tcW w:w="1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80" w:type="dxa"/>
            <w:vAlign w:val="bottom"/>
            <w:gridSpan w:val="3"/>
          </w:tcPr>
          <w:p>
            <w:pPr>
              <w:jc w:val="right"/>
              <w:ind w:right="952"/>
              <w:spacing w:after="0"/>
              <w:rPr>
                <w:sz w:val="20"/>
                <w:szCs w:val="20"/>
                <w:color w:val="auto"/>
              </w:rPr>
            </w:pPr>
            <w:r>
              <w:rPr>
                <w:rFonts w:ascii="Arial" w:cs="Arial" w:eastAsia="Arial" w:hAnsi="Arial"/>
                <w:sz w:val="14"/>
                <w:szCs w:val="14"/>
                <w:b w:val="1"/>
                <w:bCs w:val="1"/>
                <w:color w:val="auto"/>
              </w:rPr>
              <w:t>Awards</w:t>
            </w:r>
          </w:p>
        </w:tc>
        <w:tc>
          <w:tcPr>
            <w:tcW w:w="20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0"/>
              </w:rPr>
              <w:t>Payouts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55"/>
        </w:trPr>
        <w:tc>
          <w:tcPr>
            <w:tcW w:w="1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197"/>
        </w:trPr>
        <w:tc>
          <w:tcPr>
            <w:tcW w:w="1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center"/>
              <w:ind w:right="156"/>
              <w:spacing w:after="0"/>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Long-Term</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49"/>
        </w:trPr>
        <w:tc>
          <w:tcPr>
            <w:tcW w:w="21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Name and</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88"/>
              </w:rPr>
              <w:t>Annual</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1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Principal</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 Shares)</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w w:val="91"/>
              </w:rPr>
              <w:t>All Other</w:t>
            </w:r>
          </w:p>
        </w:tc>
      </w:tr>
      <w:tr>
        <w:trPr>
          <w:trHeight w:val="174"/>
        </w:trPr>
        <w:tc>
          <w:tcPr>
            <w:tcW w:w="21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6"/>
              </w:rPr>
              <w:t>Position</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220" w:type="dxa"/>
            <w:vAlign w:val="bottom"/>
          </w:tcPr>
          <w:p>
            <w:pPr>
              <w:spacing w:after="0"/>
              <w:rPr>
                <w:sz w:val="15"/>
                <w:szCs w:val="15"/>
                <w:color w:val="auto"/>
              </w:rPr>
            </w:pPr>
          </w:p>
        </w:tc>
        <w:tc>
          <w:tcPr>
            <w:tcW w:w="1000" w:type="dxa"/>
            <w:vAlign w:val="bottom"/>
          </w:tcPr>
          <w:p>
            <w:pPr>
              <w:jc w:val="right"/>
              <w:ind w:right="252"/>
              <w:spacing w:after="0"/>
              <w:rPr>
                <w:sz w:val="20"/>
                <w:szCs w:val="20"/>
                <w:color w:val="auto"/>
              </w:rPr>
            </w:pPr>
            <w:r>
              <w:rPr>
                <w:rFonts w:ascii="Arial" w:cs="Arial" w:eastAsia="Arial" w:hAnsi="Arial"/>
                <w:sz w:val="14"/>
                <w:szCs w:val="14"/>
                <w:b w:val="1"/>
                <w:bCs w:val="1"/>
                <w:color w:val="auto"/>
              </w:rPr>
              <w:t>Salary</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294"/>
              <w:spacing w:after="0"/>
              <w:rPr>
                <w:sz w:val="20"/>
                <w:szCs w:val="20"/>
                <w:color w:val="auto"/>
              </w:rPr>
            </w:pPr>
            <w:r>
              <w:rPr>
                <w:rFonts w:ascii="Arial" w:cs="Arial" w:eastAsia="Arial" w:hAnsi="Arial"/>
                <w:sz w:val="14"/>
                <w:szCs w:val="14"/>
                <w:b w:val="1"/>
                <w:bCs w:val="1"/>
                <w:color w:val="auto"/>
              </w:rPr>
              <w:t>Bonus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center"/>
              <w:ind w:right="136"/>
              <w:spacing w:after="0"/>
              <w:rPr>
                <w:sz w:val="20"/>
                <w:szCs w:val="20"/>
                <w:color w:val="auto"/>
              </w:rPr>
            </w:pPr>
            <w:r>
              <w:rPr>
                <w:rFonts w:ascii="Arial" w:cs="Arial" w:eastAsia="Arial" w:hAnsi="Arial"/>
                <w:sz w:val="14"/>
                <w:szCs w:val="14"/>
                <w:b w:val="1"/>
                <w:bCs w:val="1"/>
                <w:color w:val="auto"/>
                <w:w w:val="93"/>
              </w:rPr>
              <w:t>(1)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Awards (2)</w:t>
            </w:r>
          </w:p>
        </w:tc>
        <w:tc>
          <w:tcPr>
            <w:tcW w:w="1580" w:type="dxa"/>
            <w:vAlign w:val="bottom"/>
            <w:gridSpan w:val="3"/>
          </w:tcPr>
          <w:p>
            <w:pPr>
              <w:jc w:val="center"/>
              <w:ind w:left="336"/>
              <w:spacing w:after="0"/>
              <w:rPr>
                <w:sz w:val="20"/>
                <w:szCs w:val="20"/>
                <w:color w:val="auto"/>
              </w:rPr>
            </w:pPr>
            <w:r>
              <w:rPr>
                <w:rFonts w:ascii="Arial" w:cs="Arial" w:eastAsia="Arial" w:hAnsi="Arial"/>
                <w:sz w:val="14"/>
                <w:szCs w:val="14"/>
                <w:b w:val="1"/>
                <w:bCs w:val="1"/>
                <w:color w:val="auto"/>
                <w:w w:val="93"/>
              </w:rPr>
              <w:t>(3)</w:t>
            </w:r>
          </w:p>
        </w:tc>
        <w:tc>
          <w:tcPr>
            <w:tcW w:w="2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0"/>
              </w:rPr>
              <w:t>Payouts</w:t>
            </w:r>
          </w:p>
        </w:tc>
        <w:tc>
          <w:tcPr>
            <w:tcW w:w="20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Compensation(4)</w:t>
            </w:r>
          </w:p>
        </w:tc>
      </w:tr>
      <w:tr>
        <w:trPr>
          <w:trHeight w:val="55"/>
        </w:trPr>
        <w:tc>
          <w:tcPr>
            <w:tcW w:w="1460" w:type="dxa"/>
            <w:vAlign w:val="bottom"/>
            <w:tcBorders>
              <w:bottom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61"/>
        </w:trPr>
        <w:tc>
          <w:tcPr>
            <w:tcW w:w="1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43"/>
        </w:trPr>
        <w:tc>
          <w:tcPr>
            <w:tcW w:w="212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R.K. Templeton</w:t>
            </w:r>
          </w:p>
        </w:tc>
        <w:tc>
          <w:tcPr>
            <w:tcW w:w="78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4"/>
              </w:rPr>
              <w:t>2005</w:t>
            </w:r>
          </w:p>
        </w:tc>
        <w:tc>
          <w:tcPr>
            <w:tcW w:w="1220" w:type="dxa"/>
            <w:vAlign w:val="bottom"/>
            <w:gridSpan w:val="2"/>
            <w:shd w:val="clear" w:color="auto" w:fill="FFF3CE"/>
          </w:tcPr>
          <w:p>
            <w:pPr>
              <w:jc w:val="right"/>
              <w:ind w:right="132"/>
              <w:spacing w:after="0"/>
              <w:rPr>
                <w:sz w:val="20"/>
                <w:szCs w:val="20"/>
                <w:color w:val="auto"/>
              </w:rPr>
            </w:pPr>
            <w:r>
              <w:rPr>
                <w:rFonts w:ascii="Arial" w:cs="Arial" w:eastAsia="Arial" w:hAnsi="Arial"/>
                <w:sz w:val="18"/>
                <w:szCs w:val="18"/>
                <w:color w:val="auto"/>
              </w:rPr>
              <w:t>$866,250</w:t>
            </w:r>
          </w:p>
        </w:tc>
        <w:tc>
          <w:tcPr>
            <w:tcW w:w="44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FFF3CE"/>
          </w:tcPr>
          <w:p>
            <w:pPr>
              <w:jc w:val="right"/>
              <w:ind w:right="134"/>
              <w:spacing w:after="0"/>
              <w:rPr>
                <w:sz w:val="20"/>
                <w:szCs w:val="20"/>
                <w:color w:val="auto"/>
              </w:rPr>
            </w:pPr>
            <w:r>
              <w:rPr>
                <w:rFonts w:ascii="Arial" w:cs="Arial" w:eastAsia="Arial" w:hAnsi="Arial"/>
                <w:sz w:val="18"/>
                <w:szCs w:val="18"/>
                <w:color w:val="auto"/>
                <w:w w:val="84"/>
              </w:rPr>
              <w:t>2,000,000</w:t>
            </w:r>
          </w:p>
        </w:tc>
        <w:tc>
          <w:tcPr>
            <w:tcW w:w="44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FFF3CE"/>
          </w:tcPr>
          <w:p>
            <w:pPr>
              <w:jc w:val="right"/>
              <w:ind w:right="136"/>
              <w:spacing w:after="0"/>
              <w:rPr>
                <w:sz w:val="20"/>
                <w:szCs w:val="20"/>
                <w:color w:val="auto"/>
              </w:rPr>
            </w:pPr>
            <w:r>
              <w:rPr>
                <w:rFonts w:ascii="Arial" w:cs="Arial" w:eastAsia="Arial" w:hAnsi="Arial"/>
                <w:sz w:val="18"/>
                <w:szCs w:val="18"/>
                <w:color w:val="auto"/>
                <w:w w:val="83"/>
              </w:rPr>
              <w:t>82,273</w:t>
            </w:r>
          </w:p>
        </w:tc>
        <w:tc>
          <w:tcPr>
            <w:tcW w:w="42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FFF3CE"/>
          </w:tcPr>
          <w:p>
            <w:pPr>
              <w:jc w:val="right"/>
              <w:spacing w:after="0"/>
              <w:rPr>
                <w:sz w:val="20"/>
                <w:szCs w:val="20"/>
                <w:color w:val="auto"/>
              </w:rPr>
            </w:pPr>
            <w:r>
              <w:rPr>
                <w:rFonts w:ascii="Arial" w:cs="Arial" w:eastAsia="Arial" w:hAnsi="Arial"/>
                <w:sz w:val="18"/>
                <w:szCs w:val="18"/>
                <w:color w:val="auto"/>
                <w:w w:val="84"/>
              </w:rPr>
              <w:t>2,138,000</w:t>
            </w:r>
          </w:p>
        </w:tc>
        <w:tc>
          <w:tcPr>
            <w:tcW w:w="1580" w:type="dxa"/>
            <w:vAlign w:val="bottom"/>
            <w:gridSpan w:val="3"/>
            <w:shd w:val="clear" w:color="auto" w:fill="FFF3CE"/>
          </w:tcPr>
          <w:p>
            <w:pPr>
              <w:jc w:val="right"/>
              <w:ind w:right="152"/>
              <w:spacing w:after="0"/>
              <w:rPr>
                <w:sz w:val="20"/>
                <w:szCs w:val="20"/>
                <w:color w:val="auto"/>
              </w:rPr>
            </w:pPr>
            <w:r>
              <w:rPr>
                <w:rFonts w:ascii="Arial" w:cs="Arial" w:eastAsia="Arial" w:hAnsi="Arial"/>
                <w:sz w:val="18"/>
                <w:szCs w:val="18"/>
                <w:color w:val="auto"/>
              </w:rPr>
              <w:t>500,000</w:t>
            </w:r>
          </w:p>
        </w:tc>
        <w:tc>
          <w:tcPr>
            <w:tcW w:w="880" w:type="dxa"/>
            <w:vAlign w:val="bottom"/>
            <w:gridSpan w:val="2"/>
            <w:shd w:val="clear" w:color="auto" w:fill="FFF3CE"/>
          </w:tcPr>
          <w:p>
            <w:pPr>
              <w:jc w:val="right"/>
              <w:ind w:right="172"/>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FFF3CE"/>
          </w:tcPr>
          <w:p>
            <w:pPr>
              <w:jc w:val="right"/>
              <w:ind w:right="134"/>
              <w:spacing w:after="0"/>
              <w:rPr>
                <w:sz w:val="20"/>
                <w:szCs w:val="20"/>
                <w:color w:val="auto"/>
              </w:rPr>
            </w:pPr>
            <w:r>
              <w:rPr>
                <w:rFonts w:ascii="Arial" w:cs="Arial" w:eastAsia="Arial" w:hAnsi="Arial"/>
                <w:sz w:val="18"/>
                <w:szCs w:val="18"/>
                <w:color w:val="auto"/>
                <w:w w:val="86"/>
              </w:rPr>
              <w:t>123,871</w:t>
            </w:r>
          </w:p>
        </w:tc>
      </w:tr>
      <w:tr>
        <w:trPr>
          <w:trHeight w:val="242"/>
        </w:trPr>
        <w:tc>
          <w:tcPr>
            <w:tcW w:w="2120" w:type="dxa"/>
            <w:vAlign w:val="bottom"/>
            <w:gridSpan w:val="2"/>
          </w:tcPr>
          <w:p>
            <w:pPr>
              <w:spacing w:after="0"/>
              <w:rPr>
                <w:sz w:val="20"/>
                <w:szCs w:val="20"/>
                <w:color w:val="auto"/>
              </w:rPr>
            </w:pPr>
            <w:r>
              <w:rPr>
                <w:rFonts w:ascii="Arial" w:cs="Arial" w:eastAsia="Arial" w:hAnsi="Arial"/>
                <w:sz w:val="18"/>
                <w:szCs w:val="18"/>
                <w:color w:val="auto"/>
              </w:rPr>
              <w:t>President &amp; Chief</w:t>
            </w: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2004</w:t>
            </w:r>
          </w:p>
        </w:tc>
        <w:tc>
          <w:tcPr>
            <w:tcW w:w="1220" w:type="dxa"/>
            <w:vAlign w:val="bottom"/>
            <w:gridSpan w:val="2"/>
          </w:tcPr>
          <w:p>
            <w:pPr>
              <w:jc w:val="right"/>
              <w:ind w:right="132"/>
              <w:spacing w:after="0"/>
              <w:rPr>
                <w:sz w:val="20"/>
                <w:szCs w:val="20"/>
                <w:color w:val="auto"/>
              </w:rPr>
            </w:pPr>
            <w:r>
              <w:rPr>
                <w:rFonts w:ascii="Arial" w:cs="Arial" w:eastAsia="Arial" w:hAnsi="Arial"/>
                <w:sz w:val="18"/>
                <w:szCs w:val="18"/>
                <w:color w:val="auto"/>
              </w:rPr>
              <w:t>$770,001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w w:val="84"/>
              </w:rPr>
              <w:t>1,400,000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6"/>
              <w:spacing w:after="0"/>
              <w:rPr>
                <w:sz w:val="20"/>
                <w:szCs w:val="20"/>
                <w:color w:val="auto"/>
              </w:rPr>
            </w:pPr>
            <w:r>
              <w:rPr>
                <w:rFonts w:ascii="Arial" w:cs="Arial" w:eastAsia="Arial" w:hAnsi="Arial"/>
                <w:sz w:val="18"/>
                <w:szCs w:val="18"/>
                <w:color w:val="auto"/>
                <w:w w:val="83"/>
              </w:rPr>
              <w:t>94,709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3,248,000</w:t>
            </w:r>
          </w:p>
        </w:tc>
        <w:tc>
          <w:tcPr>
            <w:tcW w:w="1580" w:type="dxa"/>
            <w:vAlign w:val="bottom"/>
            <w:gridSpan w:val="3"/>
          </w:tcPr>
          <w:p>
            <w:pPr>
              <w:jc w:val="right"/>
              <w:ind w:right="152"/>
              <w:spacing w:after="0"/>
              <w:rPr>
                <w:sz w:val="20"/>
                <w:szCs w:val="20"/>
                <w:color w:val="auto"/>
              </w:rPr>
            </w:pPr>
            <w:r>
              <w:rPr>
                <w:rFonts w:ascii="Arial" w:cs="Arial" w:eastAsia="Arial" w:hAnsi="Arial"/>
                <w:sz w:val="18"/>
                <w:szCs w:val="18"/>
                <w:color w:val="auto"/>
              </w:rPr>
              <w:t>700,000</w:t>
            </w:r>
          </w:p>
        </w:tc>
        <w:tc>
          <w:tcPr>
            <w:tcW w:w="880" w:type="dxa"/>
            <w:vAlign w:val="bottom"/>
            <w:gridSpan w:val="2"/>
          </w:tcPr>
          <w:p>
            <w:pPr>
              <w:jc w:val="right"/>
              <w:ind w:right="172"/>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4"/>
              <w:spacing w:after="0"/>
              <w:rPr>
                <w:sz w:val="20"/>
                <w:szCs w:val="20"/>
                <w:color w:val="auto"/>
              </w:rPr>
            </w:pPr>
            <w:r>
              <w:rPr>
                <w:rFonts w:ascii="Arial" w:cs="Arial" w:eastAsia="Arial" w:hAnsi="Arial"/>
                <w:sz w:val="18"/>
                <w:szCs w:val="18"/>
                <w:color w:val="auto"/>
                <w:w w:val="86"/>
              </w:rPr>
              <w:t>201,339</w:t>
            </w:r>
          </w:p>
        </w:tc>
      </w:tr>
      <w:tr>
        <w:trPr>
          <w:trHeight w:val="244"/>
        </w:trPr>
        <w:tc>
          <w:tcPr>
            <w:tcW w:w="212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Executive Officer</w:t>
            </w:r>
          </w:p>
        </w:tc>
        <w:tc>
          <w:tcPr>
            <w:tcW w:w="78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4"/>
              </w:rPr>
              <w:t>2003</w:t>
            </w:r>
          </w:p>
        </w:tc>
        <w:tc>
          <w:tcPr>
            <w:tcW w:w="1220" w:type="dxa"/>
            <w:vAlign w:val="bottom"/>
            <w:gridSpan w:val="2"/>
            <w:shd w:val="clear" w:color="auto" w:fill="FFF3CE"/>
          </w:tcPr>
          <w:p>
            <w:pPr>
              <w:jc w:val="right"/>
              <w:ind w:right="132"/>
              <w:spacing w:after="0"/>
              <w:rPr>
                <w:sz w:val="20"/>
                <w:szCs w:val="20"/>
                <w:color w:val="auto"/>
              </w:rPr>
            </w:pPr>
            <w:r>
              <w:rPr>
                <w:rFonts w:ascii="Arial" w:cs="Arial" w:eastAsia="Arial" w:hAnsi="Arial"/>
                <w:sz w:val="18"/>
                <w:szCs w:val="18"/>
                <w:color w:val="auto"/>
              </w:rPr>
              <w:t>$641,250</w:t>
            </w:r>
          </w:p>
        </w:tc>
        <w:tc>
          <w:tcPr>
            <w:tcW w:w="44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FFF3CE"/>
          </w:tcPr>
          <w:p>
            <w:pPr>
              <w:jc w:val="right"/>
              <w:ind w:right="134"/>
              <w:spacing w:after="0"/>
              <w:rPr>
                <w:sz w:val="20"/>
                <w:szCs w:val="20"/>
                <w:color w:val="auto"/>
              </w:rPr>
            </w:pPr>
            <w:r>
              <w:rPr>
                <w:rFonts w:ascii="Arial" w:cs="Arial" w:eastAsia="Arial" w:hAnsi="Arial"/>
                <w:sz w:val="18"/>
                <w:szCs w:val="18"/>
                <w:color w:val="auto"/>
              </w:rPr>
              <w:t>600,000</w:t>
            </w:r>
          </w:p>
        </w:tc>
        <w:tc>
          <w:tcPr>
            <w:tcW w:w="44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FFF3CE"/>
          </w:tcPr>
          <w:p>
            <w:pPr>
              <w:jc w:val="right"/>
              <w:ind w:right="136"/>
              <w:spacing w:after="0"/>
              <w:rPr>
                <w:sz w:val="20"/>
                <w:szCs w:val="20"/>
                <w:color w:val="auto"/>
              </w:rPr>
            </w:pPr>
            <w:r>
              <w:rPr>
                <w:rFonts w:ascii="Arial" w:cs="Arial" w:eastAsia="Arial" w:hAnsi="Arial"/>
                <w:sz w:val="18"/>
                <w:szCs w:val="18"/>
                <w:color w:val="auto"/>
                <w:w w:val="83"/>
              </w:rPr>
              <w:t>83,568</w:t>
            </w:r>
          </w:p>
        </w:tc>
        <w:tc>
          <w:tcPr>
            <w:tcW w:w="200" w:type="dxa"/>
            <w:vAlign w:val="bottom"/>
            <w:shd w:val="clear" w:color="auto" w:fill="FFF3CE"/>
          </w:tcPr>
          <w:p>
            <w:pPr>
              <w:spacing w:after="0"/>
              <w:rPr>
                <w:sz w:val="21"/>
                <w:szCs w:val="21"/>
                <w:color w:val="auto"/>
              </w:rPr>
            </w:pPr>
          </w:p>
        </w:tc>
        <w:tc>
          <w:tcPr>
            <w:tcW w:w="220" w:type="dxa"/>
            <w:vAlign w:val="bottom"/>
            <w:shd w:val="clear" w:color="auto" w:fill="FFF3CE"/>
          </w:tcPr>
          <w:p>
            <w:pPr>
              <w:spacing w:after="0"/>
              <w:rPr>
                <w:sz w:val="21"/>
                <w:szCs w:val="21"/>
                <w:color w:val="auto"/>
              </w:rPr>
            </w:pPr>
          </w:p>
        </w:tc>
        <w:tc>
          <w:tcPr>
            <w:tcW w:w="700" w:type="dxa"/>
            <w:vAlign w:val="bottom"/>
            <w:shd w:val="clear" w:color="auto" w:fill="FFF3CE"/>
          </w:tcPr>
          <w:p>
            <w:pPr>
              <w:jc w:val="right"/>
              <w:spacing w:after="0"/>
              <w:rPr>
                <w:sz w:val="20"/>
                <w:szCs w:val="20"/>
                <w:color w:val="auto"/>
              </w:rPr>
            </w:pPr>
            <w:r>
              <w:rPr>
                <w:rFonts w:ascii="Arial" w:cs="Arial" w:eastAsia="Arial" w:hAnsi="Arial"/>
                <w:sz w:val="18"/>
                <w:szCs w:val="18"/>
                <w:color w:val="auto"/>
              </w:rPr>
              <w:t>0</w:t>
            </w:r>
          </w:p>
        </w:tc>
        <w:tc>
          <w:tcPr>
            <w:tcW w:w="1580" w:type="dxa"/>
            <w:vAlign w:val="bottom"/>
            <w:gridSpan w:val="3"/>
            <w:shd w:val="clear" w:color="auto" w:fill="FFF3CE"/>
          </w:tcPr>
          <w:p>
            <w:pPr>
              <w:jc w:val="right"/>
              <w:ind w:right="152"/>
              <w:spacing w:after="0"/>
              <w:rPr>
                <w:sz w:val="20"/>
                <w:szCs w:val="20"/>
                <w:color w:val="auto"/>
              </w:rPr>
            </w:pPr>
            <w:r>
              <w:rPr>
                <w:rFonts w:ascii="Arial" w:cs="Arial" w:eastAsia="Arial" w:hAnsi="Arial"/>
                <w:sz w:val="18"/>
                <w:szCs w:val="18"/>
                <w:color w:val="auto"/>
              </w:rPr>
              <w:t>1,000,000</w:t>
            </w:r>
          </w:p>
        </w:tc>
        <w:tc>
          <w:tcPr>
            <w:tcW w:w="880" w:type="dxa"/>
            <w:vAlign w:val="bottom"/>
            <w:gridSpan w:val="2"/>
            <w:shd w:val="clear" w:color="auto" w:fill="FFF3CE"/>
          </w:tcPr>
          <w:p>
            <w:pPr>
              <w:jc w:val="right"/>
              <w:ind w:right="172"/>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FFF3CE"/>
          </w:tcPr>
          <w:p>
            <w:pPr>
              <w:jc w:val="right"/>
              <w:ind w:right="134"/>
              <w:spacing w:after="0"/>
              <w:rPr>
                <w:sz w:val="20"/>
                <w:szCs w:val="20"/>
                <w:color w:val="auto"/>
              </w:rPr>
            </w:pPr>
            <w:r>
              <w:rPr>
                <w:rFonts w:ascii="Arial" w:cs="Arial" w:eastAsia="Arial" w:hAnsi="Arial"/>
                <w:sz w:val="18"/>
                <w:szCs w:val="18"/>
                <w:color w:val="auto"/>
              </w:rPr>
              <w:t>85,345</w:t>
            </w:r>
          </w:p>
        </w:tc>
      </w:tr>
      <w:tr>
        <w:trPr>
          <w:trHeight w:val="485"/>
        </w:trPr>
        <w:tc>
          <w:tcPr>
            <w:tcW w:w="2120" w:type="dxa"/>
            <w:vAlign w:val="bottom"/>
            <w:gridSpan w:val="2"/>
          </w:tcPr>
          <w:p>
            <w:pPr>
              <w:spacing w:after="0"/>
              <w:rPr>
                <w:sz w:val="20"/>
                <w:szCs w:val="20"/>
                <w:color w:val="auto"/>
              </w:rPr>
            </w:pPr>
            <w:r>
              <w:rPr>
                <w:rFonts w:ascii="Arial" w:cs="Arial" w:eastAsia="Arial" w:hAnsi="Arial"/>
                <w:sz w:val="18"/>
                <w:szCs w:val="18"/>
                <w:color w:val="auto"/>
              </w:rPr>
              <w:t>G. Delfassy</w:t>
            </w: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2005</w:t>
            </w:r>
          </w:p>
        </w:tc>
        <w:tc>
          <w:tcPr>
            <w:tcW w:w="1220" w:type="dxa"/>
            <w:vAlign w:val="bottom"/>
            <w:gridSpan w:val="2"/>
          </w:tcPr>
          <w:p>
            <w:pPr>
              <w:jc w:val="right"/>
              <w:ind w:right="132"/>
              <w:spacing w:after="0"/>
              <w:rPr>
                <w:sz w:val="20"/>
                <w:szCs w:val="20"/>
                <w:color w:val="auto"/>
              </w:rPr>
            </w:pPr>
            <w:r>
              <w:rPr>
                <w:rFonts w:ascii="Arial" w:cs="Arial" w:eastAsia="Arial" w:hAnsi="Arial"/>
                <w:sz w:val="18"/>
                <w:szCs w:val="18"/>
                <w:color w:val="auto"/>
              </w:rPr>
              <w:t>$426,740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950,000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6"/>
              <w:spacing w:after="0"/>
              <w:rPr>
                <w:sz w:val="20"/>
                <w:szCs w:val="20"/>
                <w:color w:val="auto"/>
              </w:rPr>
            </w:pPr>
            <w:r>
              <w:rPr>
                <w:rFonts w:ascii="Arial" w:cs="Arial" w:eastAsia="Arial" w:hAnsi="Arial"/>
                <w:sz w:val="18"/>
                <w:szCs w:val="18"/>
                <w:color w:val="auto"/>
              </w:rPr>
              <w:t>6,482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1,069,000</w:t>
            </w:r>
          </w:p>
        </w:tc>
        <w:tc>
          <w:tcPr>
            <w:tcW w:w="1580" w:type="dxa"/>
            <w:vAlign w:val="bottom"/>
            <w:gridSpan w:val="3"/>
          </w:tcPr>
          <w:p>
            <w:pPr>
              <w:jc w:val="right"/>
              <w:ind w:right="152"/>
              <w:spacing w:after="0"/>
              <w:rPr>
                <w:sz w:val="20"/>
                <w:szCs w:val="20"/>
                <w:color w:val="auto"/>
              </w:rPr>
            </w:pPr>
            <w:r>
              <w:rPr>
                <w:rFonts w:ascii="Arial" w:cs="Arial" w:eastAsia="Arial" w:hAnsi="Arial"/>
                <w:sz w:val="18"/>
                <w:szCs w:val="18"/>
                <w:color w:val="auto"/>
              </w:rPr>
              <w:t>100,000</w:t>
            </w:r>
          </w:p>
        </w:tc>
        <w:tc>
          <w:tcPr>
            <w:tcW w:w="880" w:type="dxa"/>
            <w:vAlign w:val="bottom"/>
            <w:gridSpan w:val="2"/>
          </w:tcPr>
          <w:p>
            <w:pPr>
              <w:jc w:val="right"/>
              <w:ind w:right="172"/>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4"/>
              <w:spacing w:after="0"/>
              <w:rPr>
                <w:sz w:val="20"/>
                <w:szCs w:val="20"/>
                <w:color w:val="auto"/>
              </w:rPr>
            </w:pPr>
            <w:r>
              <w:rPr>
                <w:rFonts w:ascii="Arial" w:cs="Arial" w:eastAsia="Arial" w:hAnsi="Arial"/>
                <w:sz w:val="18"/>
                <w:szCs w:val="18"/>
                <w:color w:val="auto"/>
              </w:rPr>
              <w:t>79,069</w:t>
            </w:r>
          </w:p>
        </w:tc>
      </w:tr>
      <w:tr>
        <w:trPr>
          <w:trHeight w:val="244"/>
        </w:trPr>
        <w:tc>
          <w:tcPr>
            <w:tcW w:w="212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Senior Vice</w:t>
            </w:r>
          </w:p>
        </w:tc>
        <w:tc>
          <w:tcPr>
            <w:tcW w:w="78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4"/>
              </w:rPr>
              <w:t>2004</w:t>
            </w:r>
          </w:p>
        </w:tc>
        <w:tc>
          <w:tcPr>
            <w:tcW w:w="1220" w:type="dxa"/>
            <w:vAlign w:val="bottom"/>
            <w:gridSpan w:val="2"/>
            <w:shd w:val="clear" w:color="auto" w:fill="FFF3CE"/>
          </w:tcPr>
          <w:p>
            <w:pPr>
              <w:jc w:val="right"/>
              <w:ind w:right="132"/>
              <w:spacing w:after="0"/>
              <w:rPr>
                <w:sz w:val="20"/>
                <w:szCs w:val="20"/>
                <w:color w:val="auto"/>
              </w:rPr>
            </w:pPr>
            <w:r>
              <w:rPr>
                <w:rFonts w:ascii="Arial" w:cs="Arial" w:eastAsia="Arial" w:hAnsi="Arial"/>
                <w:sz w:val="18"/>
                <w:szCs w:val="18"/>
                <w:color w:val="auto"/>
              </w:rPr>
              <w:t>$388,170</w:t>
            </w:r>
          </w:p>
        </w:tc>
        <w:tc>
          <w:tcPr>
            <w:tcW w:w="44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FFF3CE"/>
          </w:tcPr>
          <w:p>
            <w:pPr>
              <w:jc w:val="right"/>
              <w:ind w:right="134"/>
              <w:spacing w:after="0"/>
              <w:rPr>
                <w:sz w:val="20"/>
                <w:szCs w:val="20"/>
                <w:color w:val="auto"/>
              </w:rPr>
            </w:pPr>
            <w:r>
              <w:rPr>
                <w:rFonts w:ascii="Arial" w:cs="Arial" w:eastAsia="Arial" w:hAnsi="Arial"/>
                <w:sz w:val="18"/>
                <w:szCs w:val="18"/>
                <w:color w:val="auto"/>
              </w:rPr>
              <w:t>600,000</w:t>
            </w:r>
          </w:p>
        </w:tc>
        <w:tc>
          <w:tcPr>
            <w:tcW w:w="44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FFF3CE"/>
          </w:tcPr>
          <w:p>
            <w:pPr>
              <w:jc w:val="right"/>
              <w:ind w:right="136"/>
              <w:spacing w:after="0"/>
              <w:rPr>
                <w:sz w:val="20"/>
                <w:szCs w:val="20"/>
                <w:color w:val="auto"/>
              </w:rPr>
            </w:pPr>
            <w:r>
              <w:rPr>
                <w:rFonts w:ascii="Arial" w:cs="Arial" w:eastAsia="Arial" w:hAnsi="Arial"/>
                <w:sz w:val="18"/>
                <w:szCs w:val="18"/>
                <w:color w:val="auto"/>
              </w:rPr>
              <w:t>1,272</w:t>
            </w:r>
          </w:p>
        </w:tc>
        <w:tc>
          <w:tcPr>
            <w:tcW w:w="42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FFF3CE"/>
          </w:tcPr>
          <w:p>
            <w:pPr>
              <w:jc w:val="right"/>
              <w:spacing w:after="0"/>
              <w:rPr>
                <w:sz w:val="20"/>
                <w:szCs w:val="20"/>
                <w:color w:val="auto"/>
              </w:rPr>
            </w:pPr>
            <w:r>
              <w:rPr>
                <w:rFonts w:ascii="Arial" w:cs="Arial" w:eastAsia="Arial" w:hAnsi="Arial"/>
                <w:sz w:val="18"/>
                <w:szCs w:val="18"/>
                <w:color w:val="auto"/>
                <w:w w:val="84"/>
              </w:rPr>
              <w:t>1,624,000</w:t>
            </w:r>
          </w:p>
        </w:tc>
        <w:tc>
          <w:tcPr>
            <w:tcW w:w="1580" w:type="dxa"/>
            <w:vAlign w:val="bottom"/>
            <w:gridSpan w:val="3"/>
            <w:shd w:val="clear" w:color="auto" w:fill="FFF3CE"/>
          </w:tcPr>
          <w:p>
            <w:pPr>
              <w:jc w:val="right"/>
              <w:ind w:right="152"/>
              <w:spacing w:after="0"/>
              <w:rPr>
                <w:sz w:val="20"/>
                <w:szCs w:val="20"/>
                <w:color w:val="auto"/>
              </w:rPr>
            </w:pPr>
            <w:r>
              <w:rPr>
                <w:rFonts w:ascii="Arial" w:cs="Arial" w:eastAsia="Arial" w:hAnsi="Arial"/>
                <w:sz w:val="18"/>
                <w:szCs w:val="18"/>
                <w:color w:val="auto"/>
              </w:rPr>
              <w:t>150,000</w:t>
            </w:r>
          </w:p>
        </w:tc>
        <w:tc>
          <w:tcPr>
            <w:tcW w:w="880" w:type="dxa"/>
            <w:vAlign w:val="bottom"/>
            <w:gridSpan w:val="2"/>
            <w:shd w:val="clear" w:color="auto" w:fill="FFF3CE"/>
          </w:tcPr>
          <w:p>
            <w:pPr>
              <w:jc w:val="right"/>
              <w:ind w:right="172"/>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FFF3CE"/>
          </w:tcPr>
          <w:p>
            <w:pPr>
              <w:jc w:val="right"/>
              <w:ind w:right="134"/>
              <w:spacing w:after="0"/>
              <w:rPr>
                <w:sz w:val="20"/>
                <w:szCs w:val="20"/>
                <w:color w:val="auto"/>
              </w:rPr>
            </w:pPr>
            <w:r>
              <w:rPr>
                <w:rFonts w:ascii="Arial" w:cs="Arial" w:eastAsia="Arial" w:hAnsi="Arial"/>
                <w:sz w:val="18"/>
                <w:szCs w:val="18"/>
                <w:color w:val="auto"/>
                <w:w w:val="86"/>
              </w:rPr>
              <w:t>118,189</w:t>
            </w:r>
          </w:p>
        </w:tc>
      </w:tr>
      <w:tr>
        <w:trPr>
          <w:trHeight w:val="241"/>
        </w:trPr>
        <w:tc>
          <w:tcPr>
            <w:tcW w:w="212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2003</w:t>
            </w:r>
          </w:p>
        </w:tc>
        <w:tc>
          <w:tcPr>
            <w:tcW w:w="1220" w:type="dxa"/>
            <w:vAlign w:val="bottom"/>
            <w:gridSpan w:val="2"/>
          </w:tcPr>
          <w:p>
            <w:pPr>
              <w:jc w:val="right"/>
              <w:ind w:right="132"/>
              <w:spacing w:after="0"/>
              <w:rPr>
                <w:sz w:val="20"/>
                <w:szCs w:val="20"/>
                <w:color w:val="auto"/>
              </w:rPr>
            </w:pPr>
            <w:r>
              <w:rPr>
                <w:rFonts w:ascii="Arial" w:cs="Arial" w:eastAsia="Arial" w:hAnsi="Arial"/>
                <w:sz w:val="18"/>
                <w:szCs w:val="18"/>
                <w:color w:val="auto"/>
              </w:rPr>
              <w:t>$364,070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400,000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6"/>
              <w:spacing w:after="0"/>
              <w:rPr>
                <w:sz w:val="20"/>
                <w:szCs w:val="20"/>
                <w:color w:val="auto"/>
              </w:rPr>
            </w:pPr>
            <w:r>
              <w:rPr>
                <w:rFonts w:ascii="Arial" w:cs="Arial" w:eastAsia="Arial" w:hAnsi="Arial"/>
                <w:sz w:val="18"/>
                <w:szCs w:val="18"/>
                <w:color w:val="auto"/>
              </w:rPr>
              <w:t>1,172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1580" w:type="dxa"/>
            <w:vAlign w:val="bottom"/>
            <w:gridSpan w:val="3"/>
          </w:tcPr>
          <w:p>
            <w:pPr>
              <w:jc w:val="right"/>
              <w:ind w:right="152"/>
              <w:spacing w:after="0"/>
              <w:rPr>
                <w:sz w:val="20"/>
                <w:szCs w:val="20"/>
                <w:color w:val="auto"/>
              </w:rPr>
            </w:pPr>
            <w:r>
              <w:rPr>
                <w:rFonts w:ascii="Arial" w:cs="Arial" w:eastAsia="Arial" w:hAnsi="Arial"/>
                <w:sz w:val="18"/>
                <w:szCs w:val="18"/>
                <w:color w:val="auto"/>
              </w:rPr>
              <w:t>300,000</w:t>
            </w:r>
          </w:p>
        </w:tc>
        <w:tc>
          <w:tcPr>
            <w:tcW w:w="880" w:type="dxa"/>
            <w:vAlign w:val="bottom"/>
            <w:gridSpan w:val="2"/>
          </w:tcPr>
          <w:p>
            <w:pPr>
              <w:jc w:val="right"/>
              <w:ind w:right="172"/>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4"/>
              <w:spacing w:after="0"/>
              <w:rPr>
                <w:sz w:val="20"/>
                <w:szCs w:val="20"/>
                <w:color w:val="auto"/>
              </w:rPr>
            </w:pPr>
            <w:r>
              <w:rPr>
                <w:rFonts w:ascii="Arial" w:cs="Arial" w:eastAsia="Arial" w:hAnsi="Arial"/>
                <w:sz w:val="18"/>
                <w:szCs w:val="18"/>
                <w:color w:val="auto"/>
              </w:rPr>
              <w:t>56,920</w:t>
            </w:r>
          </w:p>
        </w:tc>
      </w:tr>
      <w:tr>
        <w:trPr>
          <w:trHeight w:val="245"/>
        </w:trPr>
        <w:tc>
          <w:tcPr>
            <w:tcW w:w="1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212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M.J. Hames</w:t>
            </w:r>
          </w:p>
        </w:tc>
        <w:tc>
          <w:tcPr>
            <w:tcW w:w="78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4"/>
              </w:rPr>
              <w:t>2005</w:t>
            </w:r>
          </w:p>
        </w:tc>
        <w:tc>
          <w:tcPr>
            <w:tcW w:w="1220" w:type="dxa"/>
            <w:vAlign w:val="bottom"/>
            <w:gridSpan w:val="2"/>
            <w:shd w:val="clear" w:color="auto" w:fill="FFF3CE"/>
          </w:tcPr>
          <w:p>
            <w:pPr>
              <w:jc w:val="right"/>
              <w:ind w:right="132"/>
              <w:spacing w:after="0"/>
              <w:rPr>
                <w:sz w:val="20"/>
                <w:szCs w:val="20"/>
                <w:color w:val="auto"/>
              </w:rPr>
            </w:pPr>
            <w:r>
              <w:rPr>
                <w:rFonts w:ascii="Arial" w:cs="Arial" w:eastAsia="Arial" w:hAnsi="Arial"/>
                <w:sz w:val="18"/>
                <w:szCs w:val="18"/>
                <w:color w:val="auto"/>
              </w:rPr>
              <w:t>$417,920</w:t>
            </w:r>
          </w:p>
        </w:tc>
        <w:tc>
          <w:tcPr>
            <w:tcW w:w="44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FFF3CE"/>
          </w:tcPr>
          <w:p>
            <w:pPr>
              <w:jc w:val="right"/>
              <w:ind w:right="134"/>
              <w:spacing w:after="0"/>
              <w:rPr>
                <w:sz w:val="20"/>
                <w:szCs w:val="20"/>
                <w:color w:val="auto"/>
              </w:rPr>
            </w:pPr>
            <w:r>
              <w:rPr>
                <w:rFonts w:ascii="Arial" w:cs="Arial" w:eastAsia="Arial" w:hAnsi="Arial"/>
                <w:sz w:val="18"/>
                <w:szCs w:val="18"/>
                <w:color w:val="auto"/>
              </w:rPr>
              <w:t>575,000</w:t>
            </w:r>
          </w:p>
        </w:tc>
        <w:tc>
          <w:tcPr>
            <w:tcW w:w="44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FFF3CE"/>
          </w:tcPr>
          <w:p>
            <w:pPr>
              <w:jc w:val="right"/>
              <w:ind w:right="136"/>
              <w:spacing w:after="0"/>
              <w:rPr>
                <w:sz w:val="20"/>
                <w:szCs w:val="20"/>
                <w:color w:val="auto"/>
              </w:rPr>
            </w:pPr>
            <w:r>
              <w:rPr>
                <w:rFonts w:ascii="Arial" w:cs="Arial" w:eastAsia="Arial" w:hAnsi="Arial"/>
                <w:sz w:val="18"/>
                <w:szCs w:val="18"/>
                <w:color w:val="auto"/>
              </w:rPr>
              <w:t>1,278</w:t>
            </w:r>
          </w:p>
        </w:tc>
        <w:tc>
          <w:tcPr>
            <w:tcW w:w="42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FFF3CE"/>
          </w:tcPr>
          <w:p>
            <w:pPr>
              <w:jc w:val="right"/>
              <w:spacing w:after="0"/>
              <w:rPr>
                <w:sz w:val="20"/>
                <w:szCs w:val="20"/>
                <w:color w:val="auto"/>
              </w:rPr>
            </w:pPr>
            <w:r>
              <w:rPr>
                <w:rFonts w:ascii="Arial" w:cs="Arial" w:eastAsia="Arial" w:hAnsi="Arial"/>
                <w:sz w:val="18"/>
                <w:szCs w:val="18"/>
                <w:color w:val="auto"/>
                <w:w w:val="84"/>
              </w:rPr>
              <w:t>1,069,000</w:t>
            </w:r>
          </w:p>
        </w:tc>
        <w:tc>
          <w:tcPr>
            <w:tcW w:w="1580" w:type="dxa"/>
            <w:vAlign w:val="bottom"/>
            <w:gridSpan w:val="3"/>
            <w:shd w:val="clear" w:color="auto" w:fill="FFF3CE"/>
          </w:tcPr>
          <w:p>
            <w:pPr>
              <w:jc w:val="right"/>
              <w:ind w:right="152"/>
              <w:spacing w:after="0"/>
              <w:rPr>
                <w:sz w:val="20"/>
                <w:szCs w:val="20"/>
                <w:color w:val="auto"/>
              </w:rPr>
            </w:pPr>
            <w:r>
              <w:rPr>
                <w:rFonts w:ascii="Arial" w:cs="Arial" w:eastAsia="Arial" w:hAnsi="Arial"/>
                <w:sz w:val="18"/>
                <w:szCs w:val="18"/>
                <w:color w:val="auto"/>
              </w:rPr>
              <w:t>100,000</w:t>
            </w:r>
          </w:p>
        </w:tc>
        <w:tc>
          <w:tcPr>
            <w:tcW w:w="880" w:type="dxa"/>
            <w:vAlign w:val="bottom"/>
            <w:gridSpan w:val="2"/>
            <w:shd w:val="clear" w:color="auto" w:fill="FFF3CE"/>
          </w:tcPr>
          <w:p>
            <w:pPr>
              <w:jc w:val="right"/>
              <w:ind w:right="172"/>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FFF3CE"/>
          </w:tcPr>
          <w:p>
            <w:pPr>
              <w:jc w:val="right"/>
              <w:ind w:right="134"/>
              <w:spacing w:after="0"/>
              <w:rPr>
                <w:sz w:val="20"/>
                <w:szCs w:val="20"/>
                <w:color w:val="auto"/>
              </w:rPr>
            </w:pPr>
            <w:r>
              <w:rPr>
                <w:rFonts w:ascii="Arial" w:cs="Arial" w:eastAsia="Arial" w:hAnsi="Arial"/>
                <w:sz w:val="18"/>
                <w:szCs w:val="18"/>
                <w:color w:val="auto"/>
              </w:rPr>
              <w:t>43,685</w:t>
            </w:r>
          </w:p>
        </w:tc>
      </w:tr>
      <w:tr>
        <w:trPr>
          <w:trHeight w:val="242"/>
        </w:trPr>
        <w:tc>
          <w:tcPr>
            <w:tcW w:w="2120" w:type="dxa"/>
            <w:vAlign w:val="bottom"/>
            <w:gridSpan w:val="2"/>
          </w:tcPr>
          <w:p>
            <w:pPr>
              <w:spacing w:after="0"/>
              <w:rPr>
                <w:sz w:val="20"/>
                <w:szCs w:val="20"/>
                <w:color w:val="auto"/>
              </w:rPr>
            </w:pPr>
            <w:r>
              <w:rPr>
                <w:rFonts w:ascii="Arial" w:cs="Arial" w:eastAsia="Arial" w:hAnsi="Arial"/>
                <w:sz w:val="18"/>
                <w:szCs w:val="18"/>
                <w:color w:val="auto"/>
              </w:rPr>
              <w:t>Senior Vice</w:t>
            </w: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2004</w:t>
            </w:r>
          </w:p>
        </w:tc>
        <w:tc>
          <w:tcPr>
            <w:tcW w:w="1220" w:type="dxa"/>
            <w:vAlign w:val="bottom"/>
            <w:gridSpan w:val="2"/>
          </w:tcPr>
          <w:p>
            <w:pPr>
              <w:jc w:val="right"/>
              <w:ind w:right="132"/>
              <w:spacing w:after="0"/>
              <w:rPr>
                <w:sz w:val="20"/>
                <w:szCs w:val="20"/>
                <w:color w:val="auto"/>
              </w:rPr>
            </w:pPr>
            <w:r>
              <w:rPr>
                <w:rFonts w:ascii="Arial" w:cs="Arial" w:eastAsia="Arial" w:hAnsi="Arial"/>
                <w:sz w:val="18"/>
                <w:szCs w:val="18"/>
                <w:color w:val="auto"/>
              </w:rPr>
              <w:t>$393,289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400,000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6"/>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1,624,000</w:t>
            </w:r>
          </w:p>
        </w:tc>
        <w:tc>
          <w:tcPr>
            <w:tcW w:w="1580" w:type="dxa"/>
            <w:vAlign w:val="bottom"/>
            <w:gridSpan w:val="3"/>
          </w:tcPr>
          <w:p>
            <w:pPr>
              <w:jc w:val="right"/>
              <w:ind w:right="152"/>
              <w:spacing w:after="0"/>
              <w:rPr>
                <w:sz w:val="20"/>
                <w:szCs w:val="20"/>
                <w:color w:val="auto"/>
              </w:rPr>
            </w:pPr>
            <w:r>
              <w:rPr>
                <w:rFonts w:ascii="Arial" w:cs="Arial" w:eastAsia="Arial" w:hAnsi="Arial"/>
                <w:sz w:val="18"/>
                <w:szCs w:val="18"/>
                <w:color w:val="auto"/>
              </w:rPr>
              <w:t>150,000</w:t>
            </w:r>
          </w:p>
        </w:tc>
        <w:tc>
          <w:tcPr>
            <w:tcW w:w="880" w:type="dxa"/>
            <w:vAlign w:val="bottom"/>
            <w:gridSpan w:val="2"/>
          </w:tcPr>
          <w:p>
            <w:pPr>
              <w:jc w:val="right"/>
              <w:ind w:right="172"/>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4"/>
              <w:spacing w:after="0"/>
              <w:rPr>
                <w:sz w:val="20"/>
                <w:szCs w:val="20"/>
                <w:color w:val="auto"/>
              </w:rPr>
            </w:pPr>
            <w:r>
              <w:rPr>
                <w:rFonts w:ascii="Arial" w:cs="Arial" w:eastAsia="Arial" w:hAnsi="Arial"/>
                <w:sz w:val="18"/>
                <w:szCs w:val="18"/>
                <w:color w:val="auto"/>
              </w:rPr>
              <w:t>67,336</w:t>
            </w:r>
          </w:p>
        </w:tc>
      </w:tr>
      <w:tr>
        <w:trPr>
          <w:trHeight w:val="244"/>
        </w:trPr>
        <w:tc>
          <w:tcPr>
            <w:tcW w:w="212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President</w:t>
            </w:r>
          </w:p>
        </w:tc>
        <w:tc>
          <w:tcPr>
            <w:tcW w:w="78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4"/>
              </w:rPr>
              <w:t>2003</w:t>
            </w:r>
          </w:p>
        </w:tc>
        <w:tc>
          <w:tcPr>
            <w:tcW w:w="1220" w:type="dxa"/>
            <w:vAlign w:val="bottom"/>
            <w:gridSpan w:val="2"/>
            <w:shd w:val="clear" w:color="auto" w:fill="FFF3CE"/>
          </w:tcPr>
          <w:p>
            <w:pPr>
              <w:jc w:val="right"/>
              <w:ind w:right="132"/>
              <w:spacing w:after="0"/>
              <w:rPr>
                <w:sz w:val="20"/>
                <w:szCs w:val="20"/>
                <w:color w:val="auto"/>
              </w:rPr>
            </w:pPr>
            <w:r>
              <w:rPr>
                <w:rFonts w:ascii="Arial" w:cs="Arial" w:eastAsia="Arial" w:hAnsi="Arial"/>
                <w:sz w:val="18"/>
                <w:szCs w:val="18"/>
                <w:color w:val="auto"/>
              </w:rPr>
              <w:t>$369,970</w:t>
            </w:r>
          </w:p>
        </w:tc>
        <w:tc>
          <w:tcPr>
            <w:tcW w:w="44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FFF3CE"/>
          </w:tcPr>
          <w:p>
            <w:pPr>
              <w:jc w:val="right"/>
              <w:ind w:right="134"/>
              <w:spacing w:after="0"/>
              <w:rPr>
                <w:sz w:val="20"/>
                <w:szCs w:val="20"/>
                <w:color w:val="auto"/>
              </w:rPr>
            </w:pPr>
            <w:r>
              <w:rPr>
                <w:rFonts w:ascii="Arial" w:cs="Arial" w:eastAsia="Arial" w:hAnsi="Arial"/>
                <w:sz w:val="18"/>
                <w:szCs w:val="18"/>
                <w:color w:val="auto"/>
              </w:rPr>
              <w:t>300,000</w:t>
            </w:r>
          </w:p>
        </w:tc>
        <w:tc>
          <w:tcPr>
            <w:tcW w:w="44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FFF3CE"/>
          </w:tcPr>
          <w:p>
            <w:pPr>
              <w:jc w:val="right"/>
              <w:ind w:right="136"/>
              <w:spacing w:after="0"/>
              <w:rPr>
                <w:sz w:val="20"/>
                <w:szCs w:val="20"/>
                <w:color w:val="auto"/>
              </w:rPr>
            </w:pPr>
            <w:r>
              <w:rPr>
                <w:rFonts w:ascii="Arial" w:cs="Arial" w:eastAsia="Arial" w:hAnsi="Arial"/>
                <w:sz w:val="18"/>
                <w:szCs w:val="18"/>
                <w:color w:val="auto"/>
              </w:rPr>
              <w:t>3,806</w:t>
            </w:r>
          </w:p>
        </w:tc>
        <w:tc>
          <w:tcPr>
            <w:tcW w:w="200" w:type="dxa"/>
            <w:vAlign w:val="bottom"/>
            <w:shd w:val="clear" w:color="auto" w:fill="FFF3CE"/>
          </w:tcPr>
          <w:p>
            <w:pPr>
              <w:spacing w:after="0"/>
              <w:rPr>
                <w:sz w:val="21"/>
                <w:szCs w:val="21"/>
                <w:color w:val="auto"/>
              </w:rPr>
            </w:pPr>
          </w:p>
        </w:tc>
        <w:tc>
          <w:tcPr>
            <w:tcW w:w="220" w:type="dxa"/>
            <w:vAlign w:val="bottom"/>
            <w:shd w:val="clear" w:color="auto" w:fill="FFF3CE"/>
          </w:tcPr>
          <w:p>
            <w:pPr>
              <w:spacing w:after="0"/>
              <w:rPr>
                <w:sz w:val="21"/>
                <w:szCs w:val="21"/>
                <w:color w:val="auto"/>
              </w:rPr>
            </w:pPr>
          </w:p>
        </w:tc>
        <w:tc>
          <w:tcPr>
            <w:tcW w:w="700" w:type="dxa"/>
            <w:vAlign w:val="bottom"/>
            <w:shd w:val="clear" w:color="auto" w:fill="FFF3CE"/>
          </w:tcPr>
          <w:p>
            <w:pPr>
              <w:jc w:val="right"/>
              <w:spacing w:after="0"/>
              <w:rPr>
                <w:sz w:val="20"/>
                <w:szCs w:val="20"/>
                <w:color w:val="auto"/>
              </w:rPr>
            </w:pPr>
            <w:r>
              <w:rPr>
                <w:rFonts w:ascii="Arial" w:cs="Arial" w:eastAsia="Arial" w:hAnsi="Arial"/>
                <w:sz w:val="18"/>
                <w:szCs w:val="18"/>
                <w:color w:val="auto"/>
              </w:rPr>
              <w:t>0</w:t>
            </w:r>
          </w:p>
        </w:tc>
        <w:tc>
          <w:tcPr>
            <w:tcW w:w="1580" w:type="dxa"/>
            <w:vAlign w:val="bottom"/>
            <w:gridSpan w:val="3"/>
            <w:shd w:val="clear" w:color="auto" w:fill="FFF3CE"/>
          </w:tcPr>
          <w:p>
            <w:pPr>
              <w:jc w:val="right"/>
              <w:ind w:right="152"/>
              <w:spacing w:after="0"/>
              <w:rPr>
                <w:sz w:val="20"/>
                <w:szCs w:val="20"/>
                <w:color w:val="auto"/>
              </w:rPr>
            </w:pPr>
            <w:r>
              <w:rPr>
                <w:rFonts w:ascii="Arial" w:cs="Arial" w:eastAsia="Arial" w:hAnsi="Arial"/>
                <w:sz w:val="18"/>
                <w:szCs w:val="18"/>
                <w:color w:val="auto"/>
              </w:rPr>
              <w:t>375,000</w:t>
            </w:r>
          </w:p>
        </w:tc>
        <w:tc>
          <w:tcPr>
            <w:tcW w:w="880" w:type="dxa"/>
            <w:vAlign w:val="bottom"/>
            <w:gridSpan w:val="2"/>
            <w:shd w:val="clear" w:color="auto" w:fill="FFF3CE"/>
          </w:tcPr>
          <w:p>
            <w:pPr>
              <w:jc w:val="right"/>
              <w:ind w:right="172"/>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FFF3CE"/>
          </w:tcPr>
          <w:p>
            <w:pPr>
              <w:jc w:val="right"/>
              <w:ind w:right="134"/>
              <w:spacing w:after="0"/>
              <w:rPr>
                <w:sz w:val="20"/>
                <w:szCs w:val="20"/>
                <w:color w:val="auto"/>
              </w:rPr>
            </w:pPr>
            <w:r>
              <w:rPr>
                <w:rFonts w:ascii="Arial" w:cs="Arial" w:eastAsia="Arial" w:hAnsi="Arial"/>
                <w:sz w:val="18"/>
                <w:szCs w:val="18"/>
                <w:color w:val="auto"/>
              </w:rPr>
              <w:t>18,279</w:t>
            </w:r>
          </w:p>
        </w:tc>
      </w:tr>
      <w:tr>
        <w:trPr>
          <w:trHeight w:val="485"/>
        </w:trPr>
        <w:tc>
          <w:tcPr>
            <w:tcW w:w="2120" w:type="dxa"/>
            <w:vAlign w:val="bottom"/>
            <w:gridSpan w:val="2"/>
          </w:tcPr>
          <w:p>
            <w:pPr>
              <w:spacing w:after="0"/>
              <w:rPr>
                <w:sz w:val="20"/>
                <w:szCs w:val="20"/>
                <w:color w:val="auto"/>
              </w:rPr>
            </w:pPr>
            <w:r>
              <w:rPr>
                <w:rFonts w:ascii="Arial" w:cs="Arial" w:eastAsia="Arial" w:hAnsi="Arial"/>
                <w:sz w:val="18"/>
                <w:szCs w:val="18"/>
                <w:color w:val="auto"/>
              </w:rPr>
              <w:t>G.A. Lowe</w:t>
            </w: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2005</w:t>
            </w:r>
          </w:p>
        </w:tc>
        <w:tc>
          <w:tcPr>
            <w:tcW w:w="1220" w:type="dxa"/>
            <w:vAlign w:val="bottom"/>
            <w:gridSpan w:val="2"/>
          </w:tcPr>
          <w:p>
            <w:pPr>
              <w:jc w:val="right"/>
              <w:ind w:right="132"/>
              <w:spacing w:after="0"/>
              <w:rPr>
                <w:sz w:val="20"/>
                <w:szCs w:val="20"/>
                <w:color w:val="auto"/>
              </w:rPr>
            </w:pPr>
            <w:r>
              <w:rPr>
                <w:rFonts w:ascii="Arial" w:cs="Arial" w:eastAsia="Arial" w:hAnsi="Arial"/>
                <w:sz w:val="18"/>
                <w:szCs w:val="18"/>
                <w:color w:val="auto"/>
              </w:rPr>
              <w:t>$405,041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850,000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6"/>
              <w:spacing w:after="0"/>
              <w:rPr>
                <w:sz w:val="20"/>
                <w:szCs w:val="20"/>
                <w:color w:val="auto"/>
              </w:rPr>
            </w:pPr>
            <w:r>
              <w:rPr>
                <w:rFonts w:ascii="Arial" w:cs="Arial" w:eastAsia="Arial" w:hAnsi="Arial"/>
                <w:sz w:val="18"/>
                <w:szCs w:val="18"/>
                <w:color w:val="auto"/>
              </w:rPr>
              <w:t>1,219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1,069,000</w:t>
            </w:r>
          </w:p>
        </w:tc>
        <w:tc>
          <w:tcPr>
            <w:tcW w:w="1580" w:type="dxa"/>
            <w:vAlign w:val="bottom"/>
            <w:gridSpan w:val="3"/>
          </w:tcPr>
          <w:p>
            <w:pPr>
              <w:jc w:val="right"/>
              <w:ind w:right="152"/>
              <w:spacing w:after="0"/>
              <w:rPr>
                <w:sz w:val="20"/>
                <w:szCs w:val="20"/>
                <w:color w:val="auto"/>
              </w:rPr>
            </w:pPr>
            <w:r>
              <w:rPr>
                <w:rFonts w:ascii="Arial" w:cs="Arial" w:eastAsia="Arial" w:hAnsi="Arial"/>
                <w:sz w:val="18"/>
                <w:szCs w:val="18"/>
                <w:color w:val="auto"/>
              </w:rPr>
              <w:t>100,000</w:t>
            </w:r>
          </w:p>
        </w:tc>
        <w:tc>
          <w:tcPr>
            <w:tcW w:w="880" w:type="dxa"/>
            <w:vAlign w:val="bottom"/>
            <w:gridSpan w:val="2"/>
          </w:tcPr>
          <w:p>
            <w:pPr>
              <w:jc w:val="right"/>
              <w:ind w:right="172"/>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4"/>
              <w:spacing w:after="0"/>
              <w:rPr>
                <w:sz w:val="20"/>
                <w:szCs w:val="20"/>
                <w:color w:val="auto"/>
              </w:rPr>
            </w:pPr>
            <w:r>
              <w:rPr>
                <w:rFonts w:ascii="Arial" w:cs="Arial" w:eastAsia="Arial" w:hAnsi="Arial"/>
                <w:sz w:val="18"/>
                <w:szCs w:val="18"/>
                <w:color w:val="auto"/>
              </w:rPr>
              <w:t>44,520</w:t>
            </w:r>
          </w:p>
        </w:tc>
      </w:tr>
      <w:tr>
        <w:trPr>
          <w:trHeight w:val="244"/>
        </w:trPr>
        <w:tc>
          <w:tcPr>
            <w:tcW w:w="212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Senior Vice</w:t>
            </w:r>
          </w:p>
        </w:tc>
        <w:tc>
          <w:tcPr>
            <w:tcW w:w="78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4"/>
              </w:rPr>
              <w:t>2004</w:t>
            </w:r>
          </w:p>
        </w:tc>
        <w:tc>
          <w:tcPr>
            <w:tcW w:w="1220" w:type="dxa"/>
            <w:vAlign w:val="bottom"/>
            <w:gridSpan w:val="2"/>
            <w:shd w:val="clear" w:color="auto" w:fill="FFF3CE"/>
          </w:tcPr>
          <w:p>
            <w:pPr>
              <w:jc w:val="right"/>
              <w:ind w:right="132"/>
              <w:spacing w:after="0"/>
              <w:rPr>
                <w:sz w:val="20"/>
                <w:szCs w:val="20"/>
                <w:color w:val="auto"/>
              </w:rPr>
            </w:pPr>
            <w:r>
              <w:rPr>
                <w:rFonts w:ascii="Arial" w:cs="Arial" w:eastAsia="Arial" w:hAnsi="Arial"/>
                <w:sz w:val="18"/>
                <w:szCs w:val="18"/>
                <w:color w:val="auto"/>
              </w:rPr>
              <w:t>$346,040</w:t>
            </w:r>
          </w:p>
        </w:tc>
        <w:tc>
          <w:tcPr>
            <w:tcW w:w="44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FFF3CE"/>
          </w:tcPr>
          <w:p>
            <w:pPr>
              <w:jc w:val="right"/>
              <w:ind w:right="134"/>
              <w:spacing w:after="0"/>
              <w:rPr>
                <w:sz w:val="20"/>
                <w:szCs w:val="20"/>
                <w:color w:val="auto"/>
              </w:rPr>
            </w:pPr>
            <w:r>
              <w:rPr>
                <w:rFonts w:ascii="Arial" w:cs="Arial" w:eastAsia="Arial" w:hAnsi="Arial"/>
                <w:sz w:val="18"/>
                <w:szCs w:val="18"/>
                <w:color w:val="auto"/>
              </w:rPr>
              <w:t>500,000</w:t>
            </w:r>
          </w:p>
        </w:tc>
        <w:tc>
          <w:tcPr>
            <w:tcW w:w="44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FFF3CE"/>
          </w:tcPr>
          <w:p>
            <w:pPr>
              <w:jc w:val="right"/>
              <w:ind w:right="136"/>
              <w:spacing w:after="0"/>
              <w:rPr>
                <w:sz w:val="20"/>
                <w:szCs w:val="20"/>
                <w:color w:val="auto"/>
              </w:rPr>
            </w:pPr>
            <w:r>
              <w:rPr>
                <w:rFonts w:ascii="Arial" w:cs="Arial" w:eastAsia="Arial" w:hAnsi="Arial"/>
                <w:sz w:val="18"/>
                <w:szCs w:val="18"/>
                <w:color w:val="auto"/>
              </w:rPr>
              <w:t>3,935</w:t>
            </w:r>
          </w:p>
        </w:tc>
        <w:tc>
          <w:tcPr>
            <w:tcW w:w="42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FFF3CE"/>
          </w:tcPr>
          <w:p>
            <w:pPr>
              <w:jc w:val="right"/>
              <w:spacing w:after="0"/>
              <w:rPr>
                <w:sz w:val="20"/>
                <w:szCs w:val="20"/>
                <w:color w:val="auto"/>
              </w:rPr>
            </w:pPr>
            <w:r>
              <w:rPr>
                <w:rFonts w:ascii="Arial" w:cs="Arial" w:eastAsia="Arial" w:hAnsi="Arial"/>
                <w:sz w:val="18"/>
                <w:szCs w:val="18"/>
                <w:color w:val="auto"/>
              </w:rPr>
              <w:t>974,400</w:t>
            </w:r>
          </w:p>
        </w:tc>
        <w:tc>
          <w:tcPr>
            <w:tcW w:w="1580" w:type="dxa"/>
            <w:vAlign w:val="bottom"/>
            <w:gridSpan w:val="3"/>
            <w:shd w:val="clear" w:color="auto" w:fill="FFF3CE"/>
          </w:tcPr>
          <w:p>
            <w:pPr>
              <w:jc w:val="right"/>
              <w:ind w:right="152"/>
              <w:spacing w:after="0"/>
              <w:rPr>
                <w:sz w:val="20"/>
                <w:szCs w:val="20"/>
                <w:color w:val="auto"/>
              </w:rPr>
            </w:pPr>
            <w:r>
              <w:rPr>
                <w:rFonts w:ascii="Arial" w:cs="Arial" w:eastAsia="Arial" w:hAnsi="Arial"/>
                <w:sz w:val="18"/>
                <w:szCs w:val="18"/>
                <w:color w:val="auto"/>
              </w:rPr>
              <w:t>150,000</w:t>
            </w:r>
          </w:p>
        </w:tc>
        <w:tc>
          <w:tcPr>
            <w:tcW w:w="880" w:type="dxa"/>
            <w:vAlign w:val="bottom"/>
            <w:gridSpan w:val="2"/>
            <w:shd w:val="clear" w:color="auto" w:fill="FFF3CE"/>
          </w:tcPr>
          <w:p>
            <w:pPr>
              <w:jc w:val="right"/>
              <w:ind w:right="172"/>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FFF3CE"/>
          </w:tcPr>
          <w:p>
            <w:pPr>
              <w:jc w:val="right"/>
              <w:ind w:right="134"/>
              <w:spacing w:after="0"/>
              <w:rPr>
                <w:sz w:val="20"/>
                <w:szCs w:val="20"/>
                <w:color w:val="auto"/>
              </w:rPr>
            </w:pPr>
            <w:r>
              <w:rPr>
                <w:rFonts w:ascii="Arial" w:cs="Arial" w:eastAsia="Arial" w:hAnsi="Arial"/>
                <w:sz w:val="18"/>
                <w:szCs w:val="18"/>
                <w:color w:val="auto"/>
              </w:rPr>
              <w:t>66,190</w:t>
            </w:r>
          </w:p>
        </w:tc>
      </w:tr>
      <w:tr>
        <w:trPr>
          <w:trHeight w:val="241"/>
        </w:trPr>
        <w:tc>
          <w:tcPr>
            <w:tcW w:w="212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2003</w:t>
            </w:r>
          </w:p>
        </w:tc>
        <w:tc>
          <w:tcPr>
            <w:tcW w:w="1220" w:type="dxa"/>
            <w:vAlign w:val="bottom"/>
            <w:gridSpan w:val="2"/>
          </w:tcPr>
          <w:p>
            <w:pPr>
              <w:jc w:val="right"/>
              <w:ind w:right="132"/>
              <w:spacing w:after="0"/>
              <w:rPr>
                <w:sz w:val="20"/>
                <w:szCs w:val="20"/>
                <w:color w:val="auto"/>
              </w:rPr>
            </w:pPr>
            <w:r>
              <w:rPr>
                <w:rFonts w:ascii="Arial" w:cs="Arial" w:eastAsia="Arial" w:hAnsi="Arial"/>
                <w:sz w:val="18"/>
                <w:szCs w:val="18"/>
                <w:color w:val="auto"/>
              </w:rPr>
              <w:t>$295,570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300,000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6"/>
              <w:spacing w:after="0"/>
              <w:rPr>
                <w:sz w:val="20"/>
                <w:szCs w:val="20"/>
                <w:color w:val="auto"/>
              </w:rPr>
            </w:pPr>
            <w:r>
              <w:rPr>
                <w:rFonts w:ascii="Arial" w:cs="Arial" w:eastAsia="Arial" w:hAnsi="Arial"/>
                <w:sz w:val="18"/>
                <w:szCs w:val="18"/>
                <w:color w:val="auto"/>
              </w:rPr>
              <w:t>1,438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1580" w:type="dxa"/>
            <w:vAlign w:val="bottom"/>
            <w:gridSpan w:val="3"/>
          </w:tcPr>
          <w:p>
            <w:pPr>
              <w:jc w:val="right"/>
              <w:ind w:right="152"/>
              <w:spacing w:after="0"/>
              <w:rPr>
                <w:sz w:val="20"/>
                <w:szCs w:val="20"/>
                <w:color w:val="auto"/>
              </w:rPr>
            </w:pPr>
            <w:r>
              <w:rPr>
                <w:rFonts w:ascii="Arial" w:cs="Arial" w:eastAsia="Arial" w:hAnsi="Arial"/>
                <w:sz w:val="18"/>
                <w:szCs w:val="18"/>
                <w:color w:val="auto"/>
              </w:rPr>
              <w:t>300,000</w:t>
            </w:r>
          </w:p>
        </w:tc>
        <w:tc>
          <w:tcPr>
            <w:tcW w:w="880" w:type="dxa"/>
            <w:vAlign w:val="bottom"/>
            <w:gridSpan w:val="2"/>
          </w:tcPr>
          <w:p>
            <w:pPr>
              <w:jc w:val="right"/>
              <w:ind w:right="172"/>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4"/>
              <w:spacing w:after="0"/>
              <w:rPr>
                <w:sz w:val="20"/>
                <w:szCs w:val="20"/>
                <w:color w:val="auto"/>
              </w:rPr>
            </w:pPr>
            <w:r>
              <w:rPr>
                <w:rFonts w:ascii="Arial" w:cs="Arial" w:eastAsia="Arial" w:hAnsi="Arial"/>
                <w:sz w:val="18"/>
                <w:szCs w:val="18"/>
                <w:color w:val="auto"/>
              </w:rPr>
              <w:t>4,020</w:t>
            </w:r>
          </w:p>
        </w:tc>
      </w:tr>
      <w:tr>
        <w:trPr>
          <w:trHeight w:val="245"/>
        </w:trPr>
        <w:tc>
          <w:tcPr>
            <w:tcW w:w="1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212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K.J. Ritchie (5)</w:t>
            </w:r>
          </w:p>
        </w:tc>
        <w:tc>
          <w:tcPr>
            <w:tcW w:w="78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4"/>
              </w:rPr>
              <w:t>2005</w:t>
            </w:r>
          </w:p>
        </w:tc>
        <w:tc>
          <w:tcPr>
            <w:tcW w:w="1220" w:type="dxa"/>
            <w:vAlign w:val="bottom"/>
            <w:gridSpan w:val="2"/>
            <w:shd w:val="clear" w:color="auto" w:fill="FFF3CE"/>
          </w:tcPr>
          <w:p>
            <w:pPr>
              <w:jc w:val="right"/>
              <w:ind w:right="132"/>
              <w:spacing w:after="0"/>
              <w:rPr>
                <w:sz w:val="20"/>
                <w:szCs w:val="20"/>
                <w:color w:val="auto"/>
              </w:rPr>
            </w:pPr>
            <w:r>
              <w:rPr>
                <w:rFonts w:ascii="Arial" w:cs="Arial" w:eastAsia="Arial" w:hAnsi="Arial"/>
                <w:sz w:val="18"/>
                <w:szCs w:val="18"/>
                <w:color w:val="auto"/>
              </w:rPr>
              <w:t>$396,740</w:t>
            </w:r>
          </w:p>
        </w:tc>
        <w:tc>
          <w:tcPr>
            <w:tcW w:w="44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FFF3CE"/>
          </w:tcPr>
          <w:p>
            <w:pPr>
              <w:jc w:val="right"/>
              <w:ind w:right="134"/>
              <w:spacing w:after="0"/>
              <w:rPr>
                <w:sz w:val="20"/>
                <w:szCs w:val="20"/>
                <w:color w:val="auto"/>
              </w:rPr>
            </w:pPr>
            <w:r>
              <w:rPr>
                <w:rFonts w:ascii="Arial" w:cs="Arial" w:eastAsia="Arial" w:hAnsi="Arial"/>
                <w:sz w:val="18"/>
                <w:szCs w:val="18"/>
                <w:color w:val="auto"/>
              </w:rPr>
              <w:t>750,000</w:t>
            </w:r>
          </w:p>
        </w:tc>
        <w:tc>
          <w:tcPr>
            <w:tcW w:w="44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FFF3CE"/>
          </w:tcPr>
          <w:p>
            <w:pPr>
              <w:jc w:val="right"/>
              <w:ind w:right="136"/>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FFF3CE"/>
          </w:tcPr>
          <w:p>
            <w:pPr>
              <w:jc w:val="right"/>
              <w:spacing w:after="0"/>
              <w:rPr>
                <w:sz w:val="20"/>
                <w:szCs w:val="20"/>
                <w:color w:val="auto"/>
              </w:rPr>
            </w:pPr>
            <w:r>
              <w:rPr>
                <w:rFonts w:ascii="Arial" w:cs="Arial" w:eastAsia="Arial" w:hAnsi="Arial"/>
                <w:sz w:val="18"/>
                <w:szCs w:val="18"/>
                <w:color w:val="auto"/>
                <w:w w:val="84"/>
              </w:rPr>
              <w:t>1,069,000</w:t>
            </w:r>
          </w:p>
        </w:tc>
        <w:tc>
          <w:tcPr>
            <w:tcW w:w="1580" w:type="dxa"/>
            <w:vAlign w:val="bottom"/>
            <w:gridSpan w:val="3"/>
            <w:shd w:val="clear" w:color="auto" w:fill="FFF3CE"/>
          </w:tcPr>
          <w:p>
            <w:pPr>
              <w:jc w:val="right"/>
              <w:ind w:right="152"/>
              <w:spacing w:after="0"/>
              <w:rPr>
                <w:sz w:val="20"/>
                <w:szCs w:val="20"/>
                <w:color w:val="auto"/>
              </w:rPr>
            </w:pPr>
            <w:r>
              <w:rPr>
                <w:rFonts w:ascii="Arial" w:cs="Arial" w:eastAsia="Arial" w:hAnsi="Arial"/>
                <w:sz w:val="18"/>
                <w:szCs w:val="18"/>
                <w:color w:val="auto"/>
              </w:rPr>
              <w:t>100,000</w:t>
            </w:r>
          </w:p>
        </w:tc>
        <w:tc>
          <w:tcPr>
            <w:tcW w:w="880" w:type="dxa"/>
            <w:vAlign w:val="bottom"/>
            <w:gridSpan w:val="2"/>
            <w:shd w:val="clear" w:color="auto" w:fill="FFF3CE"/>
          </w:tcPr>
          <w:p>
            <w:pPr>
              <w:jc w:val="right"/>
              <w:ind w:right="172"/>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FFF3CE"/>
          </w:tcPr>
          <w:p>
            <w:pPr>
              <w:jc w:val="right"/>
              <w:ind w:right="134"/>
              <w:spacing w:after="0"/>
              <w:rPr>
                <w:sz w:val="20"/>
                <w:szCs w:val="20"/>
                <w:color w:val="auto"/>
              </w:rPr>
            </w:pPr>
            <w:r>
              <w:rPr>
                <w:rFonts w:ascii="Arial" w:cs="Arial" w:eastAsia="Arial" w:hAnsi="Arial"/>
                <w:sz w:val="18"/>
                <w:szCs w:val="18"/>
                <w:color w:val="auto"/>
              </w:rPr>
              <w:t>40,346</w:t>
            </w:r>
          </w:p>
        </w:tc>
      </w:tr>
      <w:tr>
        <w:trPr>
          <w:trHeight w:val="242"/>
        </w:trPr>
        <w:tc>
          <w:tcPr>
            <w:tcW w:w="2120" w:type="dxa"/>
            <w:vAlign w:val="bottom"/>
            <w:gridSpan w:val="2"/>
          </w:tcPr>
          <w:p>
            <w:pPr>
              <w:spacing w:after="0"/>
              <w:rPr>
                <w:sz w:val="20"/>
                <w:szCs w:val="20"/>
                <w:color w:val="auto"/>
              </w:rPr>
            </w:pPr>
            <w:r>
              <w:rPr>
                <w:rFonts w:ascii="Arial" w:cs="Arial" w:eastAsia="Arial" w:hAnsi="Arial"/>
                <w:sz w:val="18"/>
                <w:szCs w:val="18"/>
                <w:color w:val="auto"/>
              </w:rPr>
              <w:t>Senior Vice</w:t>
            </w: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2004</w:t>
            </w:r>
          </w:p>
        </w:tc>
        <w:tc>
          <w:tcPr>
            <w:tcW w:w="1220" w:type="dxa"/>
            <w:vAlign w:val="bottom"/>
            <w:gridSpan w:val="2"/>
          </w:tcPr>
          <w:p>
            <w:pPr>
              <w:jc w:val="right"/>
              <w:ind w:right="132"/>
              <w:spacing w:after="0"/>
              <w:rPr>
                <w:sz w:val="20"/>
                <w:szCs w:val="20"/>
                <w:color w:val="auto"/>
              </w:rPr>
            </w:pPr>
            <w:r>
              <w:rPr>
                <w:rFonts w:ascii="Arial" w:cs="Arial" w:eastAsia="Arial" w:hAnsi="Arial"/>
                <w:sz w:val="18"/>
                <w:szCs w:val="18"/>
                <w:color w:val="auto"/>
              </w:rPr>
              <w:t>$355,000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500,000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6"/>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974,400</w:t>
            </w:r>
          </w:p>
        </w:tc>
        <w:tc>
          <w:tcPr>
            <w:tcW w:w="1580" w:type="dxa"/>
            <w:vAlign w:val="bottom"/>
            <w:gridSpan w:val="3"/>
          </w:tcPr>
          <w:p>
            <w:pPr>
              <w:jc w:val="right"/>
              <w:ind w:right="152"/>
              <w:spacing w:after="0"/>
              <w:rPr>
                <w:sz w:val="20"/>
                <w:szCs w:val="20"/>
                <w:color w:val="auto"/>
              </w:rPr>
            </w:pPr>
            <w:r>
              <w:rPr>
                <w:rFonts w:ascii="Arial" w:cs="Arial" w:eastAsia="Arial" w:hAnsi="Arial"/>
                <w:sz w:val="18"/>
                <w:szCs w:val="18"/>
                <w:color w:val="auto"/>
              </w:rPr>
              <w:t>150,000</w:t>
            </w:r>
          </w:p>
        </w:tc>
        <w:tc>
          <w:tcPr>
            <w:tcW w:w="880" w:type="dxa"/>
            <w:vAlign w:val="bottom"/>
            <w:gridSpan w:val="2"/>
          </w:tcPr>
          <w:p>
            <w:pPr>
              <w:jc w:val="right"/>
              <w:ind w:right="172"/>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4"/>
              <w:spacing w:after="0"/>
              <w:rPr>
                <w:sz w:val="20"/>
                <w:szCs w:val="20"/>
                <w:color w:val="auto"/>
              </w:rPr>
            </w:pPr>
            <w:r>
              <w:rPr>
                <w:rFonts w:ascii="Arial" w:cs="Arial" w:eastAsia="Arial" w:hAnsi="Arial"/>
                <w:sz w:val="18"/>
                <w:szCs w:val="18"/>
                <w:color w:val="auto"/>
              </w:rPr>
              <w:t>66,135</w:t>
            </w:r>
          </w:p>
        </w:tc>
      </w:tr>
      <w:tr>
        <w:trPr>
          <w:trHeight w:val="244"/>
        </w:trPr>
        <w:tc>
          <w:tcPr>
            <w:tcW w:w="212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President</w:t>
            </w:r>
          </w:p>
        </w:tc>
        <w:tc>
          <w:tcPr>
            <w:tcW w:w="780" w:type="dxa"/>
            <w:vAlign w:val="bottom"/>
            <w:shd w:val="clear" w:color="auto" w:fill="FFF3CE"/>
          </w:tcPr>
          <w:p>
            <w:pPr>
              <w:spacing w:after="0"/>
              <w:rPr>
                <w:sz w:val="21"/>
                <w:szCs w:val="21"/>
                <w:color w:val="auto"/>
              </w:rPr>
            </w:pPr>
          </w:p>
        </w:tc>
        <w:tc>
          <w:tcPr>
            <w:tcW w:w="220" w:type="dxa"/>
            <w:vAlign w:val="bottom"/>
            <w:shd w:val="clear" w:color="auto" w:fill="FFF3CE"/>
          </w:tcPr>
          <w:p>
            <w:pPr>
              <w:spacing w:after="0"/>
              <w:rPr>
                <w:sz w:val="21"/>
                <w:szCs w:val="21"/>
                <w:color w:val="auto"/>
              </w:rPr>
            </w:pPr>
          </w:p>
        </w:tc>
        <w:tc>
          <w:tcPr>
            <w:tcW w:w="1000" w:type="dxa"/>
            <w:vAlign w:val="bottom"/>
            <w:shd w:val="clear" w:color="auto" w:fill="FFF3CE"/>
          </w:tcPr>
          <w:p>
            <w:pPr>
              <w:spacing w:after="0"/>
              <w:rPr>
                <w:sz w:val="21"/>
                <w:szCs w:val="21"/>
                <w:color w:val="auto"/>
              </w:rPr>
            </w:pPr>
          </w:p>
        </w:tc>
        <w:tc>
          <w:tcPr>
            <w:tcW w:w="220" w:type="dxa"/>
            <w:vAlign w:val="bottom"/>
            <w:shd w:val="clear" w:color="auto" w:fill="FFF3CE"/>
          </w:tcPr>
          <w:p>
            <w:pPr>
              <w:spacing w:after="0"/>
              <w:rPr>
                <w:sz w:val="21"/>
                <w:szCs w:val="21"/>
                <w:color w:val="auto"/>
              </w:rPr>
            </w:pPr>
          </w:p>
        </w:tc>
        <w:tc>
          <w:tcPr>
            <w:tcW w:w="220" w:type="dxa"/>
            <w:vAlign w:val="bottom"/>
            <w:shd w:val="clear" w:color="auto" w:fill="FFF3CE"/>
          </w:tcPr>
          <w:p>
            <w:pPr>
              <w:spacing w:after="0"/>
              <w:rPr>
                <w:sz w:val="21"/>
                <w:szCs w:val="21"/>
                <w:color w:val="auto"/>
              </w:rPr>
            </w:pPr>
          </w:p>
        </w:tc>
        <w:tc>
          <w:tcPr>
            <w:tcW w:w="920" w:type="dxa"/>
            <w:vAlign w:val="bottom"/>
            <w:shd w:val="clear" w:color="auto" w:fill="FFF3CE"/>
          </w:tcPr>
          <w:p>
            <w:pPr>
              <w:spacing w:after="0"/>
              <w:rPr>
                <w:sz w:val="21"/>
                <w:szCs w:val="21"/>
                <w:color w:val="auto"/>
              </w:rPr>
            </w:pPr>
          </w:p>
        </w:tc>
        <w:tc>
          <w:tcPr>
            <w:tcW w:w="220" w:type="dxa"/>
            <w:vAlign w:val="bottom"/>
            <w:shd w:val="clear" w:color="auto" w:fill="FFF3CE"/>
          </w:tcPr>
          <w:p>
            <w:pPr>
              <w:spacing w:after="0"/>
              <w:rPr>
                <w:sz w:val="21"/>
                <w:szCs w:val="21"/>
                <w:color w:val="auto"/>
              </w:rPr>
            </w:pPr>
          </w:p>
        </w:tc>
        <w:tc>
          <w:tcPr>
            <w:tcW w:w="220" w:type="dxa"/>
            <w:vAlign w:val="bottom"/>
            <w:shd w:val="clear" w:color="auto" w:fill="FFF3CE"/>
          </w:tcPr>
          <w:p>
            <w:pPr>
              <w:spacing w:after="0"/>
              <w:rPr>
                <w:sz w:val="21"/>
                <w:szCs w:val="21"/>
                <w:color w:val="auto"/>
              </w:rPr>
            </w:pPr>
          </w:p>
        </w:tc>
        <w:tc>
          <w:tcPr>
            <w:tcW w:w="700" w:type="dxa"/>
            <w:vAlign w:val="bottom"/>
            <w:shd w:val="clear" w:color="auto" w:fill="FFF3CE"/>
          </w:tcPr>
          <w:p>
            <w:pPr>
              <w:spacing w:after="0"/>
              <w:rPr>
                <w:sz w:val="21"/>
                <w:szCs w:val="21"/>
                <w:color w:val="auto"/>
              </w:rPr>
            </w:pPr>
          </w:p>
        </w:tc>
        <w:tc>
          <w:tcPr>
            <w:tcW w:w="200" w:type="dxa"/>
            <w:vAlign w:val="bottom"/>
            <w:shd w:val="clear" w:color="auto" w:fill="FFF3CE"/>
          </w:tcPr>
          <w:p>
            <w:pPr>
              <w:spacing w:after="0"/>
              <w:rPr>
                <w:sz w:val="21"/>
                <w:szCs w:val="21"/>
                <w:color w:val="auto"/>
              </w:rPr>
            </w:pPr>
          </w:p>
        </w:tc>
        <w:tc>
          <w:tcPr>
            <w:tcW w:w="220" w:type="dxa"/>
            <w:vAlign w:val="bottom"/>
            <w:shd w:val="clear" w:color="auto" w:fill="FFF3CE"/>
          </w:tcPr>
          <w:p>
            <w:pPr>
              <w:spacing w:after="0"/>
              <w:rPr>
                <w:sz w:val="21"/>
                <w:szCs w:val="21"/>
                <w:color w:val="auto"/>
              </w:rPr>
            </w:pPr>
          </w:p>
        </w:tc>
        <w:tc>
          <w:tcPr>
            <w:tcW w:w="700" w:type="dxa"/>
            <w:vAlign w:val="bottom"/>
            <w:shd w:val="clear" w:color="auto" w:fill="FFF3CE"/>
          </w:tcPr>
          <w:p>
            <w:pPr>
              <w:spacing w:after="0"/>
              <w:rPr>
                <w:sz w:val="21"/>
                <w:szCs w:val="21"/>
                <w:color w:val="auto"/>
              </w:rPr>
            </w:pPr>
          </w:p>
        </w:tc>
        <w:tc>
          <w:tcPr>
            <w:tcW w:w="220" w:type="dxa"/>
            <w:vAlign w:val="bottom"/>
            <w:shd w:val="clear" w:color="auto" w:fill="FFF3CE"/>
          </w:tcPr>
          <w:p>
            <w:pPr>
              <w:spacing w:after="0"/>
              <w:rPr>
                <w:sz w:val="21"/>
                <w:szCs w:val="21"/>
                <w:color w:val="auto"/>
              </w:rPr>
            </w:pPr>
          </w:p>
        </w:tc>
        <w:tc>
          <w:tcPr>
            <w:tcW w:w="220" w:type="dxa"/>
            <w:vAlign w:val="bottom"/>
            <w:shd w:val="clear" w:color="auto" w:fill="FFF3CE"/>
          </w:tcPr>
          <w:p>
            <w:pPr>
              <w:spacing w:after="0"/>
              <w:rPr>
                <w:sz w:val="21"/>
                <w:szCs w:val="21"/>
                <w:color w:val="auto"/>
              </w:rPr>
            </w:pPr>
          </w:p>
        </w:tc>
        <w:tc>
          <w:tcPr>
            <w:tcW w:w="1140" w:type="dxa"/>
            <w:vAlign w:val="bottom"/>
            <w:shd w:val="clear" w:color="auto" w:fill="FFF3CE"/>
          </w:tcPr>
          <w:p>
            <w:pPr>
              <w:spacing w:after="0"/>
              <w:rPr>
                <w:sz w:val="21"/>
                <w:szCs w:val="21"/>
                <w:color w:val="auto"/>
              </w:rPr>
            </w:pPr>
          </w:p>
        </w:tc>
        <w:tc>
          <w:tcPr>
            <w:tcW w:w="200" w:type="dxa"/>
            <w:vAlign w:val="bottom"/>
            <w:shd w:val="clear" w:color="auto" w:fill="FFF3CE"/>
          </w:tcPr>
          <w:p>
            <w:pPr>
              <w:spacing w:after="0"/>
              <w:rPr>
                <w:sz w:val="21"/>
                <w:szCs w:val="21"/>
                <w:color w:val="auto"/>
              </w:rPr>
            </w:pPr>
          </w:p>
        </w:tc>
        <w:tc>
          <w:tcPr>
            <w:tcW w:w="680" w:type="dxa"/>
            <w:vAlign w:val="bottom"/>
            <w:shd w:val="clear" w:color="auto" w:fill="FFF3CE"/>
          </w:tcPr>
          <w:p>
            <w:pPr>
              <w:spacing w:after="0"/>
              <w:rPr>
                <w:sz w:val="21"/>
                <w:szCs w:val="21"/>
                <w:color w:val="auto"/>
              </w:rPr>
            </w:pPr>
          </w:p>
        </w:tc>
        <w:tc>
          <w:tcPr>
            <w:tcW w:w="200" w:type="dxa"/>
            <w:vAlign w:val="bottom"/>
            <w:shd w:val="clear" w:color="auto" w:fill="FFF3CE"/>
          </w:tcPr>
          <w:p>
            <w:pPr>
              <w:spacing w:after="0"/>
              <w:rPr>
                <w:sz w:val="21"/>
                <w:szCs w:val="21"/>
                <w:color w:val="auto"/>
              </w:rPr>
            </w:pPr>
          </w:p>
        </w:tc>
        <w:tc>
          <w:tcPr>
            <w:tcW w:w="220" w:type="dxa"/>
            <w:vAlign w:val="bottom"/>
            <w:shd w:val="clear" w:color="auto" w:fill="FFF3CE"/>
          </w:tcPr>
          <w:p>
            <w:pPr>
              <w:spacing w:after="0"/>
              <w:rPr>
                <w:sz w:val="21"/>
                <w:szCs w:val="21"/>
                <w:color w:val="auto"/>
              </w:rPr>
            </w:pPr>
          </w:p>
        </w:tc>
        <w:tc>
          <w:tcPr>
            <w:tcW w:w="800" w:type="dxa"/>
            <w:vAlign w:val="bottom"/>
            <w:shd w:val="clear" w:color="auto" w:fill="FFF3CE"/>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9950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00" w:right="80" w:hanging="292"/>
        <w:spacing w:after="0" w:line="268" w:lineRule="auto"/>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interest of transparency, the value of perquisites and other personal benefits is provided in this column and below in this note even if the amount is less than the reporting threshold established by the SEC.</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280" w:right="40"/>
        <w:spacing w:after="0" w:line="332" w:lineRule="auto"/>
        <w:rPr>
          <w:rFonts w:ascii="Arial" w:cs="Arial" w:eastAsia="Arial" w:hAnsi="Arial"/>
          <w:sz w:val="18"/>
          <w:szCs w:val="18"/>
          <w:color w:val="auto"/>
        </w:rPr>
      </w:pPr>
      <w:r>
        <w:rPr>
          <w:rFonts w:ascii="Arial" w:cs="Arial" w:eastAsia="Arial" w:hAnsi="Arial"/>
          <w:sz w:val="16"/>
          <w:szCs w:val="16"/>
          <w:color w:val="auto"/>
        </w:rPr>
        <w:t>The board of directors has determined that for security reasons, it is in the company’s interest to require the chief executive officer to use company aircraft for personal air travel. The amount shown for Mr. Templeton includes $64,777 incremental cost of company-required personal use of aircraft and $7,517 for</w:t>
      </w:r>
    </w:p>
    <w:p>
      <w:pPr>
        <w:sectPr>
          <w:pgSz w:w="11900" w:h="16838" w:orient="portrait"/>
          <w:cols w:equalWidth="0" w:num="1">
            <w:col w:w="11420"/>
          </w:cols>
          <w:pgMar w:left="240" w:top="140" w:right="239" w:bottom="0" w:gutter="0" w:footer="0" w:header="0"/>
        </w:sectPr>
      </w:pPr>
    </w:p>
    <w:bookmarkStart w:id="12" w:name="page13"/>
    <w:bookmarkEnd w:id="12"/>
    <w:p>
      <w:pPr>
        <w:ind w:left="280" w:right="100"/>
        <w:spacing w:after="0" w:line="268" w:lineRule="auto"/>
        <w:rPr>
          <w:sz w:val="20"/>
          <w:szCs w:val="20"/>
          <w:color w:val="auto"/>
        </w:rPr>
      </w:pPr>
      <w:r>
        <w:rPr>
          <w:rFonts w:ascii="Arial" w:cs="Arial" w:eastAsia="Arial" w:hAnsi="Arial"/>
          <w:sz w:val="18"/>
          <w:szCs w:val="18"/>
          <w:color w:val="auto"/>
        </w:rPr>
        <w:t>reimbursement of a portion of the tax related to the incremental cost of company-required personal use of aircraft. The amount shown for Mr. Templeton also includes the following: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Home</w:t>
            </w: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340" w:type="dxa"/>
            <w:vAlign w:val="bottom"/>
            <w:gridSpan w:val="2"/>
          </w:tcPr>
          <w:p>
            <w:pPr>
              <w:jc w:val="center"/>
              <w:ind w:left="3322"/>
              <w:spacing w:after="0" w:line="149" w:lineRule="exact"/>
              <w:rPr>
                <w:sz w:val="20"/>
                <w:szCs w:val="20"/>
                <w:color w:val="auto"/>
              </w:rPr>
            </w:pPr>
            <w:r>
              <w:rPr>
                <w:rFonts w:ascii="Arial" w:cs="Arial" w:eastAsia="Arial" w:hAnsi="Arial"/>
                <w:sz w:val="14"/>
                <w:szCs w:val="14"/>
                <w:b w:val="1"/>
                <w:bCs w:val="1"/>
                <w:color w:val="auto"/>
                <w:w w:val="86"/>
              </w:rPr>
              <w:t>Security System</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68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w w:val="92"/>
              </w:rPr>
              <w:t>Financial</w:t>
            </w:r>
          </w:p>
        </w:tc>
        <w:tc>
          <w:tcPr>
            <w:tcW w:w="340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88"/>
              </w:rPr>
              <w:t>Executive</w:t>
            </w:r>
          </w:p>
        </w:tc>
        <w:tc>
          <w:tcPr>
            <w:tcW w:w="34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Maintenance &amp;</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74"/>
        </w:trPr>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Counseling</w:t>
            </w:r>
          </w:p>
        </w:tc>
        <w:tc>
          <w:tcPr>
            <w:tcW w:w="340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b w:val="1"/>
                <w:bCs w:val="1"/>
                <w:color w:val="auto"/>
                <w:w w:val="98"/>
              </w:rPr>
              <w:t>Physical</w:t>
            </w:r>
          </w:p>
        </w:tc>
        <w:tc>
          <w:tcPr>
            <w:tcW w:w="34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Monitoring</w:t>
            </w: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55"/>
        </w:trPr>
        <w:tc>
          <w:tcPr>
            <w:tcW w:w="1840" w:type="dxa"/>
            <w:vAlign w:val="bottom"/>
            <w:gridSpan w:val="2"/>
          </w:tcPr>
          <w:p>
            <w:pPr>
              <w:spacing w:after="0"/>
              <w:rPr>
                <w:sz w:val="4"/>
                <w:szCs w:val="4"/>
                <w:color w:val="auto"/>
              </w:rPr>
            </w:pPr>
          </w:p>
        </w:tc>
        <w:tc>
          <w:tcPr>
            <w:tcW w:w="3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61"/>
        </w:trPr>
        <w:tc>
          <w:tcPr>
            <w:tcW w:w="116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340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3420" w:type="dxa"/>
            <w:vAlign w:val="bottom"/>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100" w:type="dxa"/>
            <w:vAlign w:val="bottom"/>
          </w:tcPr>
          <w:p>
            <w:pPr>
              <w:spacing w:after="0"/>
              <w:rPr>
                <w:sz w:val="5"/>
                <w:szCs w:val="5"/>
                <w:color w:val="auto"/>
              </w:rPr>
            </w:pPr>
          </w:p>
        </w:tc>
      </w:tr>
      <w:tr>
        <w:trPr>
          <w:trHeight w:val="243"/>
        </w:trPr>
        <w:tc>
          <w:tcPr>
            <w:tcW w:w="1160" w:type="dxa"/>
            <w:vAlign w:val="bottom"/>
          </w:tcPr>
          <w:p>
            <w:pPr>
              <w:spacing w:after="0"/>
              <w:rPr>
                <w:sz w:val="21"/>
                <w:szCs w:val="21"/>
                <w:color w:val="auto"/>
              </w:rPr>
            </w:pPr>
          </w:p>
        </w:tc>
        <w:tc>
          <w:tcPr>
            <w:tcW w:w="680" w:type="dxa"/>
            <w:vAlign w:val="bottom"/>
            <w:shd w:val="clear" w:color="auto" w:fill="FFF3CE"/>
          </w:tcPr>
          <w:p>
            <w:pPr>
              <w:jc w:val="right"/>
              <w:spacing w:after="0"/>
              <w:rPr>
                <w:sz w:val="20"/>
                <w:szCs w:val="20"/>
                <w:color w:val="auto"/>
              </w:rPr>
            </w:pPr>
            <w:r>
              <w:rPr>
                <w:rFonts w:ascii="Arial" w:cs="Arial" w:eastAsia="Arial" w:hAnsi="Arial"/>
                <w:sz w:val="18"/>
                <w:szCs w:val="18"/>
                <w:color w:val="auto"/>
              </w:rPr>
              <w:t>$8,000</w:t>
            </w:r>
          </w:p>
        </w:tc>
        <w:tc>
          <w:tcPr>
            <w:tcW w:w="4100" w:type="dxa"/>
            <w:vAlign w:val="bottom"/>
            <w:gridSpan w:val="2"/>
            <w:shd w:val="clear" w:color="auto" w:fill="FFF3CE"/>
          </w:tcPr>
          <w:p>
            <w:pPr>
              <w:jc w:val="right"/>
              <w:ind w:right="72"/>
              <w:spacing w:after="0"/>
              <w:rPr>
                <w:sz w:val="20"/>
                <w:szCs w:val="20"/>
                <w:color w:val="auto"/>
              </w:rPr>
            </w:pPr>
            <w:r>
              <w:rPr>
                <w:rFonts w:ascii="Arial" w:cs="Arial" w:eastAsia="Arial" w:hAnsi="Arial"/>
                <w:sz w:val="18"/>
                <w:szCs w:val="18"/>
                <w:color w:val="auto"/>
              </w:rPr>
              <w:t>$1,254</w:t>
            </w:r>
          </w:p>
        </w:tc>
        <w:tc>
          <w:tcPr>
            <w:tcW w:w="4340" w:type="dxa"/>
            <w:vAlign w:val="bottom"/>
            <w:gridSpan w:val="2"/>
            <w:shd w:val="clear" w:color="auto" w:fill="FFF3CE"/>
          </w:tcPr>
          <w:p>
            <w:pPr>
              <w:jc w:val="right"/>
              <w:ind w:right="172"/>
              <w:spacing w:after="0"/>
              <w:rPr>
                <w:sz w:val="20"/>
                <w:szCs w:val="20"/>
                <w:color w:val="auto"/>
              </w:rPr>
            </w:pPr>
            <w:r>
              <w:rPr>
                <w:rFonts w:ascii="Arial" w:cs="Arial" w:eastAsia="Arial" w:hAnsi="Arial"/>
                <w:sz w:val="18"/>
                <w:szCs w:val="18"/>
                <w:color w:val="auto"/>
              </w:rPr>
              <w:t>$  725</w:t>
            </w: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673"/>
        </w:trPr>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00" w:type="dxa"/>
            <w:vAlign w:val="bottom"/>
            <w:gridSpan w:val="2"/>
          </w:tcPr>
          <w:p>
            <w:pPr>
              <w:jc w:val="right"/>
              <w:ind w:right="72"/>
              <w:spacing w:after="0"/>
              <w:rPr>
                <w:sz w:val="20"/>
                <w:szCs w:val="20"/>
                <w:color w:val="auto"/>
              </w:rPr>
            </w:pPr>
            <w:r>
              <w:rPr>
                <w:rFonts w:ascii="Arial" w:cs="Arial" w:eastAsia="Arial" w:hAnsi="Arial"/>
                <w:sz w:val="18"/>
                <w:szCs w:val="18"/>
                <w:color w:val="auto"/>
              </w:rPr>
              <w:t>14</w:t>
            </w:r>
          </w:p>
        </w:tc>
        <w:tc>
          <w:tcPr>
            <w:tcW w:w="3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5"/>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74"/>
        </w:trPr>
        <w:tc>
          <w:tcPr>
            <w:tcW w:w="1160" w:type="dxa"/>
            <w:vAlign w:val="bottom"/>
            <w:shd w:val="clear" w:color="auto" w:fill="808080"/>
          </w:tcPr>
          <w:p>
            <w:pPr>
              <w:spacing w:after="0"/>
              <w:rPr>
                <w:sz w:val="6"/>
                <w:szCs w:val="6"/>
                <w:color w:val="auto"/>
              </w:rPr>
            </w:pPr>
          </w:p>
        </w:tc>
        <w:tc>
          <w:tcPr>
            <w:tcW w:w="680" w:type="dxa"/>
            <w:vAlign w:val="bottom"/>
            <w:shd w:val="clear" w:color="auto" w:fill="808080"/>
          </w:tcPr>
          <w:p>
            <w:pPr>
              <w:spacing w:after="0"/>
              <w:rPr>
                <w:sz w:val="6"/>
                <w:szCs w:val="6"/>
                <w:color w:val="auto"/>
              </w:rPr>
            </w:pPr>
          </w:p>
        </w:tc>
        <w:tc>
          <w:tcPr>
            <w:tcW w:w="3400" w:type="dxa"/>
            <w:vAlign w:val="bottom"/>
            <w:shd w:val="clear" w:color="auto" w:fill="808080"/>
          </w:tcPr>
          <w:p>
            <w:pPr>
              <w:spacing w:after="0"/>
              <w:rPr>
                <w:sz w:val="6"/>
                <w:szCs w:val="6"/>
                <w:color w:val="auto"/>
              </w:rPr>
            </w:pPr>
          </w:p>
        </w:tc>
        <w:tc>
          <w:tcPr>
            <w:tcW w:w="700" w:type="dxa"/>
            <w:vAlign w:val="bottom"/>
            <w:shd w:val="clear" w:color="auto" w:fill="808080"/>
          </w:tcPr>
          <w:p>
            <w:pPr>
              <w:spacing w:after="0"/>
              <w:rPr>
                <w:sz w:val="6"/>
                <w:szCs w:val="6"/>
                <w:color w:val="auto"/>
              </w:rPr>
            </w:pPr>
          </w:p>
        </w:tc>
        <w:tc>
          <w:tcPr>
            <w:tcW w:w="3420" w:type="dxa"/>
            <w:vAlign w:val="bottom"/>
            <w:shd w:val="clear" w:color="auto" w:fill="808080"/>
          </w:tcPr>
          <w:p>
            <w:pPr>
              <w:spacing w:after="0"/>
              <w:rPr>
                <w:sz w:val="6"/>
                <w:szCs w:val="6"/>
                <w:color w:val="auto"/>
              </w:rPr>
            </w:pPr>
          </w:p>
        </w:tc>
        <w:tc>
          <w:tcPr>
            <w:tcW w:w="920" w:type="dxa"/>
            <w:vAlign w:val="bottom"/>
            <w:shd w:val="clear" w:color="auto" w:fill="808080"/>
          </w:tcPr>
          <w:p>
            <w:pPr>
              <w:spacing w:after="0"/>
              <w:rPr>
                <w:sz w:val="6"/>
                <w:szCs w:val="6"/>
                <w:color w:val="auto"/>
              </w:rPr>
            </w:pPr>
          </w:p>
        </w:tc>
        <w:tc>
          <w:tcPr>
            <w:tcW w:w="40" w:type="dxa"/>
            <w:vAlign w:val="bottom"/>
            <w:shd w:val="clear" w:color="auto" w:fill="808080"/>
          </w:tcPr>
          <w:p>
            <w:pPr>
              <w:spacing w:after="0"/>
              <w:rPr>
                <w:sz w:val="6"/>
                <w:szCs w:val="6"/>
                <w:color w:val="auto"/>
              </w:rPr>
            </w:pPr>
          </w:p>
        </w:tc>
        <w:tc>
          <w:tcPr>
            <w:tcW w:w="1100" w:type="dxa"/>
            <w:vAlign w:val="bottom"/>
            <w:shd w:val="clear" w:color="auto" w:fill="808080"/>
          </w:tcPr>
          <w:p>
            <w:pPr>
              <w:spacing w:after="0"/>
              <w:rPr>
                <w:sz w:val="6"/>
                <w:szCs w:val="6"/>
                <w:color w:val="auto"/>
              </w:rPr>
            </w:pPr>
          </w:p>
        </w:tc>
      </w:tr>
    </w:tbl>
    <w:p>
      <w:pPr>
        <w:spacing w:after="0" w:line="200" w:lineRule="exact"/>
        <w:rPr>
          <w:sz w:val="20"/>
          <w:szCs w:val="20"/>
          <w:color w:val="auto"/>
        </w:rPr>
      </w:pPr>
    </w:p>
    <w:p>
      <w:pPr>
        <w:spacing w:after="0" w:line="35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Annual Compensation of the other named executive officers in 2005 consists of the following:</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jc w:val="right"/>
              <w:ind w:right="72"/>
              <w:spacing w:after="0"/>
              <w:rPr>
                <w:sz w:val="20"/>
                <w:szCs w:val="20"/>
                <w:color w:val="auto"/>
              </w:rPr>
            </w:pPr>
            <w:r>
              <w:rPr>
                <w:rFonts w:ascii="Arial" w:cs="Arial" w:eastAsia="Arial" w:hAnsi="Arial"/>
                <w:sz w:val="14"/>
                <w:szCs w:val="14"/>
                <w:b w:val="1"/>
                <w:bCs w:val="1"/>
                <w:color w:val="auto"/>
              </w:rPr>
              <w:t>Financial</w:t>
            </w: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Executive</w:t>
            </w:r>
          </w:p>
        </w:tc>
      </w:tr>
      <w:tr>
        <w:trPr>
          <w:trHeight w:val="174"/>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78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Arial" w:cs="Arial" w:eastAsia="Arial" w:hAnsi="Arial"/>
                <w:sz w:val="14"/>
                <w:szCs w:val="14"/>
                <w:b w:val="1"/>
                <w:bCs w:val="1"/>
                <w:color w:val="auto"/>
              </w:rPr>
              <w:t>Counseling</w:t>
            </w: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Physical</w:t>
            </w:r>
          </w:p>
        </w:tc>
      </w:tr>
      <w:tr>
        <w:trPr>
          <w:trHeight w:val="55"/>
        </w:trPr>
        <w:tc>
          <w:tcPr>
            <w:tcW w:w="320" w:type="dxa"/>
            <w:vAlign w:val="bottom"/>
            <w:tcBorders>
              <w:bottom w:val="single" w:sz="8" w:color="auto"/>
            </w:tcBorders>
          </w:tcPr>
          <w:p>
            <w:pPr>
              <w:spacing w:after="0"/>
              <w:rPr>
                <w:sz w:val="4"/>
                <w:szCs w:val="4"/>
                <w:color w:val="auto"/>
              </w:rPr>
            </w:pPr>
          </w:p>
        </w:tc>
        <w:tc>
          <w:tcPr>
            <w:tcW w:w="1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r>
      <w:tr>
        <w:trPr>
          <w:trHeight w:val="61"/>
        </w:trPr>
        <w:tc>
          <w:tcPr>
            <w:tcW w:w="3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360" w:type="dxa"/>
            <w:vAlign w:val="bottom"/>
          </w:tcPr>
          <w:p>
            <w:pPr>
              <w:spacing w:after="0"/>
              <w:rPr>
                <w:sz w:val="5"/>
                <w:szCs w:val="5"/>
                <w:color w:val="auto"/>
              </w:rPr>
            </w:pPr>
          </w:p>
        </w:tc>
      </w:tr>
      <w:tr>
        <w:trPr>
          <w:trHeight w:val="243"/>
        </w:trPr>
        <w:tc>
          <w:tcPr>
            <w:tcW w:w="158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G. Delfassy</w:t>
            </w:r>
          </w:p>
        </w:tc>
        <w:tc>
          <w:tcPr>
            <w:tcW w:w="2020" w:type="dxa"/>
            <w:vAlign w:val="bottom"/>
            <w:gridSpan w:val="2"/>
            <w:shd w:val="clear" w:color="auto" w:fill="FFF3CE"/>
          </w:tcPr>
          <w:p>
            <w:pPr>
              <w:jc w:val="right"/>
              <w:ind w:right="113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FFF3CE"/>
          </w:tcPr>
          <w:p>
            <w:pPr>
              <w:jc w:val="right"/>
              <w:ind w:right="420"/>
              <w:spacing w:after="0"/>
              <w:rPr>
                <w:sz w:val="20"/>
                <w:szCs w:val="20"/>
                <w:color w:val="auto"/>
              </w:rPr>
            </w:pPr>
            <w:r>
              <w:rPr>
                <w:rFonts w:ascii="Arial" w:cs="Arial" w:eastAsia="Arial" w:hAnsi="Arial"/>
                <w:sz w:val="18"/>
                <w:szCs w:val="18"/>
                <w:color w:val="auto"/>
                <w:w w:val="97"/>
              </w:rPr>
              <w:t>5,149</w:t>
            </w:r>
          </w:p>
        </w:tc>
        <w:tc>
          <w:tcPr>
            <w:tcW w:w="500" w:type="dxa"/>
            <w:vAlign w:val="bottom"/>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FFF3CE"/>
          </w:tcPr>
          <w:p>
            <w:pPr>
              <w:jc w:val="right"/>
              <w:ind w:right="340"/>
              <w:spacing w:after="0"/>
              <w:rPr>
                <w:sz w:val="20"/>
                <w:szCs w:val="20"/>
                <w:color w:val="auto"/>
              </w:rPr>
            </w:pPr>
            <w:r>
              <w:rPr>
                <w:rFonts w:ascii="Arial" w:cs="Arial" w:eastAsia="Arial" w:hAnsi="Arial"/>
                <w:sz w:val="18"/>
                <w:szCs w:val="18"/>
                <w:color w:val="auto"/>
              </w:rPr>
              <w:t>1,333</w:t>
            </w:r>
          </w:p>
        </w:tc>
      </w:tr>
      <w:tr>
        <w:trPr>
          <w:trHeight w:val="242"/>
        </w:trPr>
        <w:tc>
          <w:tcPr>
            <w:tcW w:w="1580" w:type="dxa"/>
            <w:vAlign w:val="bottom"/>
            <w:gridSpan w:val="2"/>
          </w:tcPr>
          <w:p>
            <w:pPr>
              <w:spacing w:after="0"/>
              <w:rPr>
                <w:sz w:val="20"/>
                <w:szCs w:val="20"/>
                <w:color w:val="auto"/>
              </w:rPr>
            </w:pPr>
            <w:r>
              <w:rPr>
                <w:rFonts w:ascii="Arial" w:cs="Arial" w:eastAsia="Arial" w:hAnsi="Arial"/>
                <w:sz w:val="18"/>
                <w:szCs w:val="18"/>
                <w:color w:val="auto"/>
              </w:rPr>
              <w:t>M.J. Hames</w:t>
            </w:r>
          </w:p>
        </w:tc>
        <w:tc>
          <w:tcPr>
            <w:tcW w:w="7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340"/>
              <w:spacing w:after="0"/>
              <w:rPr>
                <w:sz w:val="20"/>
                <w:szCs w:val="20"/>
                <w:color w:val="auto"/>
              </w:rPr>
            </w:pPr>
            <w:r>
              <w:rPr>
                <w:rFonts w:ascii="Arial" w:cs="Arial" w:eastAsia="Arial" w:hAnsi="Arial"/>
                <w:sz w:val="18"/>
                <w:szCs w:val="18"/>
                <w:color w:val="auto"/>
              </w:rPr>
              <w:t>1,278</w:t>
            </w:r>
          </w:p>
        </w:tc>
      </w:tr>
      <w:tr>
        <w:trPr>
          <w:trHeight w:val="244"/>
        </w:trPr>
        <w:tc>
          <w:tcPr>
            <w:tcW w:w="158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G.A. Lowe</w:t>
            </w:r>
          </w:p>
        </w:tc>
        <w:tc>
          <w:tcPr>
            <w:tcW w:w="2020" w:type="dxa"/>
            <w:vAlign w:val="bottom"/>
            <w:gridSpan w:val="2"/>
            <w:shd w:val="clear" w:color="auto" w:fill="FFF3CE"/>
          </w:tcPr>
          <w:p>
            <w:pPr>
              <w:jc w:val="right"/>
              <w:ind w:right="113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FFF3CE"/>
          </w:tcPr>
          <w:p>
            <w:pPr>
              <w:jc w:val="right"/>
              <w:ind w:right="420"/>
              <w:spacing w:after="0"/>
              <w:rPr>
                <w:sz w:val="20"/>
                <w:szCs w:val="20"/>
                <w:color w:val="auto"/>
              </w:rPr>
            </w:pPr>
            <w:r>
              <w:rPr>
                <w:rFonts w:ascii="Arial" w:cs="Arial" w:eastAsia="Arial" w:hAnsi="Arial"/>
                <w:sz w:val="18"/>
                <w:szCs w:val="18"/>
                <w:color w:val="auto"/>
                <w:w w:val="97"/>
              </w:rPr>
              <w:t>1,219</w:t>
            </w:r>
          </w:p>
        </w:tc>
        <w:tc>
          <w:tcPr>
            <w:tcW w:w="500" w:type="dxa"/>
            <w:vAlign w:val="bottom"/>
            <w:shd w:val="clear" w:color="auto" w:fill="FFF3CE"/>
          </w:tcPr>
          <w:p>
            <w:pPr>
              <w:spacing w:after="0"/>
              <w:rPr>
                <w:sz w:val="21"/>
                <w:szCs w:val="21"/>
                <w:color w:val="auto"/>
              </w:rPr>
            </w:pPr>
          </w:p>
        </w:tc>
        <w:tc>
          <w:tcPr>
            <w:tcW w:w="1860" w:type="dxa"/>
            <w:vAlign w:val="bottom"/>
            <w:gridSpan w:val="2"/>
            <w:shd w:val="clear" w:color="auto" w:fill="FFF3CE"/>
          </w:tcPr>
          <w:p>
            <w:pPr>
              <w:jc w:val="right"/>
              <w:ind w:right="340"/>
              <w:spacing w:after="0"/>
              <w:rPr>
                <w:sz w:val="20"/>
                <w:szCs w:val="20"/>
                <w:color w:val="auto"/>
              </w:rPr>
            </w:pPr>
            <w:r>
              <w:rPr>
                <w:rFonts w:ascii="Arial" w:cs="Arial" w:eastAsia="Arial" w:hAnsi="Arial"/>
                <w:sz w:val="18"/>
                <w:szCs w:val="18"/>
                <w:color w:val="auto"/>
              </w:rPr>
              <w:t>0</w:t>
            </w:r>
          </w:p>
        </w:tc>
      </w:tr>
      <w:tr>
        <w:trPr>
          <w:trHeight w:val="241"/>
        </w:trPr>
        <w:tc>
          <w:tcPr>
            <w:tcW w:w="1580" w:type="dxa"/>
            <w:vAlign w:val="bottom"/>
            <w:gridSpan w:val="2"/>
          </w:tcPr>
          <w:p>
            <w:pPr>
              <w:spacing w:after="0"/>
              <w:rPr>
                <w:sz w:val="20"/>
                <w:szCs w:val="20"/>
                <w:color w:val="auto"/>
              </w:rPr>
            </w:pPr>
            <w:r>
              <w:rPr>
                <w:rFonts w:ascii="Arial" w:cs="Arial" w:eastAsia="Arial" w:hAnsi="Arial"/>
                <w:sz w:val="18"/>
                <w:szCs w:val="18"/>
                <w:color w:val="auto"/>
              </w:rPr>
              <w:t>K.J. Ritchie</w:t>
            </w:r>
          </w:p>
        </w:tc>
        <w:tc>
          <w:tcPr>
            <w:tcW w:w="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20"/>
                <w:szCs w:val="20"/>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(2) As of December 31, 2005, the aggregate value of restricted stock unit holdings of the named executive officers was as follows:</w:t>
      </w:r>
    </w:p>
    <w:p>
      <w:pPr>
        <w:spacing w:after="0" w:line="200" w:lineRule="exact"/>
        <w:rPr>
          <w:sz w:val="20"/>
          <w:szCs w:val="20"/>
          <w:color w:val="auto"/>
        </w:rPr>
      </w:pPr>
    </w:p>
    <w:p>
      <w:pPr>
        <w:spacing w:after="0" w:line="27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980" w:type="dxa"/>
            <w:vAlign w:val="bottom"/>
            <w:gridSpan w:val="2"/>
          </w:tcPr>
          <w:p>
            <w:pPr>
              <w:jc w:val="right"/>
              <w:ind w:right="1420"/>
              <w:spacing w:after="0"/>
              <w:rPr>
                <w:sz w:val="20"/>
                <w:szCs w:val="20"/>
                <w:color w:val="auto"/>
              </w:rPr>
            </w:pPr>
            <w:r>
              <w:rPr>
                <w:rFonts w:ascii="Arial" w:cs="Arial" w:eastAsia="Arial" w:hAnsi="Arial"/>
                <w:sz w:val="14"/>
                <w:szCs w:val="14"/>
                <w:b w:val="1"/>
                <w:bCs w:val="1"/>
                <w:color w:val="auto"/>
              </w:rPr>
              <w:t>Aggregate Value*</w:t>
            </w: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Number of</w:t>
            </w:r>
          </w:p>
        </w:tc>
      </w:tr>
      <w:tr>
        <w:trPr>
          <w:trHeight w:val="174"/>
        </w:trPr>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spacing w:after="0"/>
              <w:rPr>
                <w:sz w:val="15"/>
                <w:szCs w:val="15"/>
                <w:color w:val="auto"/>
              </w:rPr>
            </w:pPr>
          </w:p>
        </w:tc>
        <w:tc>
          <w:tcPr>
            <w:tcW w:w="2980" w:type="dxa"/>
            <w:vAlign w:val="bottom"/>
            <w:gridSpan w:val="2"/>
          </w:tcPr>
          <w:p>
            <w:pPr>
              <w:jc w:val="right"/>
              <w:ind w:right="1600"/>
              <w:spacing w:after="0"/>
              <w:rPr>
                <w:sz w:val="20"/>
                <w:szCs w:val="20"/>
                <w:color w:val="auto"/>
              </w:rPr>
            </w:pPr>
            <w:r>
              <w:rPr>
                <w:rFonts w:ascii="Arial" w:cs="Arial" w:eastAsia="Arial" w:hAnsi="Arial"/>
                <w:sz w:val="14"/>
                <w:szCs w:val="14"/>
                <w:b w:val="1"/>
                <w:bCs w:val="1"/>
                <w:color w:val="auto"/>
              </w:rPr>
              <w:t>of Holdings</w:t>
            </w: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Shares</w:t>
            </w:r>
          </w:p>
        </w:tc>
      </w:tr>
      <w:tr>
        <w:trPr>
          <w:trHeight w:val="55"/>
        </w:trPr>
        <w:tc>
          <w:tcPr>
            <w:tcW w:w="320" w:type="dxa"/>
            <w:vAlign w:val="bottom"/>
            <w:tcBorders>
              <w:bottom w:val="single" w:sz="8" w:color="auto"/>
            </w:tcBorders>
          </w:tcPr>
          <w:p>
            <w:pPr>
              <w:spacing w:after="0"/>
              <w:rPr>
                <w:sz w:val="4"/>
                <w:szCs w:val="4"/>
                <w:color w:val="auto"/>
              </w:rPr>
            </w:pPr>
          </w:p>
        </w:tc>
        <w:tc>
          <w:tcPr>
            <w:tcW w:w="1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86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r>
      <w:tr>
        <w:trPr>
          <w:trHeight w:val="61"/>
        </w:trPr>
        <w:tc>
          <w:tcPr>
            <w:tcW w:w="3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80" w:type="dxa"/>
            <w:vAlign w:val="bottom"/>
          </w:tcPr>
          <w:p>
            <w:pPr>
              <w:spacing w:after="0"/>
              <w:rPr>
                <w:sz w:val="5"/>
                <w:szCs w:val="5"/>
                <w:color w:val="auto"/>
              </w:rPr>
            </w:pPr>
          </w:p>
        </w:tc>
      </w:tr>
      <w:tr>
        <w:trPr>
          <w:trHeight w:val="243"/>
        </w:trPr>
        <w:tc>
          <w:tcPr>
            <w:tcW w:w="168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R.K. Templeton</w:t>
            </w:r>
          </w:p>
        </w:tc>
        <w:tc>
          <w:tcPr>
            <w:tcW w:w="680" w:type="dxa"/>
            <w:vAlign w:val="bottom"/>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2980" w:type="dxa"/>
            <w:vAlign w:val="bottom"/>
            <w:gridSpan w:val="2"/>
            <w:shd w:val="clear" w:color="auto" w:fill="FFF3CE"/>
          </w:tcPr>
          <w:p>
            <w:pPr>
              <w:jc w:val="right"/>
              <w:ind w:right="860"/>
              <w:spacing w:after="0"/>
              <w:rPr>
                <w:sz w:val="20"/>
                <w:szCs w:val="20"/>
                <w:color w:val="auto"/>
              </w:rPr>
            </w:pPr>
            <w:r>
              <w:rPr>
                <w:rFonts w:ascii="Arial" w:cs="Arial" w:eastAsia="Arial" w:hAnsi="Arial"/>
                <w:sz w:val="18"/>
                <w:szCs w:val="18"/>
                <w:color w:val="auto"/>
              </w:rPr>
              <w:t>10,262,400</w:t>
            </w:r>
          </w:p>
        </w:tc>
        <w:tc>
          <w:tcPr>
            <w:tcW w:w="1220" w:type="dxa"/>
            <w:vAlign w:val="bottom"/>
            <w:shd w:val="clear" w:color="auto" w:fill="FFF3CE"/>
          </w:tcPr>
          <w:p>
            <w:pPr>
              <w:jc w:val="right"/>
              <w:spacing w:after="0"/>
              <w:rPr>
                <w:sz w:val="20"/>
                <w:szCs w:val="20"/>
                <w:color w:val="auto"/>
              </w:rPr>
            </w:pPr>
            <w:r>
              <w:rPr>
                <w:rFonts w:ascii="Arial" w:cs="Arial" w:eastAsia="Arial" w:hAnsi="Arial"/>
                <w:sz w:val="18"/>
                <w:szCs w:val="18"/>
                <w:color w:val="auto"/>
              </w:rPr>
              <w:t>320,000</w:t>
            </w:r>
          </w:p>
        </w:tc>
        <w:tc>
          <w:tcPr>
            <w:tcW w:w="280" w:type="dxa"/>
            <w:vAlign w:val="bottom"/>
            <w:shd w:val="clear" w:color="auto" w:fill="FFF3CE"/>
          </w:tcPr>
          <w:p>
            <w:pPr>
              <w:spacing w:after="0"/>
              <w:rPr>
                <w:sz w:val="21"/>
                <w:szCs w:val="21"/>
                <w:color w:val="auto"/>
              </w:rPr>
            </w:pPr>
          </w:p>
        </w:tc>
      </w:tr>
      <w:tr>
        <w:trPr>
          <w:trHeight w:val="242"/>
        </w:trPr>
        <w:tc>
          <w:tcPr>
            <w:tcW w:w="1680" w:type="dxa"/>
            <w:vAlign w:val="bottom"/>
            <w:gridSpan w:val="2"/>
          </w:tcPr>
          <w:p>
            <w:pPr>
              <w:spacing w:after="0"/>
              <w:rPr>
                <w:sz w:val="20"/>
                <w:szCs w:val="20"/>
                <w:color w:val="auto"/>
              </w:rPr>
            </w:pPr>
            <w:r>
              <w:rPr>
                <w:rFonts w:ascii="Arial" w:cs="Arial" w:eastAsia="Arial" w:hAnsi="Arial"/>
                <w:sz w:val="18"/>
                <w:szCs w:val="18"/>
                <w:color w:val="auto"/>
              </w:rPr>
              <w:t>G. Delfassy</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980" w:type="dxa"/>
            <w:vAlign w:val="bottom"/>
            <w:gridSpan w:val="2"/>
          </w:tcPr>
          <w:p>
            <w:pPr>
              <w:jc w:val="right"/>
              <w:ind w:right="860"/>
              <w:spacing w:after="0"/>
              <w:rPr>
                <w:sz w:val="20"/>
                <w:szCs w:val="20"/>
                <w:color w:val="auto"/>
              </w:rPr>
            </w:pPr>
            <w:r>
              <w:rPr>
                <w:rFonts w:ascii="Arial" w:cs="Arial" w:eastAsia="Arial" w:hAnsi="Arial"/>
                <w:sz w:val="18"/>
                <w:szCs w:val="18"/>
                <w:color w:val="auto"/>
              </w:rPr>
              <w:t>3,207,000</w:t>
            </w:r>
          </w:p>
        </w:tc>
        <w:tc>
          <w:tcPr>
            <w:tcW w:w="1220" w:type="dxa"/>
            <w:vAlign w:val="bottom"/>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tcPr>
          <w:p>
            <w:pPr>
              <w:spacing w:after="0"/>
              <w:rPr>
                <w:sz w:val="21"/>
                <w:szCs w:val="21"/>
                <w:color w:val="auto"/>
              </w:rPr>
            </w:pPr>
          </w:p>
        </w:tc>
      </w:tr>
      <w:tr>
        <w:trPr>
          <w:trHeight w:val="244"/>
        </w:trPr>
        <w:tc>
          <w:tcPr>
            <w:tcW w:w="168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M.J. Hames</w:t>
            </w:r>
          </w:p>
        </w:tc>
        <w:tc>
          <w:tcPr>
            <w:tcW w:w="680" w:type="dxa"/>
            <w:vAlign w:val="bottom"/>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2980" w:type="dxa"/>
            <w:vAlign w:val="bottom"/>
            <w:gridSpan w:val="2"/>
            <w:shd w:val="clear" w:color="auto" w:fill="FFF3CE"/>
          </w:tcPr>
          <w:p>
            <w:pPr>
              <w:jc w:val="right"/>
              <w:ind w:right="860"/>
              <w:spacing w:after="0"/>
              <w:rPr>
                <w:sz w:val="20"/>
                <w:szCs w:val="20"/>
                <w:color w:val="auto"/>
              </w:rPr>
            </w:pPr>
            <w:r>
              <w:rPr>
                <w:rFonts w:ascii="Arial" w:cs="Arial" w:eastAsia="Arial" w:hAnsi="Arial"/>
                <w:sz w:val="18"/>
                <w:szCs w:val="18"/>
                <w:color w:val="auto"/>
              </w:rPr>
              <w:t>6,414,000</w:t>
            </w:r>
          </w:p>
        </w:tc>
        <w:tc>
          <w:tcPr>
            <w:tcW w:w="1220" w:type="dxa"/>
            <w:vAlign w:val="bottom"/>
            <w:shd w:val="clear" w:color="auto" w:fill="FFF3CE"/>
          </w:tcPr>
          <w:p>
            <w:pPr>
              <w:jc w:val="right"/>
              <w:spacing w:after="0"/>
              <w:rPr>
                <w:sz w:val="20"/>
                <w:szCs w:val="20"/>
                <w:color w:val="auto"/>
              </w:rPr>
            </w:pPr>
            <w:r>
              <w:rPr>
                <w:rFonts w:ascii="Arial" w:cs="Arial" w:eastAsia="Arial" w:hAnsi="Arial"/>
                <w:sz w:val="18"/>
                <w:szCs w:val="18"/>
                <w:color w:val="auto"/>
              </w:rPr>
              <w:t>200,000</w:t>
            </w:r>
          </w:p>
        </w:tc>
        <w:tc>
          <w:tcPr>
            <w:tcW w:w="280" w:type="dxa"/>
            <w:vAlign w:val="bottom"/>
            <w:shd w:val="clear" w:color="auto" w:fill="FFF3CE"/>
          </w:tcPr>
          <w:p>
            <w:pPr>
              <w:spacing w:after="0"/>
              <w:rPr>
                <w:sz w:val="21"/>
                <w:szCs w:val="21"/>
                <w:color w:val="auto"/>
              </w:rPr>
            </w:pPr>
          </w:p>
        </w:tc>
      </w:tr>
      <w:tr>
        <w:trPr>
          <w:trHeight w:val="242"/>
        </w:trPr>
        <w:tc>
          <w:tcPr>
            <w:tcW w:w="1680" w:type="dxa"/>
            <w:vAlign w:val="bottom"/>
            <w:gridSpan w:val="2"/>
          </w:tcPr>
          <w:p>
            <w:pPr>
              <w:spacing w:after="0"/>
              <w:rPr>
                <w:sz w:val="20"/>
                <w:szCs w:val="20"/>
                <w:color w:val="auto"/>
              </w:rPr>
            </w:pPr>
            <w:r>
              <w:rPr>
                <w:rFonts w:ascii="Arial" w:cs="Arial" w:eastAsia="Arial" w:hAnsi="Arial"/>
                <w:sz w:val="18"/>
                <w:szCs w:val="18"/>
                <w:color w:val="auto"/>
              </w:rPr>
              <w:t>G.A. Lowe</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980" w:type="dxa"/>
            <w:vAlign w:val="bottom"/>
            <w:gridSpan w:val="2"/>
          </w:tcPr>
          <w:p>
            <w:pPr>
              <w:jc w:val="right"/>
              <w:ind w:right="860"/>
              <w:spacing w:after="0"/>
              <w:rPr>
                <w:sz w:val="20"/>
                <w:szCs w:val="20"/>
                <w:color w:val="auto"/>
              </w:rPr>
            </w:pPr>
            <w:r>
              <w:rPr>
                <w:rFonts w:ascii="Arial" w:cs="Arial" w:eastAsia="Arial" w:hAnsi="Arial"/>
                <w:sz w:val="18"/>
                <w:szCs w:val="18"/>
                <w:color w:val="auto"/>
              </w:rPr>
              <w:t>6,574,350</w:t>
            </w:r>
          </w:p>
        </w:tc>
        <w:tc>
          <w:tcPr>
            <w:tcW w:w="1220" w:type="dxa"/>
            <w:vAlign w:val="bottom"/>
          </w:tcPr>
          <w:p>
            <w:pPr>
              <w:jc w:val="right"/>
              <w:spacing w:after="0"/>
              <w:rPr>
                <w:sz w:val="20"/>
                <w:szCs w:val="20"/>
                <w:color w:val="auto"/>
              </w:rPr>
            </w:pPr>
            <w:r>
              <w:rPr>
                <w:rFonts w:ascii="Arial" w:cs="Arial" w:eastAsia="Arial" w:hAnsi="Arial"/>
                <w:sz w:val="18"/>
                <w:szCs w:val="18"/>
                <w:color w:val="auto"/>
              </w:rPr>
              <w:t>205,000</w:t>
            </w:r>
          </w:p>
        </w:tc>
        <w:tc>
          <w:tcPr>
            <w:tcW w:w="280" w:type="dxa"/>
            <w:vAlign w:val="bottom"/>
          </w:tcPr>
          <w:p>
            <w:pPr>
              <w:spacing w:after="0"/>
              <w:rPr>
                <w:sz w:val="21"/>
                <w:szCs w:val="21"/>
                <w:color w:val="auto"/>
              </w:rPr>
            </w:pPr>
          </w:p>
        </w:tc>
      </w:tr>
      <w:tr>
        <w:trPr>
          <w:trHeight w:val="244"/>
        </w:trPr>
        <w:tc>
          <w:tcPr>
            <w:tcW w:w="168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K.J. Ritchie</w:t>
            </w:r>
          </w:p>
        </w:tc>
        <w:tc>
          <w:tcPr>
            <w:tcW w:w="680" w:type="dxa"/>
            <w:vAlign w:val="bottom"/>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2980" w:type="dxa"/>
            <w:vAlign w:val="bottom"/>
            <w:gridSpan w:val="2"/>
            <w:shd w:val="clear" w:color="auto" w:fill="FFF3CE"/>
          </w:tcPr>
          <w:p>
            <w:pPr>
              <w:jc w:val="right"/>
              <w:ind w:right="860"/>
              <w:spacing w:after="0"/>
              <w:rPr>
                <w:sz w:val="20"/>
                <w:szCs w:val="20"/>
                <w:color w:val="auto"/>
              </w:rPr>
            </w:pPr>
            <w:r>
              <w:rPr>
                <w:rFonts w:ascii="Arial" w:cs="Arial" w:eastAsia="Arial" w:hAnsi="Arial"/>
                <w:sz w:val="18"/>
                <w:szCs w:val="18"/>
                <w:color w:val="auto"/>
              </w:rPr>
              <w:t>4,489,800</w:t>
            </w:r>
          </w:p>
        </w:tc>
        <w:tc>
          <w:tcPr>
            <w:tcW w:w="1220" w:type="dxa"/>
            <w:vAlign w:val="bottom"/>
            <w:shd w:val="clear" w:color="auto" w:fill="FFF3CE"/>
          </w:tcPr>
          <w:p>
            <w:pPr>
              <w:jc w:val="right"/>
              <w:spacing w:after="0"/>
              <w:rPr>
                <w:sz w:val="20"/>
                <w:szCs w:val="20"/>
                <w:color w:val="auto"/>
              </w:rPr>
            </w:pPr>
            <w:r>
              <w:rPr>
                <w:rFonts w:ascii="Arial" w:cs="Arial" w:eastAsia="Arial" w:hAnsi="Arial"/>
                <w:sz w:val="18"/>
                <w:szCs w:val="18"/>
                <w:color w:val="auto"/>
              </w:rPr>
              <w:t>140,000</w:t>
            </w:r>
          </w:p>
        </w:tc>
        <w:tc>
          <w:tcPr>
            <w:tcW w:w="280" w:type="dxa"/>
            <w:vAlign w:val="bottom"/>
            <w:shd w:val="clear" w:color="auto" w:fill="FFF3CE"/>
          </w:tcPr>
          <w:p>
            <w:pPr>
              <w:spacing w:after="0"/>
              <w:rPr>
                <w:sz w:val="21"/>
                <w:szCs w:val="21"/>
                <w:color w:val="auto"/>
              </w:rPr>
            </w:pPr>
          </w:p>
        </w:tc>
      </w:tr>
    </w:tbl>
    <w:p>
      <w:pPr>
        <w:spacing w:after="0" w:line="200" w:lineRule="exact"/>
        <w:rPr>
          <w:sz w:val="20"/>
          <w:szCs w:val="20"/>
          <w:color w:val="auto"/>
        </w:rPr>
      </w:pPr>
    </w:p>
    <w:p>
      <w:pPr>
        <w:spacing w:after="0" w:line="251" w:lineRule="exact"/>
        <w:rPr>
          <w:sz w:val="20"/>
          <w:szCs w:val="20"/>
          <w:color w:val="auto"/>
        </w:rPr>
      </w:pPr>
    </w:p>
    <w:p>
      <w:pPr>
        <w:ind w:left="280" w:right="400"/>
        <w:spacing w:after="0" w:line="268" w:lineRule="auto"/>
        <w:rPr>
          <w:sz w:val="20"/>
          <w:szCs w:val="20"/>
          <w:color w:val="auto"/>
        </w:rPr>
      </w:pPr>
      <w:r>
        <w:rPr>
          <w:rFonts w:ascii="Arial" w:cs="Arial" w:eastAsia="Arial" w:hAnsi="Arial"/>
          <w:sz w:val="18"/>
          <w:szCs w:val="18"/>
          <w:color w:val="auto"/>
        </w:rPr>
        <w:t>Dividend equivalents are paid on restricted stock units granted through 2005 at the same rate as dividends on the company’s common stock. No dividend equivalents will be paid on restricted stock units granted on or after January 1, 2006.</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*Calculated by multiplying the total number of restricted stock units held by the closing price of the company’s stock on the last trading day of 2005 ($32.07).</w:t>
      </w:r>
    </w:p>
    <w:p>
      <w:pPr>
        <w:spacing w:after="0" w:line="248" w:lineRule="exact"/>
        <w:rPr>
          <w:sz w:val="20"/>
          <w:szCs w:val="20"/>
          <w:color w:val="auto"/>
        </w:rPr>
      </w:pPr>
    </w:p>
    <w:p>
      <w:pPr>
        <w:ind w:left="300" w:hanging="292"/>
        <w:spacing w:after="0"/>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value actually realized by an executive officer from an option grant depends solely upon price increases in TI common stock.</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300" w:right="880" w:hanging="292"/>
        <w:spacing w:after="0" w:line="332" w:lineRule="auto"/>
        <w:tabs>
          <w:tab w:leader="none" w:pos="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During 2005, the company made payments in connection with travel and accident insurance policies in the amount of $20 and insurance premium contributions in the amount of $250 for each of the executive officers named in the summary compensation table.</w:t>
      </w:r>
    </w:p>
    <w:p>
      <w:pPr>
        <w:spacing w:after="0" w:line="382" w:lineRule="exact"/>
        <w:rPr>
          <w:rFonts w:ascii="Arial" w:cs="Arial" w:eastAsia="Arial" w:hAnsi="Arial"/>
          <w:sz w:val="16"/>
          <w:szCs w:val="16"/>
          <w:color w:val="auto"/>
        </w:rPr>
      </w:pPr>
    </w:p>
    <w:p>
      <w:pPr>
        <w:ind w:left="280" w:right="320"/>
        <w:spacing w:after="0" w:line="268" w:lineRule="auto"/>
        <w:rPr>
          <w:rFonts w:ascii="Arial" w:cs="Arial" w:eastAsia="Arial" w:hAnsi="Arial"/>
          <w:sz w:val="16"/>
          <w:szCs w:val="16"/>
          <w:color w:val="auto"/>
        </w:rPr>
      </w:pPr>
      <w:r>
        <w:rPr>
          <w:rFonts w:ascii="Arial" w:cs="Arial" w:eastAsia="Arial" w:hAnsi="Arial"/>
          <w:sz w:val="18"/>
          <w:szCs w:val="18"/>
          <w:color w:val="auto"/>
        </w:rPr>
        <w:t>During 2005, the company made matching contributions to 401(k) accounts in the amount of $4,200 for Messrs. Hames, Lowe and Ritchie and $8,400 for Messrs. Templeton and Delfassy.</w:t>
      </w:r>
    </w:p>
    <w:p>
      <w:pPr>
        <w:spacing w:after="0" w:line="185" w:lineRule="exact"/>
        <w:rPr>
          <w:rFonts w:ascii="Arial" w:cs="Arial" w:eastAsia="Arial" w:hAnsi="Arial"/>
          <w:sz w:val="16"/>
          <w:szCs w:val="16"/>
          <w:color w:val="auto"/>
        </w:rPr>
      </w:pPr>
    </w:p>
    <w:p>
      <w:pPr>
        <w:ind w:left="280" w:right="340"/>
        <w:spacing w:after="0" w:line="268" w:lineRule="auto"/>
        <w:rPr>
          <w:rFonts w:ascii="Arial" w:cs="Arial" w:eastAsia="Arial" w:hAnsi="Arial"/>
          <w:sz w:val="16"/>
          <w:szCs w:val="16"/>
          <w:color w:val="auto"/>
        </w:rPr>
      </w:pPr>
      <w:r>
        <w:rPr>
          <w:rFonts w:ascii="Arial" w:cs="Arial" w:eastAsia="Arial" w:hAnsi="Arial"/>
          <w:sz w:val="18"/>
          <w:szCs w:val="18"/>
          <w:color w:val="auto"/>
        </w:rPr>
        <w:t>For 2005, the named executive officers received the following cash profit sharing payments: Mr. Templeton, $64,276; Mr. Delfassy, $31,664; Mr. Hames, $31,010; Mr. Lowe, $30,054; and Mr. Ritchie, $29,438.</w:t>
      </w:r>
    </w:p>
    <w:p>
      <w:pPr>
        <w:spacing w:after="0" w:line="185" w:lineRule="exact"/>
        <w:rPr>
          <w:rFonts w:ascii="Arial" w:cs="Arial" w:eastAsia="Arial" w:hAnsi="Arial"/>
          <w:sz w:val="16"/>
          <w:szCs w:val="16"/>
          <w:color w:val="auto"/>
        </w:rPr>
      </w:pPr>
    </w:p>
    <w:p>
      <w:pPr>
        <w:ind w:left="280" w:right="100"/>
        <w:spacing w:after="0" w:line="306" w:lineRule="auto"/>
        <w:rPr>
          <w:rFonts w:ascii="Arial" w:cs="Arial" w:eastAsia="Arial" w:hAnsi="Arial"/>
          <w:sz w:val="16"/>
          <w:szCs w:val="16"/>
          <w:color w:val="auto"/>
        </w:rPr>
      </w:pPr>
      <w:r>
        <w:rPr>
          <w:rFonts w:ascii="Arial" w:cs="Arial" w:eastAsia="Arial" w:hAnsi="Arial"/>
          <w:sz w:val="16"/>
          <w:szCs w:val="16"/>
          <w:color w:val="auto"/>
        </w:rPr>
        <w:t>During 2005, the company made contributions under its defined contribution retirement plan in the amount of $4,200 for Messrs. Templeton and Delfassy. The company accrued additional amounts of $46,725 and $21,935 for the benefit of Messrs. Templeton and Delfassy, respectively, to offset Internal Revenue Code limitations on amounts that could be contributed to the defined contribution retirement plan.</w:t>
      </w:r>
    </w:p>
    <w:p>
      <w:pPr>
        <w:spacing w:after="0" w:line="160" w:lineRule="exact"/>
        <w:rPr>
          <w:rFonts w:ascii="Arial" w:cs="Arial" w:eastAsia="Arial" w:hAnsi="Arial"/>
          <w:sz w:val="16"/>
          <w:szCs w:val="16"/>
          <w:color w:val="auto"/>
        </w:rPr>
      </w:pPr>
    </w:p>
    <w:p>
      <w:pPr>
        <w:ind w:left="280" w:right="280"/>
        <w:spacing w:after="0" w:line="268" w:lineRule="auto"/>
        <w:rPr>
          <w:rFonts w:ascii="Arial" w:cs="Arial" w:eastAsia="Arial" w:hAnsi="Arial"/>
          <w:sz w:val="16"/>
          <w:szCs w:val="16"/>
          <w:color w:val="auto"/>
        </w:rPr>
      </w:pPr>
      <w:r>
        <w:rPr>
          <w:rFonts w:ascii="Arial" w:cs="Arial" w:eastAsia="Arial" w:hAnsi="Arial"/>
          <w:sz w:val="18"/>
          <w:szCs w:val="18"/>
          <w:color w:val="auto"/>
        </w:rPr>
        <w:t>The following named executive officers received payments for unused vacation time that could not be carried forward: Mr. Delfassy, $12,600; Mr. Hames, $8,205; Mr. Lowe, $9,996; and Mr. Ritchie, $6,438.</w:t>
      </w:r>
    </w:p>
    <w:p>
      <w:pPr>
        <w:spacing w:after="0" w:line="185" w:lineRule="exact"/>
        <w:rPr>
          <w:rFonts w:ascii="Arial" w:cs="Arial" w:eastAsia="Arial" w:hAnsi="Arial"/>
          <w:sz w:val="16"/>
          <w:szCs w:val="16"/>
          <w:color w:val="auto"/>
        </w:rPr>
      </w:pPr>
    </w:p>
    <w:p>
      <w:pPr>
        <w:ind w:left="300" w:hanging="292"/>
        <w:spacing w:after="0"/>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Ritchie became an executive officer of the company in 2004.</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Option Grants in 2005</w:t>
      </w:r>
    </w:p>
    <w:p>
      <w:pPr>
        <w:spacing w:after="0" w:line="231"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The following table shows stock options granted to the named executive officers in 2005. Additionally, in accordance with the rules of the SEC, the table shows the hypothetical gains or option spreads that would exist for the options. These gains are based on assumed rates of annual compound stock appreciation of 5% and 10% from the date the options were granted over the full option term. The options have a 10-year term and generally become exercisable over the first four years of the term. Following termination of employment, an optionee generally has 30 days to exercise vested options unless the optionee has 20 years of service with TI or is otherwise retirement eligible, in which case the options continue to vest and are exercisable over their full term. Beginning with options granted</w:t>
      </w:r>
    </w:p>
    <w:p>
      <w:pPr>
        <w:sectPr>
          <w:pgSz w:w="11900" w:h="16838" w:orient="portrait"/>
          <w:cols w:equalWidth="0" w:num="1">
            <w:col w:w="11420"/>
          </w:cols>
          <w:pgMar w:left="240" w:top="131" w:right="239" w:bottom="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31" w:right="239" w:bottom="0" w:gutter="0" w:footer="0" w:header="0"/>
          <w:type w:val="continuous"/>
        </w:sectPr>
      </w:pPr>
    </w:p>
    <w:bookmarkStart w:id="13" w:name="page14"/>
    <w:bookmarkEnd w:id="13"/>
    <w:p>
      <w:pPr>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450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45085"/>
                    </a:xfrm>
                    <a:prstGeom prst="rect">
                      <a:avLst/>
                    </a:prstGeom>
                    <a:noFill/>
                  </pic:spPr>
                </pic:pic>
              </a:graphicData>
            </a:graphic>
          </wp:anchor>
        </w:drawing>
        <w:t>in February 2003, if an optionee terminates employment following 20 years of credited service but is not retirement eligible, the options continue to full term but only to the extent vested at the time of termination. The options become fully exercisable in the event of a change in control (as defined in the options) of the company. The exercise price may be paid by delivery of already-owned shares and tax withholding obligations related to exercise may be paid in shares.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Potential Realizable Value at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5"/>
              </w:rPr>
              <w:t>Assumed Annual Rates of Stock Price</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700" w:type="dxa"/>
            <w:vAlign w:val="bottom"/>
            <w:gridSpan w:val="8"/>
          </w:tcPr>
          <w:p>
            <w:pPr>
              <w:jc w:val="center"/>
              <w:spacing w:after="0"/>
              <w:rPr>
                <w:sz w:val="20"/>
                <w:szCs w:val="20"/>
                <w:color w:val="auto"/>
              </w:rPr>
            </w:pPr>
            <w:r>
              <w:rPr>
                <w:rFonts w:ascii="Arial" w:cs="Arial" w:eastAsia="Arial" w:hAnsi="Arial"/>
                <w:sz w:val="14"/>
                <w:szCs w:val="14"/>
                <w:b w:val="1"/>
                <w:bCs w:val="1"/>
                <w:color w:val="auto"/>
                <w:w w:val="88"/>
              </w:rPr>
              <w:t>Appreciation for Option Term (10 Years)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1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5%</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right"/>
              <w:ind w:right="756"/>
              <w:spacing w:after="0"/>
              <w:rPr>
                <w:sz w:val="20"/>
                <w:szCs w:val="20"/>
                <w:color w:val="auto"/>
              </w:rPr>
            </w:pPr>
            <w:r>
              <w:rPr>
                <w:rFonts w:ascii="Arial" w:cs="Arial" w:eastAsia="Arial" w:hAnsi="Arial"/>
                <w:sz w:val="14"/>
                <w:szCs w:val="14"/>
                <w:b w:val="1"/>
                <w:bCs w:val="1"/>
                <w:color w:val="auto"/>
                <w:w w:val="92"/>
              </w:rPr>
              <w:t>10%</w:t>
            </w:r>
          </w:p>
        </w:tc>
        <w:tc>
          <w:tcPr>
            <w:tcW w:w="0" w:type="dxa"/>
            <w:vAlign w:val="bottom"/>
          </w:tcPr>
          <w:p>
            <w:pPr>
              <w:spacing w:after="0"/>
              <w:rPr>
                <w:sz w:val="1"/>
                <w:szCs w:val="1"/>
                <w:color w:val="auto"/>
              </w:rPr>
            </w:pPr>
          </w:p>
        </w:tc>
      </w:tr>
      <w:tr>
        <w:trPr>
          <w:trHeight w:val="55"/>
        </w:trPr>
        <w:tc>
          <w:tcPr>
            <w:tcW w:w="1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 Of Total</w:t>
            </w: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Granted To</w:t>
            </w:r>
          </w:p>
        </w:tc>
        <w:tc>
          <w:tcPr>
            <w:tcW w:w="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3"/>
          </w:tcPr>
          <w:p>
            <w:pPr>
              <w:jc w:val="center"/>
              <w:ind w:right="332"/>
              <w:spacing w:after="0" w:line="149" w:lineRule="exact"/>
              <w:rPr>
                <w:sz w:val="20"/>
                <w:szCs w:val="20"/>
                <w:color w:val="auto"/>
              </w:rPr>
            </w:pPr>
            <w:r>
              <w:rPr>
                <w:rFonts w:ascii="Arial" w:cs="Arial" w:eastAsia="Arial" w:hAnsi="Arial"/>
                <w:sz w:val="14"/>
                <w:szCs w:val="14"/>
                <w:b w:val="1"/>
                <w:bCs w:val="1"/>
                <w:color w:val="auto"/>
                <w:w w:val="83"/>
              </w:rPr>
              <w:t>Stock</w:t>
            </w: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Stock</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Granted</w:t>
            </w:r>
          </w:p>
        </w:tc>
        <w:tc>
          <w:tcPr>
            <w:tcW w:w="2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Employees</w:t>
            </w:r>
          </w:p>
        </w:tc>
        <w:tc>
          <w:tcPr>
            <w:tcW w:w="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w:t>
            </w:r>
          </w:p>
        </w:tc>
        <w:tc>
          <w:tcPr>
            <w:tcW w:w="24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240" w:type="dxa"/>
            <w:vAlign w:val="bottom"/>
            <w:gridSpan w:val="3"/>
          </w:tcPr>
          <w:p>
            <w:pPr>
              <w:jc w:val="center"/>
              <w:ind w:right="312"/>
              <w:spacing w:after="0" w:line="149" w:lineRule="exact"/>
              <w:rPr>
                <w:sz w:val="20"/>
                <w:szCs w:val="20"/>
                <w:color w:val="auto"/>
              </w:rPr>
            </w:pPr>
            <w:r>
              <w:rPr>
                <w:rFonts w:ascii="Arial" w:cs="Arial" w:eastAsia="Arial" w:hAnsi="Arial"/>
                <w:sz w:val="14"/>
                <w:szCs w:val="14"/>
                <w:b w:val="1"/>
                <w:bCs w:val="1"/>
                <w:color w:val="auto"/>
                <w:w w:val="89"/>
              </w:rPr>
              <w:t>Price (per</w:t>
            </w: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Price (per</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720" w:type="dxa"/>
            <w:vAlign w:val="bottom"/>
          </w:tcPr>
          <w:p>
            <w:pPr>
              <w:spacing w:after="0"/>
              <w:rPr>
                <w:sz w:val="15"/>
                <w:szCs w:val="15"/>
                <w:color w:val="auto"/>
              </w:rPr>
            </w:pPr>
          </w:p>
        </w:tc>
        <w:tc>
          <w:tcPr>
            <w:tcW w:w="1000" w:type="dxa"/>
            <w:vAlign w:val="bottom"/>
          </w:tcPr>
          <w:p>
            <w:pPr>
              <w:ind w:left="100"/>
              <w:spacing w:after="0"/>
              <w:rPr>
                <w:sz w:val="20"/>
                <w:szCs w:val="20"/>
                <w:color w:val="auto"/>
              </w:rPr>
            </w:pPr>
            <w:r>
              <w:rPr>
                <w:rFonts w:ascii="Arial" w:cs="Arial" w:eastAsia="Arial" w:hAnsi="Arial"/>
                <w:sz w:val="14"/>
                <w:szCs w:val="14"/>
                <w:b w:val="1"/>
                <w:bCs w:val="1"/>
                <w:color w:val="auto"/>
                <w:w w:val="94"/>
              </w:rPr>
              <w:t>(in Shares) (1)</w:t>
            </w:r>
          </w:p>
        </w:tc>
        <w:tc>
          <w:tcPr>
            <w:tcW w:w="2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In 2005</w:t>
            </w:r>
          </w:p>
        </w:tc>
        <w:tc>
          <w:tcPr>
            <w:tcW w:w="2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7"/>
              </w:rPr>
              <w:t>Share)</w:t>
            </w:r>
          </w:p>
        </w:tc>
        <w:tc>
          <w:tcPr>
            <w:tcW w:w="240" w:type="dxa"/>
            <w:vAlign w:val="bottom"/>
          </w:tcPr>
          <w:p>
            <w:pPr>
              <w:spacing w:after="0"/>
              <w:rPr>
                <w:sz w:val="15"/>
                <w:szCs w:val="15"/>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Date</w:t>
            </w:r>
          </w:p>
        </w:tc>
        <w:tc>
          <w:tcPr>
            <w:tcW w:w="1240" w:type="dxa"/>
            <w:vAlign w:val="bottom"/>
            <w:gridSpan w:val="3"/>
          </w:tcPr>
          <w:p>
            <w:pPr>
              <w:jc w:val="center"/>
              <w:ind w:right="312"/>
              <w:spacing w:after="0"/>
              <w:rPr>
                <w:sz w:val="20"/>
                <w:szCs w:val="20"/>
                <w:color w:val="auto"/>
              </w:rPr>
            </w:pPr>
            <w:r>
              <w:rPr>
                <w:rFonts w:ascii="Arial" w:cs="Arial" w:eastAsia="Arial" w:hAnsi="Arial"/>
                <w:sz w:val="14"/>
                <w:szCs w:val="14"/>
                <w:b w:val="1"/>
                <w:bCs w:val="1"/>
                <w:color w:val="auto"/>
                <w:w w:val="88"/>
              </w:rPr>
              <w:t>Share)(2)</w:t>
            </w:r>
          </w:p>
        </w:tc>
        <w:tc>
          <w:tcPr>
            <w:tcW w:w="1000" w:type="dxa"/>
            <w:vAlign w:val="bottom"/>
          </w:tcPr>
          <w:p>
            <w:pPr>
              <w:jc w:val="center"/>
              <w:ind w:right="58"/>
              <w:spacing w:after="0"/>
              <w:rPr>
                <w:sz w:val="20"/>
                <w:szCs w:val="20"/>
                <w:color w:val="auto"/>
              </w:rPr>
            </w:pPr>
            <w:r>
              <w:rPr>
                <w:rFonts w:ascii="Arial" w:cs="Arial" w:eastAsia="Arial" w:hAnsi="Arial"/>
                <w:sz w:val="14"/>
                <w:szCs w:val="14"/>
                <w:b w:val="1"/>
                <w:bCs w:val="1"/>
                <w:color w:val="auto"/>
                <w:w w:val="96"/>
              </w:rPr>
              <w:t>Gain</w:t>
            </w:r>
          </w:p>
        </w:tc>
        <w:tc>
          <w:tcPr>
            <w:tcW w:w="240" w:type="dxa"/>
            <w:vAlign w:val="bottom"/>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Share)(2)</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296"/>
              <w:spacing w:after="0"/>
              <w:rPr>
                <w:sz w:val="20"/>
                <w:szCs w:val="20"/>
                <w:color w:val="auto"/>
              </w:rPr>
            </w:pPr>
            <w:r>
              <w:rPr>
                <w:rFonts w:ascii="Arial" w:cs="Arial" w:eastAsia="Arial" w:hAnsi="Arial"/>
                <w:sz w:val="14"/>
                <w:szCs w:val="14"/>
                <w:b w:val="1"/>
                <w:bCs w:val="1"/>
                <w:color w:val="auto"/>
              </w:rPr>
              <w:t>Gain</w:t>
            </w:r>
          </w:p>
        </w:tc>
        <w:tc>
          <w:tcPr>
            <w:tcW w:w="0" w:type="dxa"/>
            <w:vAlign w:val="bottom"/>
          </w:tcPr>
          <w:p>
            <w:pPr>
              <w:spacing w:after="0"/>
              <w:rPr>
                <w:sz w:val="1"/>
                <w:szCs w:val="1"/>
                <w:color w:val="auto"/>
              </w:rPr>
            </w:pPr>
          </w:p>
        </w:tc>
      </w:tr>
      <w:tr>
        <w:trPr>
          <w:trHeight w:val="55"/>
        </w:trPr>
        <w:tc>
          <w:tcPr>
            <w:tcW w:w="1160" w:type="dxa"/>
            <w:vAlign w:val="bottom"/>
            <w:tcBorders>
              <w:bottom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160" w:type="dxa"/>
            <w:vAlign w:val="bottom"/>
            <w:shd w:val="clear" w:color="auto" w:fill="FFF3CE"/>
          </w:tcPr>
          <w:p>
            <w:pPr>
              <w:spacing w:after="0"/>
              <w:rPr>
                <w:sz w:val="20"/>
                <w:szCs w:val="20"/>
                <w:color w:val="auto"/>
              </w:rPr>
            </w:pPr>
            <w:r>
              <w:rPr>
                <w:rFonts w:ascii="Arial" w:cs="Arial" w:eastAsia="Arial" w:hAnsi="Arial"/>
                <w:sz w:val="18"/>
                <w:szCs w:val="18"/>
                <w:color w:val="auto"/>
                <w:w w:val="91"/>
              </w:rPr>
              <w:t>R.K. Templeton</w:t>
            </w:r>
          </w:p>
        </w:tc>
        <w:tc>
          <w:tcPr>
            <w:tcW w:w="1720" w:type="dxa"/>
            <w:vAlign w:val="bottom"/>
            <w:gridSpan w:val="2"/>
            <w:shd w:val="clear" w:color="auto" w:fill="FFF3CE"/>
          </w:tcPr>
          <w:p>
            <w:pPr>
              <w:ind w:left="980"/>
              <w:spacing w:after="0"/>
              <w:rPr>
                <w:sz w:val="20"/>
                <w:szCs w:val="20"/>
                <w:color w:val="auto"/>
              </w:rPr>
            </w:pPr>
            <w:r>
              <w:rPr>
                <w:rFonts w:ascii="Arial" w:cs="Arial" w:eastAsia="Arial" w:hAnsi="Arial"/>
                <w:sz w:val="18"/>
                <w:szCs w:val="18"/>
                <w:color w:val="auto"/>
              </w:rPr>
              <w:t>500,000</w:t>
            </w:r>
          </w:p>
        </w:tc>
        <w:tc>
          <w:tcPr>
            <w:tcW w:w="112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2.2%</w:t>
            </w:r>
          </w:p>
        </w:tc>
        <w:tc>
          <w:tcPr>
            <w:tcW w:w="1100" w:type="dxa"/>
            <w:vAlign w:val="bottom"/>
            <w:gridSpan w:val="2"/>
            <w:shd w:val="clear" w:color="auto" w:fill="FFF3CE"/>
          </w:tcPr>
          <w:p>
            <w:pPr>
              <w:jc w:val="center"/>
              <w:ind w:left="152"/>
              <w:spacing w:after="0"/>
              <w:rPr>
                <w:sz w:val="20"/>
                <w:szCs w:val="20"/>
                <w:color w:val="auto"/>
              </w:rPr>
            </w:pPr>
            <w:r>
              <w:rPr>
                <w:rFonts w:ascii="Arial" w:cs="Arial" w:eastAsia="Arial" w:hAnsi="Arial"/>
                <w:sz w:val="18"/>
                <w:szCs w:val="18"/>
                <w:color w:val="auto"/>
                <w:w w:val="90"/>
              </w:rPr>
              <w:t>$21.55</w:t>
            </w:r>
          </w:p>
        </w:tc>
        <w:tc>
          <w:tcPr>
            <w:tcW w:w="1500" w:type="dxa"/>
            <w:vAlign w:val="bottom"/>
            <w:gridSpan w:val="2"/>
            <w:shd w:val="clear" w:color="auto" w:fill="FFF3CE"/>
          </w:tcPr>
          <w:p>
            <w:pPr>
              <w:jc w:val="right"/>
              <w:ind w:right="132"/>
              <w:spacing w:after="0"/>
              <w:rPr>
                <w:sz w:val="20"/>
                <w:szCs w:val="20"/>
                <w:color w:val="auto"/>
              </w:rPr>
            </w:pPr>
            <w:r>
              <w:rPr>
                <w:rFonts w:ascii="Arial" w:cs="Arial" w:eastAsia="Arial" w:hAnsi="Arial"/>
                <w:sz w:val="18"/>
                <w:szCs w:val="18"/>
                <w:color w:val="auto"/>
              </w:rPr>
              <w:t>01/20/2015</w:t>
            </w:r>
          </w:p>
        </w:tc>
        <w:tc>
          <w:tcPr>
            <w:tcW w:w="240" w:type="dxa"/>
            <w:vAlign w:val="bottom"/>
            <w:shd w:val="clear" w:color="auto" w:fill="FFF3CE"/>
          </w:tcPr>
          <w:p>
            <w:pPr>
              <w:spacing w:after="0"/>
              <w:rPr>
                <w:sz w:val="21"/>
                <w:szCs w:val="21"/>
                <w:color w:val="auto"/>
              </w:rPr>
            </w:pPr>
          </w:p>
        </w:tc>
        <w:tc>
          <w:tcPr>
            <w:tcW w:w="86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7"/>
              </w:rPr>
              <w:t>$35.10</w:t>
            </w:r>
          </w:p>
        </w:tc>
        <w:tc>
          <w:tcPr>
            <w:tcW w:w="240" w:type="dxa"/>
            <w:vAlign w:val="bottom"/>
            <w:shd w:val="clear" w:color="auto" w:fill="FFF3CE"/>
          </w:tcPr>
          <w:p>
            <w:pPr>
              <w:spacing w:after="0"/>
              <w:rPr>
                <w:sz w:val="21"/>
                <w:szCs w:val="21"/>
                <w:color w:val="auto"/>
              </w:rPr>
            </w:pPr>
          </w:p>
        </w:tc>
        <w:tc>
          <w:tcPr>
            <w:tcW w:w="140" w:type="dxa"/>
            <w:vAlign w:val="bottom"/>
            <w:shd w:val="clear" w:color="auto" w:fill="FFF3CE"/>
          </w:tcPr>
          <w:p>
            <w:pPr>
              <w:spacing w:after="0"/>
              <w:rPr>
                <w:sz w:val="21"/>
                <w:szCs w:val="21"/>
                <w:color w:val="auto"/>
              </w:rPr>
            </w:pPr>
          </w:p>
        </w:tc>
        <w:tc>
          <w:tcPr>
            <w:tcW w:w="1000" w:type="dxa"/>
            <w:vAlign w:val="bottom"/>
            <w:shd w:val="clear" w:color="auto" w:fill="FFF3CE"/>
          </w:tcPr>
          <w:p>
            <w:pPr>
              <w:jc w:val="center"/>
              <w:ind w:right="78"/>
              <w:spacing w:after="0"/>
              <w:rPr>
                <w:sz w:val="20"/>
                <w:szCs w:val="20"/>
                <w:color w:val="auto"/>
              </w:rPr>
            </w:pPr>
            <w:r>
              <w:rPr>
                <w:rFonts w:ascii="Arial" w:cs="Arial" w:eastAsia="Arial" w:hAnsi="Arial"/>
                <w:sz w:val="18"/>
                <w:szCs w:val="18"/>
                <w:color w:val="auto"/>
                <w:w w:val="88"/>
              </w:rPr>
              <w:t>$6,775,000</w:t>
            </w:r>
          </w:p>
        </w:tc>
        <w:tc>
          <w:tcPr>
            <w:tcW w:w="920" w:type="dxa"/>
            <w:vAlign w:val="bottom"/>
            <w:gridSpan w:val="2"/>
            <w:shd w:val="clear" w:color="auto" w:fill="FFF3CE"/>
          </w:tcPr>
          <w:p>
            <w:pPr>
              <w:jc w:val="center"/>
              <w:ind w:left="152"/>
              <w:spacing w:after="0"/>
              <w:rPr>
                <w:sz w:val="20"/>
                <w:szCs w:val="20"/>
                <w:color w:val="auto"/>
              </w:rPr>
            </w:pPr>
            <w:r>
              <w:rPr>
                <w:rFonts w:ascii="Arial" w:cs="Arial" w:eastAsia="Arial" w:hAnsi="Arial"/>
                <w:sz w:val="18"/>
                <w:szCs w:val="18"/>
                <w:color w:val="auto"/>
                <w:w w:val="87"/>
              </w:rPr>
              <w:t>$55.90</w:t>
            </w:r>
          </w:p>
        </w:tc>
        <w:tc>
          <w:tcPr>
            <w:tcW w:w="160" w:type="dxa"/>
            <w:vAlign w:val="bottom"/>
            <w:shd w:val="clear" w:color="auto" w:fill="FFF3CE"/>
          </w:tcPr>
          <w:p>
            <w:pPr>
              <w:spacing w:after="0"/>
              <w:rPr>
                <w:sz w:val="21"/>
                <w:szCs w:val="21"/>
                <w:color w:val="auto"/>
              </w:rPr>
            </w:pPr>
          </w:p>
        </w:tc>
        <w:tc>
          <w:tcPr>
            <w:tcW w:w="24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FFF3CE"/>
          </w:tcPr>
          <w:p>
            <w:pPr>
              <w:jc w:val="right"/>
              <w:spacing w:after="0"/>
              <w:rPr>
                <w:sz w:val="20"/>
                <w:szCs w:val="20"/>
                <w:color w:val="auto"/>
              </w:rPr>
            </w:pPr>
            <w:r>
              <w:rPr>
                <w:rFonts w:ascii="Arial" w:cs="Arial" w:eastAsia="Arial" w:hAnsi="Arial"/>
                <w:sz w:val="18"/>
                <w:szCs w:val="18"/>
                <w:color w:val="auto"/>
                <w:w w:val="86"/>
              </w:rPr>
              <w:t>17,175,000</w:t>
            </w:r>
          </w:p>
        </w:tc>
        <w:tc>
          <w:tcPr>
            <w:tcW w:w="0" w:type="dxa"/>
            <w:vAlign w:val="bottom"/>
          </w:tcPr>
          <w:p>
            <w:pPr>
              <w:spacing w:after="0"/>
              <w:rPr>
                <w:sz w:val="1"/>
                <w:szCs w:val="1"/>
                <w:color w:val="auto"/>
              </w:rPr>
            </w:pPr>
          </w:p>
        </w:tc>
      </w:tr>
      <w:tr>
        <w:trPr>
          <w:trHeight w:val="242"/>
        </w:trPr>
        <w:tc>
          <w:tcPr>
            <w:tcW w:w="1160" w:type="dxa"/>
            <w:vAlign w:val="bottom"/>
          </w:tcPr>
          <w:p>
            <w:pPr>
              <w:spacing w:after="0"/>
              <w:rPr>
                <w:sz w:val="20"/>
                <w:szCs w:val="20"/>
                <w:color w:val="auto"/>
              </w:rPr>
            </w:pPr>
            <w:r>
              <w:rPr>
                <w:rFonts w:ascii="Arial" w:cs="Arial" w:eastAsia="Arial" w:hAnsi="Arial"/>
                <w:sz w:val="18"/>
                <w:szCs w:val="18"/>
                <w:color w:val="auto"/>
              </w:rPr>
              <w:t>G. Delfassy</w:t>
            </w:r>
          </w:p>
        </w:tc>
        <w:tc>
          <w:tcPr>
            <w:tcW w:w="1720" w:type="dxa"/>
            <w:vAlign w:val="bottom"/>
            <w:gridSpan w:val="2"/>
          </w:tcPr>
          <w:p>
            <w:pPr>
              <w:ind w:left="980"/>
              <w:spacing w:after="0"/>
              <w:rPr>
                <w:sz w:val="20"/>
                <w:szCs w:val="20"/>
                <w:color w:val="auto"/>
              </w:rPr>
            </w:pPr>
            <w:r>
              <w:rPr>
                <w:rFonts w:ascii="Arial" w:cs="Arial" w:eastAsia="Arial" w:hAnsi="Arial"/>
                <w:sz w:val="18"/>
                <w:szCs w:val="18"/>
                <w:color w:val="auto"/>
              </w:rPr>
              <w:t>100,000</w:t>
            </w:r>
          </w:p>
        </w:tc>
        <w:tc>
          <w:tcPr>
            <w:tcW w:w="1120" w:type="dxa"/>
            <w:vAlign w:val="bottom"/>
            <w:gridSpan w:val="2"/>
          </w:tcPr>
          <w:p>
            <w:pPr>
              <w:jc w:val="right"/>
              <w:ind w:right="92"/>
              <w:spacing w:after="0"/>
              <w:rPr>
                <w:sz w:val="20"/>
                <w:szCs w:val="20"/>
                <w:color w:val="auto"/>
              </w:rPr>
            </w:pPr>
            <w:r>
              <w:rPr>
                <w:rFonts w:ascii="Arial" w:cs="Arial" w:eastAsia="Arial" w:hAnsi="Arial"/>
                <w:sz w:val="18"/>
                <w:szCs w:val="18"/>
                <w:color w:val="auto"/>
              </w:rPr>
              <w:t>0.40%</w:t>
            </w:r>
          </w:p>
        </w:tc>
        <w:tc>
          <w:tcPr>
            <w:tcW w:w="110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$21.55</w:t>
            </w:r>
          </w:p>
        </w:tc>
        <w:tc>
          <w:tcPr>
            <w:tcW w:w="1500" w:type="dxa"/>
            <w:vAlign w:val="bottom"/>
            <w:gridSpan w:val="2"/>
          </w:tcPr>
          <w:p>
            <w:pPr>
              <w:jc w:val="right"/>
              <w:ind w:right="132"/>
              <w:spacing w:after="0"/>
              <w:rPr>
                <w:sz w:val="20"/>
                <w:szCs w:val="20"/>
                <w:color w:val="auto"/>
              </w:rPr>
            </w:pPr>
            <w:r>
              <w:rPr>
                <w:rFonts w:ascii="Arial" w:cs="Arial" w:eastAsia="Arial" w:hAnsi="Arial"/>
                <w:sz w:val="18"/>
                <w:szCs w:val="18"/>
                <w:color w:val="auto"/>
              </w:rPr>
              <w:t>01/20/2015</w:t>
            </w:r>
          </w:p>
        </w:tc>
        <w:tc>
          <w:tcPr>
            <w:tcW w:w="24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$35.10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center"/>
              <w:ind w:right="78"/>
              <w:spacing w:after="0"/>
              <w:rPr>
                <w:sz w:val="20"/>
                <w:szCs w:val="20"/>
                <w:color w:val="auto"/>
              </w:rPr>
            </w:pPr>
            <w:r>
              <w:rPr>
                <w:rFonts w:ascii="Arial" w:cs="Arial" w:eastAsia="Arial" w:hAnsi="Arial"/>
                <w:sz w:val="18"/>
                <w:szCs w:val="18"/>
                <w:color w:val="auto"/>
                <w:w w:val="88"/>
              </w:rPr>
              <w:t>$1,355,000</w:t>
            </w:r>
          </w:p>
        </w:tc>
        <w:tc>
          <w:tcPr>
            <w:tcW w:w="920" w:type="dxa"/>
            <w:vAlign w:val="bottom"/>
            <w:gridSpan w:val="2"/>
          </w:tcPr>
          <w:p>
            <w:pPr>
              <w:jc w:val="center"/>
              <w:ind w:left="152"/>
              <w:spacing w:after="0"/>
              <w:rPr>
                <w:sz w:val="20"/>
                <w:szCs w:val="20"/>
                <w:color w:val="auto"/>
              </w:rPr>
            </w:pPr>
            <w:r>
              <w:rPr>
                <w:rFonts w:ascii="Arial" w:cs="Arial" w:eastAsia="Arial" w:hAnsi="Arial"/>
                <w:sz w:val="18"/>
                <w:szCs w:val="18"/>
                <w:color w:val="auto"/>
                <w:w w:val="87"/>
              </w:rPr>
              <w:t>$55.90</w:t>
            </w:r>
          </w:p>
        </w:tc>
        <w:tc>
          <w:tcPr>
            <w:tcW w:w="16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3,435,000</w:t>
            </w:r>
          </w:p>
        </w:tc>
        <w:tc>
          <w:tcPr>
            <w:tcW w:w="0" w:type="dxa"/>
            <w:vAlign w:val="bottom"/>
          </w:tcPr>
          <w:p>
            <w:pPr>
              <w:spacing w:after="0"/>
              <w:rPr>
                <w:sz w:val="1"/>
                <w:szCs w:val="1"/>
                <w:color w:val="auto"/>
              </w:rPr>
            </w:pPr>
          </w:p>
        </w:tc>
      </w:tr>
      <w:tr>
        <w:trPr>
          <w:trHeight w:val="244"/>
        </w:trPr>
        <w:tc>
          <w:tcPr>
            <w:tcW w:w="1160" w:type="dxa"/>
            <w:vAlign w:val="bottom"/>
            <w:shd w:val="clear" w:color="auto" w:fill="FFF3CE"/>
          </w:tcPr>
          <w:p>
            <w:pPr>
              <w:spacing w:after="0"/>
              <w:rPr>
                <w:sz w:val="20"/>
                <w:szCs w:val="20"/>
                <w:color w:val="auto"/>
              </w:rPr>
            </w:pPr>
            <w:r>
              <w:rPr>
                <w:rFonts w:ascii="Arial" w:cs="Arial" w:eastAsia="Arial" w:hAnsi="Arial"/>
                <w:sz w:val="18"/>
                <w:szCs w:val="18"/>
                <w:color w:val="auto"/>
              </w:rPr>
              <w:t>M.J. Hames</w:t>
            </w:r>
          </w:p>
        </w:tc>
        <w:tc>
          <w:tcPr>
            <w:tcW w:w="1720" w:type="dxa"/>
            <w:vAlign w:val="bottom"/>
            <w:gridSpan w:val="2"/>
            <w:shd w:val="clear" w:color="auto" w:fill="FFF3CE"/>
          </w:tcPr>
          <w:p>
            <w:pPr>
              <w:ind w:left="980"/>
              <w:spacing w:after="0"/>
              <w:rPr>
                <w:sz w:val="20"/>
                <w:szCs w:val="20"/>
                <w:color w:val="auto"/>
              </w:rPr>
            </w:pPr>
            <w:r>
              <w:rPr>
                <w:rFonts w:ascii="Arial" w:cs="Arial" w:eastAsia="Arial" w:hAnsi="Arial"/>
                <w:sz w:val="18"/>
                <w:szCs w:val="18"/>
                <w:color w:val="auto"/>
              </w:rPr>
              <w:t>100,000</w:t>
            </w:r>
          </w:p>
        </w:tc>
        <w:tc>
          <w:tcPr>
            <w:tcW w:w="112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0.40%</w:t>
            </w:r>
          </w:p>
        </w:tc>
        <w:tc>
          <w:tcPr>
            <w:tcW w:w="1100" w:type="dxa"/>
            <w:vAlign w:val="bottom"/>
            <w:gridSpan w:val="2"/>
            <w:shd w:val="clear" w:color="auto" w:fill="FFF3CE"/>
          </w:tcPr>
          <w:p>
            <w:pPr>
              <w:jc w:val="center"/>
              <w:ind w:left="152"/>
              <w:spacing w:after="0"/>
              <w:rPr>
                <w:sz w:val="20"/>
                <w:szCs w:val="20"/>
                <w:color w:val="auto"/>
              </w:rPr>
            </w:pPr>
            <w:r>
              <w:rPr>
                <w:rFonts w:ascii="Arial" w:cs="Arial" w:eastAsia="Arial" w:hAnsi="Arial"/>
                <w:sz w:val="18"/>
                <w:szCs w:val="18"/>
                <w:color w:val="auto"/>
                <w:w w:val="90"/>
              </w:rPr>
              <w:t>$21.55</w:t>
            </w:r>
          </w:p>
        </w:tc>
        <w:tc>
          <w:tcPr>
            <w:tcW w:w="1500" w:type="dxa"/>
            <w:vAlign w:val="bottom"/>
            <w:gridSpan w:val="2"/>
            <w:shd w:val="clear" w:color="auto" w:fill="FFF3CE"/>
          </w:tcPr>
          <w:p>
            <w:pPr>
              <w:jc w:val="right"/>
              <w:ind w:right="132"/>
              <w:spacing w:after="0"/>
              <w:rPr>
                <w:sz w:val="20"/>
                <w:szCs w:val="20"/>
                <w:color w:val="auto"/>
              </w:rPr>
            </w:pPr>
            <w:r>
              <w:rPr>
                <w:rFonts w:ascii="Arial" w:cs="Arial" w:eastAsia="Arial" w:hAnsi="Arial"/>
                <w:sz w:val="18"/>
                <w:szCs w:val="18"/>
                <w:color w:val="auto"/>
              </w:rPr>
              <w:t>01/20/2015</w:t>
            </w:r>
          </w:p>
        </w:tc>
        <w:tc>
          <w:tcPr>
            <w:tcW w:w="240" w:type="dxa"/>
            <w:vAlign w:val="bottom"/>
            <w:shd w:val="clear" w:color="auto" w:fill="FFF3CE"/>
          </w:tcPr>
          <w:p>
            <w:pPr>
              <w:spacing w:after="0"/>
              <w:rPr>
                <w:sz w:val="21"/>
                <w:szCs w:val="21"/>
                <w:color w:val="auto"/>
              </w:rPr>
            </w:pPr>
          </w:p>
        </w:tc>
        <w:tc>
          <w:tcPr>
            <w:tcW w:w="86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7"/>
              </w:rPr>
              <w:t>$35.10</w:t>
            </w:r>
          </w:p>
        </w:tc>
        <w:tc>
          <w:tcPr>
            <w:tcW w:w="240" w:type="dxa"/>
            <w:vAlign w:val="bottom"/>
            <w:shd w:val="clear" w:color="auto" w:fill="FFF3CE"/>
          </w:tcPr>
          <w:p>
            <w:pPr>
              <w:spacing w:after="0"/>
              <w:rPr>
                <w:sz w:val="21"/>
                <w:szCs w:val="21"/>
                <w:color w:val="auto"/>
              </w:rPr>
            </w:pPr>
          </w:p>
        </w:tc>
        <w:tc>
          <w:tcPr>
            <w:tcW w:w="140" w:type="dxa"/>
            <w:vAlign w:val="bottom"/>
            <w:shd w:val="clear" w:color="auto" w:fill="FFF3CE"/>
          </w:tcPr>
          <w:p>
            <w:pPr>
              <w:spacing w:after="0"/>
              <w:rPr>
                <w:sz w:val="21"/>
                <w:szCs w:val="21"/>
                <w:color w:val="auto"/>
              </w:rPr>
            </w:pPr>
          </w:p>
        </w:tc>
        <w:tc>
          <w:tcPr>
            <w:tcW w:w="1000" w:type="dxa"/>
            <w:vAlign w:val="bottom"/>
            <w:shd w:val="clear" w:color="auto" w:fill="FFF3CE"/>
          </w:tcPr>
          <w:p>
            <w:pPr>
              <w:jc w:val="center"/>
              <w:ind w:right="78"/>
              <w:spacing w:after="0"/>
              <w:rPr>
                <w:sz w:val="20"/>
                <w:szCs w:val="20"/>
                <w:color w:val="auto"/>
              </w:rPr>
            </w:pPr>
            <w:r>
              <w:rPr>
                <w:rFonts w:ascii="Arial" w:cs="Arial" w:eastAsia="Arial" w:hAnsi="Arial"/>
                <w:sz w:val="18"/>
                <w:szCs w:val="18"/>
                <w:color w:val="auto"/>
                <w:w w:val="88"/>
              </w:rPr>
              <w:t>$1,355,000</w:t>
            </w:r>
          </w:p>
        </w:tc>
        <w:tc>
          <w:tcPr>
            <w:tcW w:w="920" w:type="dxa"/>
            <w:vAlign w:val="bottom"/>
            <w:gridSpan w:val="2"/>
            <w:shd w:val="clear" w:color="auto" w:fill="FFF3CE"/>
          </w:tcPr>
          <w:p>
            <w:pPr>
              <w:jc w:val="center"/>
              <w:ind w:left="152"/>
              <w:spacing w:after="0"/>
              <w:rPr>
                <w:sz w:val="20"/>
                <w:szCs w:val="20"/>
                <w:color w:val="auto"/>
              </w:rPr>
            </w:pPr>
            <w:r>
              <w:rPr>
                <w:rFonts w:ascii="Arial" w:cs="Arial" w:eastAsia="Arial" w:hAnsi="Arial"/>
                <w:sz w:val="18"/>
                <w:szCs w:val="18"/>
                <w:color w:val="auto"/>
                <w:w w:val="87"/>
              </w:rPr>
              <w:t>$55.90</w:t>
            </w:r>
          </w:p>
        </w:tc>
        <w:tc>
          <w:tcPr>
            <w:tcW w:w="160" w:type="dxa"/>
            <w:vAlign w:val="bottom"/>
            <w:shd w:val="clear" w:color="auto" w:fill="FFF3CE"/>
          </w:tcPr>
          <w:p>
            <w:pPr>
              <w:spacing w:after="0"/>
              <w:rPr>
                <w:sz w:val="21"/>
                <w:szCs w:val="21"/>
                <w:color w:val="auto"/>
              </w:rPr>
            </w:pPr>
          </w:p>
        </w:tc>
        <w:tc>
          <w:tcPr>
            <w:tcW w:w="24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FFF3CE"/>
          </w:tcPr>
          <w:p>
            <w:pPr>
              <w:jc w:val="right"/>
              <w:spacing w:after="0"/>
              <w:rPr>
                <w:sz w:val="20"/>
                <w:szCs w:val="20"/>
                <w:color w:val="auto"/>
              </w:rPr>
            </w:pPr>
            <w:r>
              <w:rPr>
                <w:rFonts w:ascii="Arial" w:cs="Arial" w:eastAsia="Arial" w:hAnsi="Arial"/>
                <w:sz w:val="18"/>
                <w:szCs w:val="18"/>
                <w:color w:val="auto"/>
                <w:w w:val="97"/>
              </w:rPr>
              <w:t>3,435,000</w:t>
            </w:r>
          </w:p>
        </w:tc>
        <w:tc>
          <w:tcPr>
            <w:tcW w:w="0" w:type="dxa"/>
            <w:vAlign w:val="bottom"/>
          </w:tcPr>
          <w:p>
            <w:pPr>
              <w:spacing w:after="0"/>
              <w:rPr>
                <w:sz w:val="1"/>
                <w:szCs w:val="1"/>
                <w:color w:val="auto"/>
              </w:rPr>
            </w:pPr>
          </w:p>
        </w:tc>
      </w:tr>
      <w:tr>
        <w:trPr>
          <w:trHeight w:val="242"/>
        </w:trPr>
        <w:tc>
          <w:tcPr>
            <w:tcW w:w="1160" w:type="dxa"/>
            <w:vAlign w:val="bottom"/>
          </w:tcPr>
          <w:p>
            <w:pPr>
              <w:spacing w:after="0"/>
              <w:rPr>
                <w:sz w:val="20"/>
                <w:szCs w:val="20"/>
                <w:color w:val="auto"/>
              </w:rPr>
            </w:pPr>
            <w:r>
              <w:rPr>
                <w:rFonts w:ascii="Arial" w:cs="Arial" w:eastAsia="Arial" w:hAnsi="Arial"/>
                <w:sz w:val="18"/>
                <w:szCs w:val="18"/>
                <w:color w:val="auto"/>
              </w:rPr>
              <w:t>G.A. Lowe</w:t>
            </w:r>
          </w:p>
        </w:tc>
        <w:tc>
          <w:tcPr>
            <w:tcW w:w="1720" w:type="dxa"/>
            <w:vAlign w:val="bottom"/>
            <w:gridSpan w:val="2"/>
          </w:tcPr>
          <w:p>
            <w:pPr>
              <w:ind w:left="980"/>
              <w:spacing w:after="0"/>
              <w:rPr>
                <w:sz w:val="20"/>
                <w:szCs w:val="20"/>
                <w:color w:val="auto"/>
              </w:rPr>
            </w:pPr>
            <w:r>
              <w:rPr>
                <w:rFonts w:ascii="Arial" w:cs="Arial" w:eastAsia="Arial" w:hAnsi="Arial"/>
                <w:sz w:val="18"/>
                <w:szCs w:val="18"/>
                <w:color w:val="auto"/>
              </w:rPr>
              <w:t>100,000</w:t>
            </w:r>
          </w:p>
        </w:tc>
        <w:tc>
          <w:tcPr>
            <w:tcW w:w="1120" w:type="dxa"/>
            <w:vAlign w:val="bottom"/>
            <w:gridSpan w:val="2"/>
          </w:tcPr>
          <w:p>
            <w:pPr>
              <w:jc w:val="right"/>
              <w:ind w:right="92"/>
              <w:spacing w:after="0"/>
              <w:rPr>
                <w:sz w:val="20"/>
                <w:szCs w:val="20"/>
                <w:color w:val="auto"/>
              </w:rPr>
            </w:pPr>
            <w:r>
              <w:rPr>
                <w:rFonts w:ascii="Arial" w:cs="Arial" w:eastAsia="Arial" w:hAnsi="Arial"/>
                <w:sz w:val="18"/>
                <w:szCs w:val="18"/>
                <w:color w:val="auto"/>
              </w:rPr>
              <w:t>0.40%</w:t>
            </w:r>
          </w:p>
        </w:tc>
        <w:tc>
          <w:tcPr>
            <w:tcW w:w="110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$21.55</w:t>
            </w:r>
          </w:p>
        </w:tc>
        <w:tc>
          <w:tcPr>
            <w:tcW w:w="1500" w:type="dxa"/>
            <w:vAlign w:val="bottom"/>
            <w:gridSpan w:val="2"/>
          </w:tcPr>
          <w:p>
            <w:pPr>
              <w:jc w:val="right"/>
              <w:ind w:right="132"/>
              <w:spacing w:after="0"/>
              <w:rPr>
                <w:sz w:val="20"/>
                <w:szCs w:val="20"/>
                <w:color w:val="auto"/>
              </w:rPr>
            </w:pPr>
            <w:r>
              <w:rPr>
                <w:rFonts w:ascii="Arial" w:cs="Arial" w:eastAsia="Arial" w:hAnsi="Arial"/>
                <w:sz w:val="18"/>
                <w:szCs w:val="18"/>
                <w:color w:val="auto"/>
              </w:rPr>
              <w:t>01/20/2015</w:t>
            </w:r>
          </w:p>
        </w:tc>
        <w:tc>
          <w:tcPr>
            <w:tcW w:w="24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$35.10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center"/>
              <w:ind w:right="78"/>
              <w:spacing w:after="0"/>
              <w:rPr>
                <w:sz w:val="20"/>
                <w:szCs w:val="20"/>
                <w:color w:val="auto"/>
              </w:rPr>
            </w:pPr>
            <w:r>
              <w:rPr>
                <w:rFonts w:ascii="Arial" w:cs="Arial" w:eastAsia="Arial" w:hAnsi="Arial"/>
                <w:sz w:val="18"/>
                <w:szCs w:val="18"/>
                <w:color w:val="auto"/>
                <w:w w:val="88"/>
              </w:rPr>
              <w:t>$1,355,000</w:t>
            </w:r>
          </w:p>
        </w:tc>
        <w:tc>
          <w:tcPr>
            <w:tcW w:w="920" w:type="dxa"/>
            <w:vAlign w:val="bottom"/>
            <w:gridSpan w:val="2"/>
          </w:tcPr>
          <w:p>
            <w:pPr>
              <w:jc w:val="center"/>
              <w:ind w:left="152"/>
              <w:spacing w:after="0"/>
              <w:rPr>
                <w:sz w:val="20"/>
                <w:szCs w:val="20"/>
                <w:color w:val="auto"/>
              </w:rPr>
            </w:pPr>
            <w:r>
              <w:rPr>
                <w:rFonts w:ascii="Arial" w:cs="Arial" w:eastAsia="Arial" w:hAnsi="Arial"/>
                <w:sz w:val="18"/>
                <w:szCs w:val="18"/>
                <w:color w:val="auto"/>
                <w:w w:val="87"/>
              </w:rPr>
              <w:t>$55.90</w:t>
            </w:r>
          </w:p>
        </w:tc>
        <w:tc>
          <w:tcPr>
            <w:tcW w:w="16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3,435,000</w:t>
            </w:r>
          </w:p>
        </w:tc>
        <w:tc>
          <w:tcPr>
            <w:tcW w:w="0" w:type="dxa"/>
            <w:vAlign w:val="bottom"/>
          </w:tcPr>
          <w:p>
            <w:pPr>
              <w:spacing w:after="0"/>
              <w:rPr>
                <w:sz w:val="1"/>
                <w:szCs w:val="1"/>
                <w:color w:val="auto"/>
              </w:rPr>
            </w:pPr>
          </w:p>
        </w:tc>
      </w:tr>
      <w:tr>
        <w:trPr>
          <w:trHeight w:val="244"/>
        </w:trPr>
        <w:tc>
          <w:tcPr>
            <w:tcW w:w="1160" w:type="dxa"/>
            <w:vAlign w:val="bottom"/>
            <w:shd w:val="clear" w:color="auto" w:fill="FFF3CE"/>
          </w:tcPr>
          <w:p>
            <w:pPr>
              <w:spacing w:after="0"/>
              <w:rPr>
                <w:sz w:val="20"/>
                <w:szCs w:val="20"/>
                <w:color w:val="auto"/>
              </w:rPr>
            </w:pPr>
            <w:r>
              <w:rPr>
                <w:rFonts w:ascii="Arial" w:cs="Arial" w:eastAsia="Arial" w:hAnsi="Arial"/>
                <w:sz w:val="18"/>
                <w:szCs w:val="18"/>
                <w:color w:val="auto"/>
              </w:rPr>
              <w:t>K.J. Ritchie</w:t>
            </w:r>
          </w:p>
        </w:tc>
        <w:tc>
          <w:tcPr>
            <w:tcW w:w="1720" w:type="dxa"/>
            <w:vAlign w:val="bottom"/>
            <w:gridSpan w:val="2"/>
            <w:shd w:val="clear" w:color="auto" w:fill="FFF3CE"/>
          </w:tcPr>
          <w:p>
            <w:pPr>
              <w:ind w:left="980"/>
              <w:spacing w:after="0"/>
              <w:rPr>
                <w:sz w:val="20"/>
                <w:szCs w:val="20"/>
                <w:color w:val="auto"/>
              </w:rPr>
            </w:pPr>
            <w:r>
              <w:rPr>
                <w:rFonts w:ascii="Arial" w:cs="Arial" w:eastAsia="Arial" w:hAnsi="Arial"/>
                <w:sz w:val="18"/>
                <w:szCs w:val="18"/>
                <w:color w:val="auto"/>
              </w:rPr>
              <w:t>100,000</w:t>
            </w:r>
          </w:p>
        </w:tc>
        <w:tc>
          <w:tcPr>
            <w:tcW w:w="1120" w:type="dxa"/>
            <w:vAlign w:val="bottom"/>
            <w:gridSpan w:val="2"/>
            <w:shd w:val="clear" w:color="auto" w:fill="FFF3CE"/>
          </w:tcPr>
          <w:p>
            <w:pPr>
              <w:jc w:val="right"/>
              <w:ind w:right="92"/>
              <w:spacing w:after="0"/>
              <w:rPr>
                <w:sz w:val="20"/>
                <w:szCs w:val="20"/>
                <w:color w:val="auto"/>
              </w:rPr>
            </w:pPr>
            <w:r>
              <w:rPr>
                <w:rFonts w:ascii="Arial" w:cs="Arial" w:eastAsia="Arial" w:hAnsi="Arial"/>
                <w:sz w:val="18"/>
                <w:szCs w:val="18"/>
                <w:color w:val="auto"/>
              </w:rPr>
              <w:t>0.40%</w:t>
            </w:r>
          </w:p>
        </w:tc>
        <w:tc>
          <w:tcPr>
            <w:tcW w:w="1100" w:type="dxa"/>
            <w:vAlign w:val="bottom"/>
            <w:gridSpan w:val="2"/>
            <w:shd w:val="clear" w:color="auto" w:fill="FFF3CE"/>
          </w:tcPr>
          <w:p>
            <w:pPr>
              <w:jc w:val="center"/>
              <w:ind w:left="152"/>
              <w:spacing w:after="0"/>
              <w:rPr>
                <w:sz w:val="20"/>
                <w:szCs w:val="20"/>
                <w:color w:val="auto"/>
              </w:rPr>
            </w:pPr>
            <w:r>
              <w:rPr>
                <w:rFonts w:ascii="Arial" w:cs="Arial" w:eastAsia="Arial" w:hAnsi="Arial"/>
                <w:sz w:val="18"/>
                <w:szCs w:val="18"/>
                <w:color w:val="auto"/>
                <w:w w:val="90"/>
              </w:rPr>
              <w:t>$21.55</w:t>
            </w:r>
          </w:p>
        </w:tc>
        <w:tc>
          <w:tcPr>
            <w:tcW w:w="1500" w:type="dxa"/>
            <w:vAlign w:val="bottom"/>
            <w:gridSpan w:val="2"/>
            <w:shd w:val="clear" w:color="auto" w:fill="FFF3CE"/>
          </w:tcPr>
          <w:p>
            <w:pPr>
              <w:jc w:val="right"/>
              <w:ind w:right="132"/>
              <w:spacing w:after="0"/>
              <w:rPr>
                <w:sz w:val="20"/>
                <w:szCs w:val="20"/>
                <w:color w:val="auto"/>
              </w:rPr>
            </w:pPr>
            <w:r>
              <w:rPr>
                <w:rFonts w:ascii="Arial" w:cs="Arial" w:eastAsia="Arial" w:hAnsi="Arial"/>
                <w:sz w:val="18"/>
                <w:szCs w:val="18"/>
                <w:color w:val="auto"/>
              </w:rPr>
              <w:t>01/20/2015</w:t>
            </w:r>
          </w:p>
        </w:tc>
        <w:tc>
          <w:tcPr>
            <w:tcW w:w="240" w:type="dxa"/>
            <w:vAlign w:val="bottom"/>
            <w:shd w:val="clear" w:color="auto" w:fill="FFF3CE"/>
          </w:tcPr>
          <w:p>
            <w:pPr>
              <w:spacing w:after="0"/>
              <w:rPr>
                <w:sz w:val="21"/>
                <w:szCs w:val="21"/>
                <w:color w:val="auto"/>
              </w:rPr>
            </w:pPr>
          </w:p>
        </w:tc>
        <w:tc>
          <w:tcPr>
            <w:tcW w:w="860" w:type="dxa"/>
            <w:vAlign w:val="bottom"/>
            <w:shd w:val="clear" w:color="auto" w:fill="FFF3CE"/>
          </w:tcPr>
          <w:p>
            <w:pPr>
              <w:jc w:val="center"/>
              <w:spacing w:after="0"/>
              <w:rPr>
                <w:sz w:val="20"/>
                <w:szCs w:val="20"/>
                <w:color w:val="auto"/>
              </w:rPr>
            </w:pPr>
            <w:r>
              <w:rPr>
                <w:rFonts w:ascii="Arial" w:cs="Arial" w:eastAsia="Arial" w:hAnsi="Arial"/>
                <w:sz w:val="18"/>
                <w:szCs w:val="18"/>
                <w:color w:val="auto"/>
                <w:w w:val="87"/>
              </w:rPr>
              <w:t>$35.10</w:t>
            </w:r>
          </w:p>
        </w:tc>
        <w:tc>
          <w:tcPr>
            <w:tcW w:w="240" w:type="dxa"/>
            <w:vAlign w:val="bottom"/>
            <w:shd w:val="clear" w:color="auto" w:fill="FFF3CE"/>
          </w:tcPr>
          <w:p>
            <w:pPr>
              <w:spacing w:after="0"/>
              <w:rPr>
                <w:sz w:val="21"/>
                <w:szCs w:val="21"/>
                <w:color w:val="auto"/>
              </w:rPr>
            </w:pPr>
          </w:p>
        </w:tc>
        <w:tc>
          <w:tcPr>
            <w:tcW w:w="140" w:type="dxa"/>
            <w:vAlign w:val="bottom"/>
            <w:shd w:val="clear" w:color="auto" w:fill="FFF3CE"/>
          </w:tcPr>
          <w:p>
            <w:pPr>
              <w:spacing w:after="0"/>
              <w:rPr>
                <w:sz w:val="21"/>
                <w:szCs w:val="21"/>
                <w:color w:val="auto"/>
              </w:rPr>
            </w:pPr>
          </w:p>
        </w:tc>
        <w:tc>
          <w:tcPr>
            <w:tcW w:w="1000" w:type="dxa"/>
            <w:vAlign w:val="bottom"/>
            <w:shd w:val="clear" w:color="auto" w:fill="FFF3CE"/>
          </w:tcPr>
          <w:p>
            <w:pPr>
              <w:jc w:val="center"/>
              <w:ind w:right="78"/>
              <w:spacing w:after="0"/>
              <w:rPr>
                <w:sz w:val="20"/>
                <w:szCs w:val="20"/>
                <w:color w:val="auto"/>
              </w:rPr>
            </w:pPr>
            <w:r>
              <w:rPr>
                <w:rFonts w:ascii="Arial" w:cs="Arial" w:eastAsia="Arial" w:hAnsi="Arial"/>
                <w:sz w:val="18"/>
                <w:szCs w:val="18"/>
                <w:color w:val="auto"/>
                <w:w w:val="88"/>
              </w:rPr>
              <w:t>$1,355,000</w:t>
            </w:r>
          </w:p>
        </w:tc>
        <w:tc>
          <w:tcPr>
            <w:tcW w:w="920" w:type="dxa"/>
            <w:vAlign w:val="bottom"/>
            <w:gridSpan w:val="2"/>
            <w:shd w:val="clear" w:color="auto" w:fill="FFF3CE"/>
          </w:tcPr>
          <w:p>
            <w:pPr>
              <w:jc w:val="center"/>
              <w:ind w:left="152"/>
              <w:spacing w:after="0"/>
              <w:rPr>
                <w:sz w:val="20"/>
                <w:szCs w:val="20"/>
                <w:color w:val="auto"/>
              </w:rPr>
            </w:pPr>
            <w:r>
              <w:rPr>
                <w:rFonts w:ascii="Arial" w:cs="Arial" w:eastAsia="Arial" w:hAnsi="Arial"/>
                <w:sz w:val="18"/>
                <w:szCs w:val="18"/>
                <w:color w:val="auto"/>
                <w:w w:val="87"/>
              </w:rPr>
              <w:t>$55.90</w:t>
            </w:r>
          </w:p>
        </w:tc>
        <w:tc>
          <w:tcPr>
            <w:tcW w:w="160" w:type="dxa"/>
            <w:vAlign w:val="bottom"/>
            <w:shd w:val="clear" w:color="auto" w:fill="FFF3CE"/>
          </w:tcPr>
          <w:p>
            <w:pPr>
              <w:spacing w:after="0"/>
              <w:rPr>
                <w:sz w:val="21"/>
                <w:szCs w:val="21"/>
                <w:color w:val="auto"/>
              </w:rPr>
            </w:pPr>
          </w:p>
        </w:tc>
        <w:tc>
          <w:tcPr>
            <w:tcW w:w="24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FFF3CE"/>
          </w:tcPr>
          <w:p>
            <w:pPr>
              <w:jc w:val="right"/>
              <w:spacing w:after="0"/>
              <w:rPr>
                <w:sz w:val="20"/>
                <w:szCs w:val="20"/>
                <w:color w:val="auto"/>
              </w:rPr>
            </w:pPr>
            <w:r>
              <w:rPr>
                <w:rFonts w:ascii="Arial" w:cs="Arial" w:eastAsia="Arial" w:hAnsi="Arial"/>
                <w:sz w:val="18"/>
                <w:szCs w:val="18"/>
                <w:color w:val="auto"/>
                <w:w w:val="97"/>
              </w:rPr>
              <w:t>3,435,000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9950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360" w:right="100" w:hanging="352"/>
        <w:spacing w:after="0" w:line="259" w:lineRule="auto"/>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These nonqualified options were granted under a stockholder-approved plan on January 20, 2005, and become exercisable in four equal annual installments beginning on January 20, 2006. Any value actually realized by an executive officer from an option grant depends solely upon price increases in TI common stock benefiting all stockholders.</w:t>
      </w:r>
    </w:p>
    <w:p>
      <w:pPr>
        <w:spacing w:after="0" w:line="221" w:lineRule="exact"/>
        <w:rPr>
          <w:rFonts w:ascii="Arial" w:cs="Arial" w:eastAsia="Arial" w:hAnsi="Arial"/>
          <w:sz w:val="18"/>
          <w:szCs w:val="18"/>
          <w:color w:val="auto"/>
        </w:rPr>
      </w:pPr>
    </w:p>
    <w:p>
      <w:pPr>
        <w:ind w:left="360" w:right="60" w:hanging="352"/>
        <w:spacing w:after="0" w:line="268" w:lineRule="auto"/>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of TI common stock at the end of the 10-year term of the stock options granted on January 20, 2005, would be $35.10 at a 5% annual appreciation rate and $55.90 at a 10% annual appreciation rate.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Option Exercises in 2005 and Year-End Option Values</w:t>
      </w:r>
    </w:p>
    <w:p>
      <w:pPr>
        <w:spacing w:after="0" w:line="231"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The following table lists the number of shares acquired and the value realized as the result of option exercises in 2005 by the named executive officers. It also includes the number and value of the exercisable and unexercisable options as of December 31, 2005. The table contains values for “in-the-money” options, meaning those having a positive spread between the year-end share price of $32.07 and the exercise price.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Number of Unexercised</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6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40" w:type="dxa"/>
            <w:vAlign w:val="bottom"/>
            <w:gridSpan w:val="3"/>
          </w:tcPr>
          <w:p>
            <w:pPr>
              <w:jc w:val="center"/>
              <w:ind w:right="992"/>
              <w:spacing w:after="0" w:line="149" w:lineRule="exact"/>
              <w:rPr>
                <w:sz w:val="20"/>
                <w:szCs w:val="20"/>
                <w:color w:val="auto"/>
              </w:rPr>
            </w:pPr>
            <w:r>
              <w:rPr>
                <w:rFonts w:ascii="Arial" w:cs="Arial" w:eastAsia="Arial" w:hAnsi="Arial"/>
                <w:sz w:val="14"/>
                <w:szCs w:val="14"/>
                <w:b w:val="1"/>
                <w:bCs w:val="1"/>
                <w:color w:val="auto"/>
                <w:w w:val="86"/>
              </w:rPr>
              <w:t>Options at</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60" w:type="dxa"/>
            <w:vAlign w:val="bottom"/>
            <w:gridSpan w:val="4"/>
          </w:tcPr>
          <w:p>
            <w:pPr>
              <w:jc w:val="center"/>
              <w:ind w:right="212"/>
              <w:spacing w:after="0" w:line="149" w:lineRule="exact"/>
              <w:rPr>
                <w:sz w:val="20"/>
                <w:szCs w:val="20"/>
                <w:color w:val="auto"/>
              </w:rPr>
            </w:pPr>
            <w:r>
              <w:rPr>
                <w:rFonts w:ascii="Arial" w:cs="Arial" w:eastAsia="Arial" w:hAnsi="Arial"/>
                <w:sz w:val="14"/>
                <w:szCs w:val="14"/>
                <w:b w:val="1"/>
                <w:bCs w:val="1"/>
                <w:color w:val="auto"/>
                <w:w w:val="89"/>
              </w:rPr>
              <w:t>In-the-Money Options at</w:t>
            </w:r>
          </w:p>
        </w:tc>
        <w:tc>
          <w:tcPr>
            <w:tcW w:w="0" w:type="dxa"/>
            <w:vAlign w:val="bottom"/>
          </w:tcPr>
          <w:p>
            <w:pPr>
              <w:spacing w:after="0"/>
              <w:rPr>
                <w:sz w:val="1"/>
                <w:szCs w:val="1"/>
                <w:color w:val="auto"/>
              </w:rPr>
            </w:pPr>
          </w:p>
        </w:tc>
      </w:tr>
      <w:tr>
        <w:trPr>
          <w:trHeight w:val="174"/>
        </w:trPr>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December 31, 2005</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6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w w:val="85"/>
              </w:rPr>
              <w:t>December 31, 2005</w:t>
            </w:r>
          </w:p>
        </w:tc>
        <w:tc>
          <w:tcPr>
            <w:tcW w:w="0" w:type="dxa"/>
            <w:vAlign w:val="bottom"/>
          </w:tcPr>
          <w:p>
            <w:pPr>
              <w:spacing w:after="0"/>
              <w:rPr>
                <w:sz w:val="1"/>
                <w:szCs w:val="1"/>
                <w:color w:val="auto"/>
              </w:rPr>
            </w:pPr>
          </w:p>
        </w:tc>
      </w:tr>
      <w:tr>
        <w:trPr>
          <w:trHeight w:val="55"/>
        </w:trPr>
        <w:tc>
          <w:tcPr>
            <w:tcW w:w="1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6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8"/>
              </w:rPr>
              <w:t>Shares Acquired</w:t>
            </w: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4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0"/>
              </w:rPr>
              <w:t>Value</w:t>
            </w:r>
          </w:p>
        </w:tc>
        <w:tc>
          <w:tcPr>
            <w:tcW w:w="10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1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400" w:type="dxa"/>
            <w:vAlign w:val="bottom"/>
          </w:tcPr>
          <w:p>
            <w:pPr>
              <w:ind w:left="540"/>
              <w:spacing w:after="0"/>
              <w:rPr>
                <w:sz w:val="20"/>
                <w:szCs w:val="20"/>
                <w:color w:val="auto"/>
              </w:rPr>
            </w:pPr>
            <w:r>
              <w:rPr>
                <w:rFonts w:ascii="Arial" w:cs="Arial" w:eastAsia="Arial" w:hAnsi="Arial"/>
                <w:sz w:val="14"/>
                <w:szCs w:val="14"/>
                <w:b w:val="1"/>
                <w:bCs w:val="1"/>
                <w:color w:val="auto"/>
              </w:rPr>
              <w:t>Name</w:t>
            </w:r>
          </w:p>
        </w:tc>
        <w:tc>
          <w:tcPr>
            <w:tcW w:w="760" w:type="dxa"/>
            <w:vAlign w:val="bottom"/>
          </w:tcPr>
          <w:p>
            <w:pPr>
              <w:spacing w:after="0"/>
              <w:rPr>
                <w:sz w:val="15"/>
                <w:szCs w:val="15"/>
                <w:color w:val="auto"/>
              </w:rPr>
            </w:pPr>
          </w:p>
        </w:tc>
        <w:tc>
          <w:tcPr>
            <w:tcW w:w="1260" w:type="dxa"/>
            <w:vAlign w:val="bottom"/>
          </w:tcPr>
          <w:p>
            <w:pPr>
              <w:jc w:val="right"/>
              <w:ind w:right="232"/>
              <w:spacing w:after="0"/>
              <w:rPr>
                <w:sz w:val="20"/>
                <w:szCs w:val="20"/>
                <w:color w:val="auto"/>
              </w:rPr>
            </w:pPr>
            <w:r>
              <w:rPr>
                <w:rFonts w:ascii="Arial" w:cs="Arial" w:eastAsia="Arial" w:hAnsi="Arial"/>
                <w:sz w:val="14"/>
                <w:szCs w:val="14"/>
                <w:b w:val="1"/>
                <w:bCs w:val="1"/>
                <w:color w:val="auto"/>
              </w:rPr>
              <w:t>on Exercise</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Realized</w:t>
            </w:r>
          </w:p>
        </w:tc>
        <w:tc>
          <w:tcPr>
            <w:tcW w:w="1060" w:type="dxa"/>
            <w:vAlign w:val="bottom"/>
          </w:tcPr>
          <w:p>
            <w:pPr>
              <w:jc w:val="right"/>
              <w:ind w:right="20"/>
              <w:spacing w:after="0"/>
              <w:rPr>
                <w:sz w:val="20"/>
                <w:szCs w:val="20"/>
                <w:color w:val="auto"/>
              </w:rPr>
            </w:pPr>
            <w:r>
              <w:rPr>
                <w:rFonts w:ascii="Arial" w:cs="Arial" w:eastAsia="Arial" w:hAnsi="Arial"/>
                <w:sz w:val="14"/>
                <w:szCs w:val="14"/>
                <w:b w:val="1"/>
                <w:bCs w:val="1"/>
                <w:color w:val="auto"/>
              </w:rPr>
              <w:t>Exercisable</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ind w:right="152"/>
              <w:spacing w:after="0"/>
              <w:rPr>
                <w:sz w:val="20"/>
                <w:szCs w:val="20"/>
                <w:color w:val="auto"/>
              </w:rPr>
            </w:pPr>
            <w:r>
              <w:rPr>
                <w:rFonts w:ascii="Arial" w:cs="Arial" w:eastAsia="Arial" w:hAnsi="Arial"/>
                <w:sz w:val="14"/>
                <w:szCs w:val="14"/>
                <w:b w:val="1"/>
                <w:bCs w:val="1"/>
                <w:color w:val="auto"/>
              </w:rPr>
              <w:t>Unexercisable</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281"/>
              <w:spacing w:after="0"/>
              <w:rPr>
                <w:sz w:val="20"/>
                <w:szCs w:val="20"/>
                <w:color w:val="auto"/>
              </w:rPr>
            </w:pPr>
            <w:r>
              <w:rPr>
                <w:rFonts w:ascii="Arial" w:cs="Arial" w:eastAsia="Arial" w:hAnsi="Arial"/>
                <w:sz w:val="14"/>
                <w:szCs w:val="14"/>
                <w:b w:val="1"/>
                <w:bCs w:val="1"/>
                <w:color w:val="auto"/>
                <w:w w:val="87"/>
              </w:rPr>
              <w:t>Exercisable</w:t>
            </w:r>
          </w:p>
        </w:tc>
        <w:tc>
          <w:tcPr>
            <w:tcW w:w="260" w:type="dxa"/>
            <w:vAlign w:val="bottom"/>
          </w:tcPr>
          <w:p>
            <w:pPr>
              <w:spacing w:after="0"/>
              <w:rPr>
                <w:sz w:val="15"/>
                <w:szCs w:val="15"/>
                <w:color w:val="auto"/>
              </w:rPr>
            </w:pPr>
          </w:p>
        </w:tc>
        <w:tc>
          <w:tcPr>
            <w:tcW w:w="134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55"/>
        </w:trPr>
        <w:tc>
          <w:tcPr>
            <w:tcW w:w="1400" w:type="dxa"/>
            <w:vAlign w:val="bottom"/>
            <w:tcBorders>
              <w:bottom w:val="single" w:sz="8" w:color="auto"/>
            </w:tcBorders>
          </w:tcPr>
          <w:p>
            <w:pPr>
              <w:spacing w:after="0"/>
              <w:rPr>
                <w:sz w:val="4"/>
                <w:szCs w:val="4"/>
                <w:color w:val="auto"/>
              </w:rPr>
            </w:pPr>
          </w:p>
        </w:tc>
        <w:tc>
          <w:tcPr>
            <w:tcW w:w="76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1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400" w:type="dxa"/>
            <w:vAlign w:val="bottom"/>
            <w:shd w:val="clear" w:color="auto" w:fill="FFF3CE"/>
          </w:tcPr>
          <w:p>
            <w:pPr>
              <w:spacing w:after="0"/>
              <w:rPr>
                <w:sz w:val="20"/>
                <w:szCs w:val="20"/>
                <w:color w:val="auto"/>
              </w:rPr>
            </w:pPr>
            <w:r>
              <w:rPr>
                <w:rFonts w:ascii="Arial" w:cs="Arial" w:eastAsia="Arial" w:hAnsi="Arial"/>
                <w:sz w:val="18"/>
                <w:szCs w:val="18"/>
                <w:color w:val="auto"/>
              </w:rPr>
              <w:t>R.K. Templeton</w:t>
            </w:r>
          </w:p>
        </w:tc>
        <w:tc>
          <w:tcPr>
            <w:tcW w:w="2020" w:type="dxa"/>
            <w:vAlign w:val="bottom"/>
            <w:gridSpan w:val="2"/>
            <w:shd w:val="clear" w:color="auto" w:fill="FFF3CE"/>
          </w:tcPr>
          <w:p>
            <w:pPr>
              <w:jc w:val="right"/>
              <w:ind w:right="232"/>
              <w:spacing w:after="0"/>
              <w:rPr>
                <w:sz w:val="20"/>
                <w:szCs w:val="20"/>
                <w:color w:val="auto"/>
              </w:rPr>
            </w:pPr>
            <w:r>
              <w:rPr>
                <w:rFonts w:ascii="Arial" w:cs="Arial" w:eastAsia="Arial" w:hAnsi="Arial"/>
                <w:sz w:val="18"/>
                <w:szCs w:val="18"/>
                <w:color w:val="auto"/>
              </w:rPr>
              <w:t>0</w:t>
            </w:r>
          </w:p>
        </w:tc>
        <w:tc>
          <w:tcPr>
            <w:tcW w:w="58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FFF3CE"/>
          </w:tcPr>
          <w:p>
            <w:pPr>
              <w:jc w:val="right"/>
              <w:ind w:right="198"/>
              <w:spacing w:after="0"/>
              <w:rPr>
                <w:sz w:val="20"/>
                <w:szCs w:val="20"/>
                <w:color w:val="auto"/>
              </w:rPr>
            </w:pPr>
            <w:r>
              <w:rPr>
                <w:rFonts w:ascii="Arial" w:cs="Arial" w:eastAsia="Arial" w:hAnsi="Arial"/>
                <w:sz w:val="18"/>
                <w:szCs w:val="18"/>
                <w:color w:val="auto"/>
              </w:rPr>
              <w:t>0</w:t>
            </w:r>
          </w:p>
        </w:tc>
        <w:tc>
          <w:tcPr>
            <w:tcW w:w="260" w:type="dxa"/>
            <w:vAlign w:val="bottom"/>
            <w:shd w:val="clear" w:color="auto" w:fill="FFF3CE"/>
          </w:tcPr>
          <w:p>
            <w:pPr>
              <w:spacing w:after="0"/>
              <w:rPr>
                <w:sz w:val="21"/>
                <w:szCs w:val="21"/>
                <w:color w:val="auto"/>
              </w:rPr>
            </w:pPr>
          </w:p>
        </w:tc>
        <w:tc>
          <w:tcPr>
            <w:tcW w:w="1060" w:type="dxa"/>
            <w:vAlign w:val="bottom"/>
            <w:shd w:val="clear" w:color="auto" w:fill="FFF3CE"/>
          </w:tcPr>
          <w:p>
            <w:pPr>
              <w:jc w:val="right"/>
              <w:spacing w:after="0"/>
              <w:rPr>
                <w:sz w:val="20"/>
                <w:szCs w:val="20"/>
                <w:color w:val="auto"/>
              </w:rPr>
            </w:pPr>
            <w:r>
              <w:rPr>
                <w:rFonts w:ascii="Arial" w:cs="Arial" w:eastAsia="Arial" w:hAnsi="Arial"/>
                <w:sz w:val="18"/>
                <w:szCs w:val="18"/>
                <w:color w:val="auto"/>
              </w:rPr>
              <w:t>3,598,750</w:t>
            </w:r>
          </w:p>
        </w:tc>
        <w:tc>
          <w:tcPr>
            <w:tcW w:w="1740" w:type="dxa"/>
            <w:vAlign w:val="bottom"/>
            <w:gridSpan w:val="3"/>
            <w:shd w:val="clear" w:color="auto" w:fill="FFF3CE"/>
          </w:tcPr>
          <w:p>
            <w:pPr>
              <w:jc w:val="right"/>
              <w:ind w:right="192"/>
              <w:spacing w:after="0"/>
              <w:rPr>
                <w:sz w:val="20"/>
                <w:szCs w:val="20"/>
                <w:color w:val="auto"/>
              </w:rPr>
            </w:pPr>
            <w:r>
              <w:rPr>
                <w:rFonts w:ascii="Arial" w:cs="Arial" w:eastAsia="Arial" w:hAnsi="Arial"/>
                <w:sz w:val="18"/>
                <w:szCs w:val="18"/>
                <w:color w:val="auto"/>
              </w:rPr>
              <w:t>1,681,250</w:t>
            </w:r>
          </w:p>
        </w:tc>
        <w:tc>
          <w:tcPr>
            <w:tcW w:w="58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FFF3CE"/>
          </w:tcPr>
          <w:p>
            <w:pPr>
              <w:jc w:val="right"/>
              <w:ind w:right="181"/>
              <w:spacing w:after="0"/>
              <w:rPr>
                <w:sz w:val="20"/>
                <w:szCs w:val="20"/>
                <w:color w:val="auto"/>
              </w:rPr>
            </w:pPr>
            <w:r>
              <w:rPr>
                <w:rFonts w:ascii="Arial" w:cs="Arial" w:eastAsia="Arial" w:hAnsi="Arial"/>
                <w:sz w:val="18"/>
                <w:szCs w:val="18"/>
                <w:color w:val="auto"/>
                <w:w w:val="86"/>
              </w:rPr>
              <w:t>35,627,988</w:t>
            </w:r>
          </w:p>
        </w:tc>
        <w:tc>
          <w:tcPr>
            <w:tcW w:w="60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FFF3CE"/>
          </w:tcPr>
          <w:p>
            <w:pPr>
              <w:jc w:val="right"/>
              <w:ind w:right="132"/>
              <w:spacing w:after="0"/>
              <w:rPr>
                <w:sz w:val="20"/>
                <w:szCs w:val="20"/>
                <w:color w:val="auto"/>
              </w:rPr>
            </w:pPr>
            <w:r>
              <w:rPr>
                <w:rFonts w:ascii="Arial" w:cs="Arial" w:eastAsia="Arial" w:hAnsi="Arial"/>
                <w:sz w:val="18"/>
                <w:szCs w:val="18"/>
                <w:color w:val="auto"/>
                <w:w w:val="84"/>
              </w:rPr>
              <w:t>14,084,063</w:t>
            </w:r>
          </w:p>
        </w:tc>
        <w:tc>
          <w:tcPr>
            <w:tcW w:w="0" w:type="dxa"/>
            <w:vAlign w:val="bottom"/>
          </w:tcPr>
          <w:p>
            <w:pPr>
              <w:spacing w:after="0"/>
              <w:rPr>
                <w:sz w:val="1"/>
                <w:szCs w:val="1"/>
                <w:color w:val="auto"/>
              </w:rPr>
            </w:pPr>
          </w:p>
        </w:tc>
      </w:tr>
      <w:tr>
        <w:trPr>
          <w:trHeight w:val="242"/>
        </w:trPr>
        <w:tc>
          <w:tcPr>
            <w:tcW w:w="1400" w:type="dxa"/>
            <w:vAlign w:val="bottom"/>
          </w:tcPr>
          <w:p>
            <w:pPr>
              <w:spacing w:after="0"/>
              <w:rPr>
                <w:sz w:val="20"/>
                <w:szCs w:val="20"/>
                <w:color w:val="auto"/>
              </w:rPr>
            </w:pPr>
            <w:r>
              <w:rPr>
                <w:rFonts w:ascii="Arial" w:cs="Arial" w:eastAsia="Arial" w:hAnsi="Arial"/>
                <w:sz w:val="18"/>
                <w:szCs w:val="18"/>
                <w:color w:val="auto"/>
              </w:rPr>
              <w:t>G. Delfassy</w:t>
            </w:r>
          </w:p>
        </w:tc>
        <w:tc>
          <w:tcPr>
            <w:tcW w:w="2020" w:type="dxa"/>
            <w:vAlign w:val="bottom"/>
            <w:gridSpan w:val="2"/>
          </w:tcPr>
          <w:p>
            <w:pPr>
              <w:jc w:val="right"/>
              <w:ind w:right="232"/>
              <w:spacing w:after="0"/>
              <w:rPr>
                <w:sz w:val="20"/>
                <w:szCs w:val="20"/>
                <w:color w:val="auto"/>
              </w:rPr>
            </w:pPr>
            <w:r>
              <w:rPr>
                <w:rFonts w:ascii="Arial" w:cs="Arial" w:eastAsia="Arial" w:hAnsi="Arial"/>
                <w:sz w:val="18"/>
                <w:szCs w:val="18"/>
                <w:color w:val="auto"/>
              </w:rPr>
              <w:t>20,000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8"/>
              <w:spacing w:after="0"/>
              <w:rPr>
                <w:sz w:val="20"/>
                <w:szCs w:val="20"/>
                <w:color w:val="auto"/>
              </w:rPr>
            </w:pPr>
            <w:r>
              <w:rPr>
                <w:rFonts w:ascii="Arial" w:cs="Arial" w:eastAsia="Arial" w:hAnsi="Arial"/>
                <w:sz w:val="18"/>
                <w:szCs w:val="18"/>
                <w:color w:val="auto"/>
              </w:rPr>
              <w:t>158,200</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817,500</w:t>
            </w:r>
          </w:p>
        </w:tc>
        <w:tc>
          <w:tcPr>
            <w:tcW w:w="1740" w:type="dxa"/>
            <w:vAlign w:val="bottom"/>
            <w:gridSpan w:val="3"/>
          </w:tcPr>
          <w:p>
            <w:pPr>
              <w:jc w:val="right"/>
              <w:ind w:right="192"/>
              <w:spacing w:after="0"/>
              <w:rPr>
                <w:sz w:val="20"/>
                <w:szCs w:val="20"/>
                <w:color w:val="auto"/>
              </w:rPr>
            </w:pPr>
            <w:r>
              <w:rPr>
                <w:rFonts w:ascii="Arial" w:cs="Arial" w:eastAsia="Arial" w:hAnsi="Arial"/>
                <w:sz w:val="18"/>
                <w:szCs w:val="18"/>
                <w:color w:val="auto"/>
              </w:rPr>
              <w:t>462,500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81"/>
              <w:spacing w:after="0"/>
              <w:rPr>
                <w:sz w:val="20"/>
                <w:szCs w:val="20"/>
                <w:color w:val="auto"/>
              </w:rPr>
            </w:pPr>
            <w:r>
              <w:rPr>
                <w:rFonts w:ascii="Arial" w:cs="Arial" w:eastAsia="Arial" w:hAnsi="Arial"/>
                <w:sz w:val="18"/>
                <w:szCs w:val="18"/>
                <w:color w:val="auto"/>
                <w:w w:val="97"/>
              </w:rPr>
              <w:t>4,743,200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w w:val="94"/>
              </w:rPr>
              <w:t>4,116,500</w:t>
            </w:r>
          </w:p>
        </w:tc>
        <w:tc>
          <w:tcPr>
            <w:tcW w:w="0" w:type="dxa"/>
            <w:vAlign w:val="bottom"/>
          </w:tcPr>
          <w:p>
            <w:pPr>
              <w:spacing w:after="0"/>
              <w:rPr>
                <w:sz w:val="1"/>
                <w:szCs w:val="1"/>
                <w:color w:val="auto"/>
              </w:rPr>
            </w:pPr>
          </w:p>
        </w:tc>
      </w:tr>
      <w:tr>
        <w:trPr>
          <w:trHeight w:val="244"/>
        </w:trPr>
        <w:tc>
          <w:tcPr>
            <w:tcW w:w="1400" w:type="dxa"/>
            <w:vAlign w:val="bottom"/>
            <w:shd w:val="clear" w:color="auto" w:fill="FFF3CE"/>
          </w:tcPr>
          <w:p>
            <w:pPr>
              <w:spacing w:after="0"/>
              <w:rPr>
                <w:sz w:val="20"/>
                <w:szCs w:val="20"/>
                <w:color w:val="auto"/>
              </w:rPr>
            </w:pPr>
            <w:r>
              <w:rPr>
                <w:rFonts w:ascii="Arial" w:cs="Arial" w:eastAsia="Arial" w:hAnsi="Arial"/>
                <w:sz w:val="18"/>
                <w:szCs w:val="18"/>
                <w:color w:val="auto"/>
              </w:rPr>
              <w:t>M.J. Hames</w:t>
            </w:r>
          </w:p>
        </w:tc>
        <w:tc>
          <w:tcPr>
            <w:tcW w:w="2020" w:type="dxa"/>
            <w:vAlign w:val="bottom"/>
            <w:gridSpan w:val="2"/>
            <w:shd w:val="clear" w:color="auto" w:fill="FFF3CE"/>
          </w:tcPr>
          <w:p>
            <w:pPr>
              <w:jc w:val="right"/>
              <w:ind w:right="232"/>
              <w:spacing w:after="0"/>
              <w:rPr>
                <w:sz w:val="20"/>
                <w:szCs w:val="20"/>
                <w:color w:val="auto"/>
              </w:rPr>
            </w:pPr>
            <w:r>
              <w:rPr>
                <w:rFonts w:ascii="Arial" w:cs="Arial" w:eastAsia="Arial" w:hAnsi="Arial"/>
                <w:sz w:val="18"/>
                <w:szCs w:val="18"/>
                <w:color w:val="auto"/>
              </w:rPr>
              <w:t>280,000</w:t>
            </w:r>
          </w:p>
        </w:tc>
        <w:tc>
          <w:tcPr>
            <w:tcW w:w="58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FFF3CE"/>
          </w:tcPr>
          <w:p>
            <w:pPr>
              <w:jc w:val="right"/>
              <w:ind w:right="198"/>
              <w:spacing w:after="0"/>
              <w:rPr>
                <w:sz w:val="20"/>
                <w:szCs w:val="20"/>
                <w:color w:val="auto"/>
              </w:rPr>
            </w:pPr>
            <w:r>
              <w:rPr>
                <w:rFonts w:ascii="Arial" w:cs="Arial" w:eastAsia="Arial" w:hAnsi="Arial"/>
                <w:sz w:val="18"/>
                <w:szCs w:val="18"/>
                <w:color w:val="auto"/>
                <w:w w:val="84"/>
              </w:rPr>
              <w:t>6,161,600</w:t>
            </w:r>
          </w:p>
        </w:tc>
        <w:tc>
          <w:tcPr>
            <w:tcW w:w="260" w:type="dxa"/>
            <w:vAlign w:val="bottom"/>
            <w:shd w:val="clear" w:color="auto" w:fill="FFF3CE"/>
          </w:tcPr>
          <w:p>
            <w:pPr>
              <w:spacing w:after="0"/>
              <w:rPr>
                <w:sz w:val="21"/>
                <w:szCs w:val="21"/>
                <w:color w:val="auto"/>
              </w:rPr>
            </w:pPr>
          </w:p>
        </w:tc>
        <w:tc>
          <w:tcPr>
            <w:tcW w:w="1060" w:type="dxa"/>
            <w:vAlign w:val="bottom"/>
            <w:shd w:val="clear" w:color="auto" w:fill="FFF3CE"/>
          </w:tcPr>
          <w:p>
            <w:pPr>
              <w:jc w:val="right"/>
              <w:spacing w:after="0"/>
              <w:rPr>
                <w:sz w:val="20"/>
                <w:szCs w:val="20"/>
                <w:color w:val="auto"/>
              </w:rPr>
            </w:pPr>
            <w:r>
              <w:rPr>
                <w:rFonts w:ascii="Arial" w:cs="Arial" w:eastAsia="Arial" w:hAnsi="Arial"/>
                <w:sz w:val="18"/>
                <w:szCs w:val="18"/>
                <w:color w:val="auto"/>
              </w:rPr>
              <w:t>862,500</w:t>
            </w:r>
          </w:p>
        </w:tc>
        <w:tc>
          <w:tcPr>
            <w:tcW w:w="1740" w:type="dxa"/>
            <w:vAlign w:val="bottom"/>
            <w:gridSpan w:val="3"/>
            <w:shd w:val="clear" w:color="auto" w:fill="FFF3CE"/>
          </w:tcPr>
          <w:p>
            <w:pPr>
              <w:jc w:val="right"/>
              <w:ind w:right="192"/>
              <w:spacing w:after="0"/>
              <w:rPr>
                <w:sz w:val="20"/>
                <w:szCs w:val="20"/>
                <w:color w:val="auto"/>
              </w:rPr>
            </w:pPr>
            <w:r>
              <w:rPr>
                <w:rFonts w:ascii="Arial" w:cs="Arial" w:eastAsia="Arial" w:hAnsi="Arial"/>
                <w:sz w:val="18"/>
                <w:szCs w:val="18"/>
                <w:color w:val="auto"/>
              </w:rPr>
              <w:t>462,500</w:t>
            </w:r>
          </w:p>
        </w:tc>
        <w:tc>
          <w:tcPr>
            <w:tcW w:w="58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FFF3CE"/>
          </w:tcPr>
          <w:p>
            <w:pPr>
              <w:jc w:val="right"/>
              <w:ind w:right="181"/>
              <w:spacing w:after="0"/>
              <w:rPr>
                <w:sz w:val="20"/>
                <w:szCs w:val="20"/>
                <w:color w:val="auto"/>
              </w:rPr>
            </w:pPr>
            <w:r>
              <w:rPr>
                <w:rFonts w:ascii="Arial" w:cs="Arial" w:eastAsia="Arial" w:hAnsi="Arial"/>
                <w:sz w:val="18"/>
                <w:szCs w:val="18"/>
                <w:color w:val="auto"/>
                <w:w w:val="97"/>
              </w:rPr>
              <w:t>4,965,525</w:t>
            </w:r>
          </w:p>
        </w:tc>
        <w:tc>
          <w:tcPr>
            <w:tcW w:w="60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FFF3CE"/>
          </w:tcPr>
          <w:p>
            <w:pPr>
              <w:jc w:val="right"/>
              <w:ind w:right="132"/>
              <w:spacing w:after="0"/>
              <w:rPr>
                <w:sz w:val="20"/>
                <w:szCs w:val="20"/>
                <w:color w:val="auto"/>
              </w:rPr>
            </w:pPr>
            <w:r>
              <w:rPr>
                <w:rFonts w:ascii="Arial" w:cs="Arial" w:eastAsia="Arial" w:hAnsi="Arial"/>
                <w:sz w:val="18"/>
                <w:szCs w:val="18"/>
                <w:color w:val="auto"/>
                <w:w w:val="94"/>
              </w:rPr>
              <w:t>4,383,875</w:t>
            </w:r>
          </w:p>
        </w:tc>
        <w:tc>
          <w:tcPr>
            <w:tcW w:w="0" w:type="dxa"/>
            <w:vAlign w:val="bottom"/>
          </w:tcPr>
          <w:p>
            <w:pPr>
              <w:spacing w:after="0"/>
              <w:rPr>
                <w:sz w:val="1"/>
                <w:szCs w:val="1"/>
                <w:color w:val="auto"/>
              </w:rPr>
            </w:pPr>
          </w:p>
        </w:tc>
      </w:tr>
      <w:tr>
        <w:trPr>
          <w:trHeight w:val="242"/>
        </w:trPr>
        <w:tc>
          <w:tcPr>
            <w:tcW w:w="1400" w:type="dxa"/>
            <w:vAlign w:val="bottom"/>
          </w:tcPr>
          <w:p>
            <w:pPr>
              <w:spacing w:after="0"/>
              <w:rPr>
                <w:sz w:val="20"/>
                <w:szCs w:val="20"/>
                <w:color w:val="auto"/>
              </w:rPr>
            </w:pPr>
            <w:r>
              <w:rPr>
                <w:rFonts w:ascii="Arial" w:cs="Arial" w:eastAsia="Arial" w:hAnsi="Arial"/>
                <w:sz w:val="18"/>
                <w:szCs w:val="18"/>
                <w:color w:val="auto"/>
              </w:rPr>
              <w:t>G.A. Lowe</w:t>
            </w:r>
          </w:p>
        </w:tc>
        <w:tc>
          <w:tcPr>
            <w:tcW w:w="2020" w:type="dxa"/>
            <w:vAlign w:val="bottom"/>
            <w:gridSpan w:val="2"/>
          </w:tcPr>
          <w:p>
            <w:pPr>
              <w:jc w:val="right"/>
              <w:ind w:right="232"/>
              <w:spacing w:after="0"/>
              <w:rPr>
                <w:sz w:val="20"/>
                <w:szCs w:val="20"/>
                <w:color w:val="auto"/>
              </w:rPr>
            </w:pPr>
            <w:r>
              <w:rPr>
                <w:rFonts w:ascii="Arial" w:cs="Arial" w:eastAsia="Arial" w:hAnsi="Arial"/>
                <w:sz w:val="18"/>
                <w:szCs w:val="18"/>
                <w:color w:val="auto"/>
              </w:rPr>
              <w:t>230,000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8"/>
              <w:spacing w:after="0"/>
              <w:rPr>
                <w:sz w:val="20"/>
                <w:szCs w:val="20"/>
                <w:color w:val="auto"/>
              </w:rPr>
            </w:pPr>
            <w:r>
              <w:rPr>
                <w:rFonts w:ascii="Arial" w:cs="Arial" w:eastAsia="Arial" w:hAnsi="Arial"/>
                <w:sz w:val="18"/>
                <w:szCs w:val="18"/>
                <w:color w:val="auto"/>
                <w:w w:val="84"/>
              </w:rPr>
              <w:t>2,617,000</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391,250</w:t>
            </w:r>
          </w:p>
        </w:tc>
        <w:tc>
          <w:tcPr>
            <w:tcW w:w="1740" w:type="dxa"/>
            <w:vAlign w:val="bottom"/>
            <w:gridSpan w:val="3"/>
          </w:tcPr>
          <w:p>
            <w:pPr>
              <w:jc w:val="right"/>
              <w:ind w:right="192"/>
              <w:spacing w:after="0"/>
              <w:rPr>
                <w:sz w:val="20"/>
                <w:szCs w:val="20"/>
                <w:color w:val="auto"/>
              </w:rPr>
            </w:pPr>
            <w:r>
              <w:rPr>
                <w:rFonts w:ascii="Arial" w:cs="Arial" w:eastAsia="Arial" w:hAnsi="Arial"/>
                <w:sz w:val="18"/>
                <w:szCs w:val="18"/>
                <w:color w:val="auto"/>
              </w:rPr>
              <w:t>393,750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81"/>
              <w:spacing w:after="0"/>
              <w:rPr>
                <w:sz w:val="20"/>
                <w:szCs w:val="20"/>
                <w:color w:val="auto"/>
              </w:rPr>
            </w:pPr>
            <w:r>
              <w:rPr>
                <w:rFonts w:ascii="Arial" w:cs="Arial" w:eastAsia="Arial" w:hAnsi="Arial"/>
                <w:sz w:val="18"/>
                <w:szCs w:val="18"/>
                <w:color w:val="auto"/>
                <w:w w:val="97"/>
              </w:rPr>
              <w:t>1,367,088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w w:val="94"/>
              </w:rPr>
              <w:t>3,613,063</w:t>
            </w:r>
          </w:p>
        </w:tc>
        <w:tc>
          <w:tcPr>
            <w:tcW w:w="0" w:type="dxa"/>
            <w:vAlign w:val="bottom"/>
          </w:tcPr>
          <w:p>
            <w:pPr>
              <w:spacing w:after="0"/>
              <w:rPr>
                <w:sz w:val="1"/>
                <w:szCs w:val="1"/>
                <w:color w:val="auto"/>
              </w:rPr>
            </w:pPr>
          </w:p>
        </w:tc>
      </w:tr>
      <w:tr>
        <w:trPr>
          <w:trHeight w:val="244"/>
        </w:trPr>
        <w:tc>
          <w:tcPr>
            <w:tcW w:w="1400" w:type="dxa"/>
            <w:vAlign w:val="bottom"/>
            <w:shd w:val="clear" w:color="auto" w:fill="FFF3CE"/>
          </w:tcPr>
          <w:p>
            <w:pPr>
              <w:spacing w:after="0"/>
              <w:rPr>
                <w:sz w:val="20"/>
                <w:szCs w:val="20"/>
                <w:color w:val="auto"/>
              </w:rPr>
            </w:pPr>
            <w:r>
              <w:rPr>
                <w:rFonts w:ascii="Arial" w:cs="Arial" w:eastAsia="Arial" w:hAnsi="Arial"/>
                <w:sz w:val="18"/>
                <w:szCs w:val="18"/>
                <w:color w:val="auto"/>
              </w:rPr>
              <w:t>K.J. Ritchie</w:t>
            </w:r>
          </w:p>
        </w:tc>
        <w:tc>
          <w:tcPr>
            <w:tcW w:w="2020" w:type="dxa"/>
            <w:vAlign w:val="bottom"/>
            <w:gridSpan w:val="2"/>
            <w:shd w:val="clear" w:color="auto" w:fill="FFF3CE"/>
          </w:tcPr>
          <w:p>
            <w:pPr>
              <w:jc w:val="right"/>
              <w:ind w:right="232"/>
              <w:spacing w:after="0"/>
              <w:rPr>
                <w:sz w:val="20"/>
                <w:szCs w:val="20"/>
                <w:color w:val="auto"/>
              </w:rPr>
            </w:pPr>
            <w:r>
              <w:rPr>
                <w:rFonts w:ascii="Arial" w:cs="Arial" w:eastAsia="Arial" w:hAnsi="Arial"/>
                <w:sz w:val="18"/>
                <w:szCs w:val="18"/>
                <w:color w:val="auto"/>
              </w:rPr>
              <w:t>110,000</w:t>
            </w:r>
          </w:p>
        </w:tc>
        <w:tc>
          <w:tcPr>
            <w:tcW w:w="58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FFF3CE"/>
          </w:tcPr>
          <w:p>
            <w:pPr>
              <w:jc w:val="right"/>
              <w:ind w:right="198"/>
              <w:spacing w:after="0"/>
              <w:rPr>
                <w:sz w:val="20"/>
                <w:szCs w:val="20"/>
                <w:color w:val="auto"/>
              </w:rPr>
            </w:pPr>
            <w:r>
              <w:rPr>
                <w:rFonts w:ascii="Arial" w:cs="Arial" w:eastAsia="Arial" w:hAnsi="Arial"/>
                <w:sz w:val="18"/>
                <w:szCs w:val="18"/>
                <w:color w:val="auto"/>
                <w:w w:val="84"/>
              </w:rPr>
              <w:t>2,160,700</w:t>
            </w:r>
          </w:p>
        </w:tc>
        <w:tc>
          <w:tcPr>
            <w:tcW w:w="260" w:type="dxa"/>
            <w:vAlign w:val="bottom"/>
            <w:shd w:val="clear" w:color="auto" w:fill="FFF3CE"/>
          </w:tcPr>
          <w:p>
            <w:pPr>
              <w:spacing w:after="0"/>
              <w:rPr>
                <w:sz w:val="21"/>
                <w:szCs w:val="21"/>
                <w:color w:val="auto"/>
              </w:rPr>
            </w:pPr>
          </w:p>
        </w:tc>
        <w:tc>
          <w:tcPr>
            <w:tcW w:w="1060" w:type="dxa"/>
            <w:vAlign w:val="bottom"/>
            <w:shd w:val="clear" w:color="auto" w:fill="FFF3CE"/>
          </w:tcPr>
          <w:p>
            <w:pPr>
              <w:jc w:val="right"/>
              <w:spacing w:after="0"/>
              <w:rPr>
                <w:sz w:val="20"/>
                <w:szCs w:val="20"/>
                <w:color w:val="auto"/>
              </w:rPr>
            </w:pPr>
            <w:r>
              <w:rPr>
                <w:rFonts w:ascii="Arial" w:cs="Arial" w:eastAsia="Arial" w:hAnsi="Arial"/>
                <w:sz w:val="18"/>
                <w:szCs w:val="18"/>
                <w:color w:val="auto"/>
              </w:rPr>
              <w:t>463,850</w:t>
            </w:r>
          </w:p>
        </w:tc>
        <w:tc>
          <w:tcPr>
            <w:tcW w:w="1740" w:type="dxa"/>
            <w:vAlign w:val="bottom"/>
            <w:gridSpan w:val="3"/>
            <w:shd w:val="clear" w:color="auto" w:fill="FFF3CE"/>
          </w:tcPr>
          <w:p>
            <w:pPr>
              <w:jc w:val="right"/>
              <w:ind w:right="192"/>
              <w:spacing w:after="0"/>
              <w:rPr>
                <w:sz w:val="20"/>
                <w:szCs w:val="20"/>
                <w:color w:val="auto"/>
              </w:rPr>
            </w:pPr>
            <w:r>
              <w:rPr>
                <w:rFonts w:ascii="Arial" w:cs="Arial" w:eastAsia="Arial" w:hAnsi="Arial"/>
                <w:sz w:val="18"/>
                <w:szCs w:val="18"/>
                <w:color w:val="auto"/>
              </w:rPr>
              <w:t>376,250</w:t>
            </w:r>
          </w:p>
        </w:tc>
        <w:tc>
          <w:tcPr>
            <w:tcW w:w="58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FFF3CE"/>
          </w:tcPr>
          <w:p>
            <w:pPr>
              <w:jc w:val="right"/>
              <w:ind w:right="181"/>
              <w:spacing w:after="0"/>
              <w:rPr>
                <w:sz w:val="20"/>
                <w:szCs w:val="20"/>
                <w:color w:val="auto"/>
              </w:rPr>
            </w:pPr>
            <w:r>
              <w:rPr>
                <w:rFonts w:ascii="Arial" w:cs="Arial" w:eastAsia="Arial" w:hAnsi="Arial"/>
                <w:sz w:val="18"/>
                <w:szCs w:val="18"/>
                <w:color w:val="auto"/>
                <w:w w:val="97"/>
              </w:rPr>
              <w:t>3,091,876</w:t>
            </w:r>
          </w:p>
        </w:tc>
        <w:tc>
          <w:tcPr>
            <w:tcW w:w="600" w:type="dxa"/>
            <w:vAlign w:val="bottom"/>
            <w:gridSpan w:val="2"/>
            <w:shd w:val="clear" w:color="auto" w:fill="FFF3CE"/>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FFF3CE"/>
          </w:tcPr>
          <w:p>
            <w:pPr>
              <w:jc w:val="right"/>
              <w:ind w:right="132"/>
              <w:spacing w:after="0"/>
              <w:rPr>
                <w:sz w:val="20"/>
                <w:szCs w:val="20"/>
                <w:color w:val="auto"/>
              </w:rPr>
            </w:pPr>
            <w:r>
              <w:rPr>
                <w:rFonts w:ascii="Arial" w:cs="Arial" w:eastAsia="Arial" w:hAnsi="Arial"/>
                <w:sz w:val="18"/>
                <w:szCs w:val="18"/>
                <w:color w:val="auto"/>
                <w:w w:val="94"/>
              </w:rPr>
              <w:t>3,334,463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 Table</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required by SEC rules, the table below shows the approximate benefits relating to the company’s pension plan and nonqualified supplemental pension plan that would be payable as of December 31, 2005, to employees in higher salary classifications for the average credited earnings and years of credited service indicated if they were paid as an annuity. It assumes retirement at age 65. Benefits are based on eligible earnings. Eligible earnings include salary and bonus as shown in the summary compensation table. Other elements of compensation shown in the summary compensation table or referred to in the footnotes to that table are not included in eligible earnings.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Because the pension plan is a qualified plan, it is subject to various restrictions under the Internal Revenue Code (Code) and the Employee Retirement Income Security Act of 1974 (ERISA) with respect to benefit calculations and payments. ERISA and the Code limit the maximum annual benefit payable under a qualified plan such as the pension plan to $170,000. Further, the eligible earnings used to calculate benefits are capped by ERISA; in 2005, the cap was $210,000. To address these limitations, TI employees, including the named executive officers, are eligible for additional retirement benefits to be paid by the company under a nonqualified supplemental pension plan.</w:t>
      </w:r>
    </w:p>
    <w:p>
      <w:pPr>
        <w:spacing w:after="0" w:line="19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1997, the company’s U.S. employees were given the option of continuing to participate in the pension plan or participating in a new defined contribution retirement plan. Mr. Templeton chose to participate in the new plan. Accordingly, his benefits under the pension plan (described in footnote 1 below) were frozen as of December 31, 1997. Contributions to the defined contribution retirement plan for Mr. Templeton’s benefit are included in the summary compensation table. Mr. Delfassy transferred to the company’s U.S. payroll in 1999 and participates in the defined contribution retirement plan. Contributions to the plan for Mr. Delfassy’s benefit are included in the summary compensation table.</w:t>
      </w:r>
    </w:p>
    <w:p>
      <w:pPr>
        <w:sectPr>
          <w:pgSz w:w="11900" w:h="16838" w:orient="portrait"/>
          <w:cols w:equalWidth="0" w:num="1">
            <w:col w:w="11400"/>
          </w:cols>
          <w:pgMar w:left="240" w:top="982" w:right="259" w:bottom="0" w:gutter="0" w:footer="0" w:header="0"/>
        </w:sectPr>
      </w:pPr>
    </w:p>
    <w:bookmarkStart w:id="14" w:name="page15"/>
    <w:bookmarkEnd w:id="14"/>
    <w:p>
      <w:pPr>
        <w:jc w:val="center"/>
        <w:ind w:left="1640"/>
        <w:spacing w:after="0"/>
        <w:rPr>
          <w:sz w:val="20"/>
          <w:szCs w:val="20"/>
          <w:color w:val="auto"/>
        </w:rPr>
      </w:pPr>
      <w:r>
        <w:rPr>
          <w:rFonts w:ascii="Arial" w:cs="Arial" w:eastAsia="Arial" w:hAnsi="Arial"/>
          <w:sz w:val="14"/>
          <w:szCs w:val="14"/>
          <w:b w:val="1"/>
          <w:bCs w:val="1"/>
          <w:color w:val="auto"/>
        </w:rPr>
        <w:t>Estimated Annual Benefits Under Pension Plan</w:t>
      </w:r>
    </w:p>
    <w:p>
      <w:pPr>
        <w:spacing w:after="0" w:line="1" w:lineRule="exact"/>
        <w:rPr>
          <w:sz w:val="20"/>
          <w:szCs w:val="20"/>
          <w:color w:val="auto"/>
        </w:rPr>
      </w:pPr>
    </w:p>
    <w:p>
      <w:pPr>
        <w:jc w:val="center"/>
        <w:ind w:left="1640"/>
        <w:spacing w:after="0"/>
        <w:rPr>
          <w:sz w:val="20"/>
          <w:szCs w:val="20"/>
          <w:color w:val="auto"/>
        </w:rPr>
      </w:pPr>
      <w:r>
        <w:rPr>
          <w:rFonts w:ascii="Arial" w:cs="Arial" w:eastAsia="Arial" w:hAnsi="Arial"/>
          <w:sz w:val="14"/>
          <w:szCs w:val="14"/>
          <w:b w:val="1"/>
          <w:bCs w:val="1"/>
          <w:color w:val="auto"/>
        </w:rPr>
        <w:t>for Specified Years of Credited Service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34925</wp:posOffset>
            </wp:positionV>
            <wp:extent cx="6037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7580" cy="8890"/>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7"/>
              </w:rPr>
              <w:t>Average Credited</w:t>
            </w: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4"/>
        </w:trPr>
        <w:tc>
          <w:tcPr>
            <w:tcW w:w="178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Earnings (1)</w:t>
            </w:r>
          </w:p>
        </w:tc>
        <w:tc>
          <w:tcPr>
            <w:tcW w:w="1060" w:type="dxa"/>
            <w:vAlign w:val="bottom"/>
          </w:tcPr>
          <w:p>
            <w:pPr>
              <w:ind w:left="280"/>
              <w:spacing w:after="0"/>
              <w:rPr>
                <w:sz w:val="20"/>
                <w:szCs w:val="20"/>
                <w:color w:val="auto"/>
              </w:rPr>
            </w:pPr>
            <w:r>
              <w:rPr>
                <w:rFonts w:ascii="Arial" w:cs="Arial" w:eastAsia="Arial" w:hAnsi="Arial"/>
                <w:sz w:val="14"/>
                <w:szCs w:val="14"/>
                <w:b w:val="1"/>
                <w:bCs w:val="1"/>
                <w:color w:val="auto"/>
              </w:rPr>
              <w:t>15 Years</w:t>
            </w:r>
          </w:p>
        </w:tc>
        <w:tc>
          <w:tcPr>
            <w:tcW w:w="240" w:type="dxa"/>
            <w:vAlign w:val="bottom"/>
          </w:tcPr>
          <w:p>
            <w:pPr>
              <w:spacing w:after="0"/>
              <w:rPr>
                <w:sz w:val="15"/>
                <w:szCs w:val="15"/>
                <w:color w:val="auto"/>
              </w:rPr>
            </w:pPr>
          </w:p>
        </w:tc>
        <w:tc>
          <w:tcPr>
            <w:tcW w:w="1080" w:type="dxa"/>
            <w:vAlign w:val="bottom"/>
          </w:tcPr>
          <w:p>
            <w:pPr>
              <w:ind w:left="300"/>
              <w:spacing w:after="0"/>
              <w:rPr>
                <w:sz w:val="20"/>
                <w:szCs w:val="20"/>
                <w:color w:val="auto"/>
              </w:rPr>
            </w:pPr>
            <w:r>
              <w:rPr>
                <w:rFonts w:ascii="Arial" w:cs="Arial" w:eastAsia="Arial" w:hAnsi="Arial"/>
                <w:sz w:val="14"/>
                <w:szCs w:val="14"/>
                <w:b w:val="1"/>
                <w:bCs w:val="1"/>
                <w:color w:val="auto"/>
              </w:rPr>
              <w:t>20 Years</w:t>
            </w:r>
          </w:p>
        </w:tc>
        <w:tc>
          <w:tcPr>
            <w:tcW w:w="260" w:type="dxa"/>
            <w:vAlign w:val="bottom"/>
          </w:tcPr>
          <w:p>
            <w:pPr>
              <w:spacing w:after="0"/>
              <w:rPr>
                <w:sz w:val="15"/>
                <w:szCs w:val="15"/>
                <w:color w:val="auto"/>
              </w:rPr>
            </w:pPr>
          </w:p>
        </w:tc>
        <w:tc>
          <w:tcPr>
            <w:tcW w:w="1200" w:type="dxa"/>
            <w:vAlign w:val="bottom"/>
          </w:tcPr>
          <w:p>
            <w:pPr>
              <w:jc w:val="right"/>
              <w:ind w:right="292"/>
              <w:spacing w:after="0"/>
              <w:rPr>
                <w:sz w:val="20"/>
                <w:szCs w:val="20"/>
                <w:color w:val="auto"/>
              </w:rPr>
            </w:pPr>
            <w:r>
              <w:rPr>
                <w:rFonts w:ascii="Arial" w:cs="Arial" w:eastAsia="Arial" w:hAnsi="Arial"/>
                <w:sz w:val="14"/>
                <w:szCs w:val="14"/>
                <w:b w:val="1"/>
                <w:bCs w:val="1"/>
                <w:color w:val="auto"/>
              </w:rPr>
              <w:t>25 Years</w:t>
            </w:r>
          </w:p>
        </w:tc>
        <w:tc>
          <w:tcPr>
            <w:tcW w:w="240" w:type="dxa"/>
            <w:vAlign w:val="bottom"/>
          </w:tcPr>
          <w:p>
            <w:pPr>
              <w:spacing w:after="0"/>
              <w:rPr>
                <w:sz w:val="15"/>
                <w:szCs w:val="15"/>
                <w:color w:val="auto"/>
              </w:rPr>
            </w:pPr>
          </w:p>
        </w:tc>
        <w:tc>
          <w:tcPr>
            <w:tcW w:w="1220" w:type="dxa"/>
            <w:vAlign w:val="bottom"/>
          </w:tcPr>
          <w:p>
            <w:pPr>
              <w:jc w:val="right"/>
              <w:ind w:right="292"/>
              <w:spacing w:after="0"/>
              <w:rPr>
                <w:sz w:val="20"/>
                <w:szCs w:val="20"/>
                <w:color w:val="auto"/>
              </w:rPr>
            </w:pPr>
            <w:r>
              <w:rPr>
                <w:rFonts w:ascii="Arial" w:cs="Arial" w:eastAsia="Arial" w:hAnsi="Arial"/>
                <w:sz w:val="14"/>
                <w:szCs w:val="14"/>
                <w:b w:val="1"/>
                <w:bCs w:val="1"/>
                <w:color w:val="auto"/>
              </w:rPr>
              <w:t>30 Years</w:t>
            </w:r>
          </w:p>
        </w:tc>
        <w:tc>
          <w:tcPr>
            <w:tcW w:w="240" w:type="dxa"/>
            <w:vAlign w:val="bottom"/>
          </w:tcPr>
          <w:p>
            <w:pPr>
              <w:spacing w:after="0"/>
              <w:rPr>
                <w:sz w:val="15"/>
                <w:szCs w:val="15"/>
                <w:color w:val="auto"/>
              </w:rPr>
            </w:pPr>
          </w:p>
        </w:tc>
        <w:tc>
          <w:tcPr>
            <w:tcW w:w="1220" w:type="dxa"/>
            <w:vAlign w:val="bottom"/>
          </w:tcPr>
          <w:p>
            <w:pPr>
              <w:jc w:val="right"/>
              <w:ind w:right="292"/>
              <w:spacing w:after="0"/>
              <w:rPr>
                <w:sz w:val="20"/>
                <w:szCs w:val="20"/>
                <w:color w:val="auto"/>
              </w:rPr>
            </w:pPr>
            <w:r>
              <w:rPr>
                <w:rFonts w:ascii="Arial" w:cs="Arial" w:eastAsia="Arial" w:hAnsi="Arial"/>
                <w:sz w:val="14"/>
                <w:szCs w:val="14"/>
                <w:b w:val="1"/>
                <w:bCs w:val="1"/>
                <w:color w:val="auto"/>
              </w:rPr>
              <w:t>35 Years</w:t>
            </w:r>
          </w:p>
        </w:tc>
        <w:tc>
          <w:tcPr>
            <w:tcW w:w="260" w:type="dxa"/>
            <w:vAlign w:val="bottom"/>
          </w:tcPr>
          <w:p>
            <w:pPr>
              <w:spacing w:after="0"/>
              <w:rPr>
                <w:sz w:val="15"/>
                <w:szCs w:val="15"/>
                <w:color w:val="auto"/>
              </w:rPr>
            </w:pPr>
          </w:p>
        </w:tc>
        <w:tc>
          <w:tcPr>
            <w:tcW w:w="1220" w:type="dxa"/>
            <w:vAlign w:val="bottom"/>
          </w:tcPr>
          <w:p>
            <w:pPr>
              <w:jc w:val="right"/>
              <w:ind w:right="292"/>
              <w:spacing w:after="0"/>
              <w:rPr>
                <w:sz w:val="20"/>
                <w:szCs w:val="20"/>
                <w:color w:val="auto"/>
              </w:rPr>
            </w:pPr>
            <w:r>
              <w:rPr>
                <w:rFonts w:ascii="Arial" w:cs="Arial" w:eastAsia="Arial" w:hAnsi="Arial"/>
                <w:sz w:val="14"/>
                <w:szCs w:val="14"/>
                <w:b w:val="1"/>
                <w:bCs w:val="1"/>
                <w:color w:val="auto"/>
              </w:rPr>
              <w:t>40 Years</w:t>
            </w:r>
          </w:p>
        </w:tc>
        <w:tc>
          <w:tcPr>
            <w:tcW w:w="260" w:type="dxa"/>
            <w:vAlign w:val="bottom"/>
          </w:tcPr>
          <w:p>
            <w:pPr>
              <w:spacing w:after="0"/>
              <w:rPr>
                <w:sz w:val="15"/>
                <w:szCs w:val="15"/>
                <w:color w:val="auto"/>
              </w:rPr>
            </w:pPr>
          </w:p>
        </w:tc>
        <w:tc>
          <w:tcPr>
            <w:tcW w:w="1000" w:type="dxa"/>
            <w:vAlign w:val="bottom"/>
          </w:tcPr>
          <w:p>
            <w:pPr>
              <w:jc w:val="right"/>
              <w:ind w:right="192"/>
              <w:spacing w:after="0"/>
              <w:rPr>
                <w:sz w:val="20"/>
                <w:szCs w:val="20"/>
                <w:color w:val="auto"/>
              </w:rPr>
            </w:pPr>
            <w:r>
              <w:rPr>
                <w:rFonts w:ascii="Arial" w:cs="Arial" w:eastAsia="Arial" w:hAnsi="Arial"/>
                <w:sz w:val="14"/>
                <w:szCs w:val="14"/>
                <w:b w:val="1"/>
                <w:bCs w:val="1"/>
                <w:color w:val="auto"/>
              </w:rPr>
              <w:t>45 Years</w:t>
            </w:r>
          </w:p>
        </w:tc>
      </w:tr>
      <w:tr>
        <w:trPr>
          <w:trHeight w:val="55"/>
        </w:trPr>
        <w:tc>
          <w:tcPr>
            <w:tcW w:w="1040" w:type="dxa"/>
            <w:vAlign w:val="bottom"/>
            <w:tcBorders>
              <w:bottom w:val="single" w:sz="8" w:color="auto"/>
            </w:tcBorders>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61"/>
        </w:trPr>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43"/>
        </w:trPr>
        <w:tc>
          <w:tcPr>
            <w:tcW w:w="1780" w:type="dxa"/>
            <w:vAlign w:val="bottom"/>
            <w:gridSpan w:val="2"/>
            <w:shd w:val="clear" w:color="auto" w:fill="FFF3CE"/>
          </w:tcPr>
          <w:p>
            <w:pPr>
              <w:jc w:val="right"/>
              <w:ind w:right="740"/>
              <w:spacing w:after="0"/>
              <w:rPr>
                <w:sz w:val="20"/>
                <w:szCs w:val="20"/>
                <w:color w:val="auto"/>
              </w:rPr>
            </w:pPr>
            <w:r>
              <w:rPr>
                <w:rFonts w:ascii="Arial" w:cs="Arial" w:eastAsia="Arial" w:hAnsi="Arial"/>
                <w:sz w:val="18"/>
                <w:szCs w:val="18"/>
                <w:color w:val="auto"/>
              </w:rPr>
              <w:t>$ 500,000</w:t>
            </w:r>
          </w:p>
        </w:tc>
        <w:tc>
          <w:tcPr>
            <w:tcW w:w="1060" w:type="dxa"/>
            <w:vAlign w:val="bottom"/>
            <w:shd w:val="clear" w:color="auto" w:fill="FFF3CE"/>
          </w:tcPr>
          <w:p>
            <w:pPr>
              <w:ind w:left="280"/>
              <w:spacing w:after="0"/>
              <w:rPr>
                <w:sz w:val="20"/>
                <w:szCs w:val="20"/>
                <w:color w:val="auto"/>
              </w:rPr>
            </w:pPr>
            <w:r>
              <w:rPr>
                <w:rFonts w:ascii="Arial" w:cs="Arial" w:eastAsia="Arial" w:hAnsi="Arial"/>
                <w:sz w:val="18"/>
                <w:szCs w:val="18"/>
                <w:color w:val="auto"/>
              </w:rPr>
              <w:t>107,387</w:t>
            </w:r>
          </w:p>
        </w:tc>
        <w:tc>
          <w:tcPr>
            <w:tcW w:w="1320" w:type="dxa"/>
            <w:vAlign w:val="bottom"/>
            <w:gridSpan w:val="2"/>
            <w:shd w:val="clear" w:color="auto" w:fill="FFF3CE"/>
          </w:tcPr>
          <w:p>
            <w:pPr>
              <w:ind w:left="520"/>
              <w:spacing w:after="0"/>
              <w:rPr>
                <w:sz w:val="20"/>
                <w:szCs w:val="20"/>
                <w:color w:val="auto"/>
              </w:rPr>
            </w:pPr>
            <w:r>
              <w:rPr>
                <w:rFonts w:ascii="Arial" w:cs="Arial" w:eastAsia="Arial" w:hAnsi="Arial"/>
                <w:sz w:val="18"/>
                <w:szCs w:val="18"/>
                <w:color w:val="auto"/>
              </w:rPr>
              <w:t>143,183</w:t>
            </w:r>
          </w:p>
        </w:tc>
        <w:tc>
          <w:tcPr>
            <w:tcW w:w="1460" w:type="dxa"/>
            <w:vAlign w:val="bottom"/>
            <w:gridSpan w:val="2"/>
            <w:shd w:val="clear" w:color="auto" w:fill="FFF3CE"/>
          </w:tcPr>
          <w:p>
            <w:pPr>
              <w:jc w:val="right"/>
              <w:ind w:right="152"/>
              <w:spacing w:after="0"/>
              <w:rPr>
                <w:sz w:val="20"/>
                <w:szCs w:val="20"/>
                <w:color w:val="auto"/>
              </w:rPr>
            </w:pPr>
            <w:r>
              <w:rPr>
                <w:rFonts w:ascii="Arial" w:cs="Arial" w:eastAsia="Arial" w:hAnsi="Arial"/>
                <w:sz w:val="18"/>
                <w:szCs w:val="18"/>
                <w:color w:val="auto"/>
              </w:rPr>
              <w:t>178,978</w:t>
            </w:r>
          </w:p>
        </w:tc>
        <w:tc>
          <w:tcPr>
            <w:tcW w:w="1460" w:type="dxa"/>
            <w:vAlign w:val="bottom"/>
            <w:gridSpan w:val="2"/>
            <w:shd w:val="clear" w:color="auto" w:fill="FFF3CE"/>
          </w:tcPr>
          <w:p>
            <w:pPr>
              <w:jc w:val="right"/>
              <w:ind w:right="152"/>
              <w:spacing w:after="0"/>
              <w:rPr>
                <w:sz w:val="20"/>
                <w:szCs w:val="20"/>
                <w:color w:val="auto"/>
              </w:rPr>
            </w:pPr>
            <w:r>
              <w:rPr>
                <w:rFonts w:ascii="Arial" w:cs="Arial" w:eastAsia="Arial" w:hAnsi="Arial"/>
                <w:sz w:val="18"/>
                <w:szCs w:val="18"/>
                <w:color w:val="auto"/>
              </w:rPr>
              <w:t>214,774</w:t>
            </w:r>
          </w:p>
        </w:tc>
        <w:tc>
          <w:tcPr>
            <w:tcW w:w="1460" w:type="dxa"/>
            <w:vAlign w:val="bottom"/>
            <w:gridSpan w:val="2"/>
            <w:shd w:val="clear" w:color="auto" w:fill="FFF3CE"/>
          </w:tcPr>
          <w:p>
            <w:pPr>
              <w:jc w:val="right"/>
              <w:ind w:right="152"/>
              <w:spacing w:after="0"/>
              <w:rPr>
                <w:sz w:val="20"/>
                <w:szCs w:val="20"/>
                <w:color w:val="auto"/>
              </w:rPr>
            </w:pPr>
            <w:r>
              <w:rPr>
                <w:rFonts w:ascii="Arial" w:cs="Arial" w:eastAsia="Arial" w:hAnsi="Arial"/>
                <w:sz w:val="18"/>
                <w:szCs w:val="18"/>
                <w:color w:val="auto"/>
              </w:rPr>
              <w:t>250,569</w:t>
            </w:r>
          </w:p>
        </w:tc>
        <w:tc>
          <w:tcPr>
            <w:tcW w:w="1480" w:type="dxa"/>
            <w:vAlign w:val="bottom"/>
            <w:gridSpan w:val="2"/>
            <w:shd w:val="clear" w:color="auto" w:fill="FFF3CE"/>
          </w:tcPr>
          <w:p>
            <w:pPr>
              <w:jc w:val="right"/>
              <w:ind w:right="172"/>
              <w:spacing w:after="0"/>
              <w:rPr>
                <w:sz w:val="20"/>
                <w:szCs w:val="20"/>
                <w:color w:val="auto"/>
              </w:rPr>
            </w:pPr>
            <w:r>
              <w:rPr>
                <w:rFonts w:ascii="Arial" w:cs="Arial" w:eastAsia="Arial" w:hAnsi="Arial"/>
                <w:sz w:val="18"/>
                <w:szCs w:val="18"/>
                <w:color w:val="auto"/>
              </w:rPr>
              <w:t>288,069</w:t>
            </w:r>
          </w:p>
        </w:tc>
        <w:tc>
          <w:tcPr>
            <w:tcW w:w="1260" w:type="dxa"/>
            <w:vAlign w:val="bottom"/>
            <w:gridSpan w:val="2"/>
            <w:shd w:val="clear" w:color="auto" w:fill="FFF3CE"/>
          </w:tcPr>
          <w:p>
            <w:pPr>
              <w:jc w:val="right"/>
              <w:ind w:right="12"/>
              <w:spacing w:after="0"/>
              <w:rPr>
                <w:sz w:val="20"/>
                <w:szCs w:val="20"/>
                <w:color w:val="auto"/>
              </w:rPr>
            </w:pPr>
            <w:r>
              <w:rPr>
                <w:rFonts w:ascii="Arial" w:cs="Arial" w:eastAsia="Arial" w:hAnsi="Arial"/>
                <w:sz w:val="18"/>
                <w:szCs w:val="18"/>
                <w:color w:val="auto"/>
              </w:rPr>
              <w:t>325,569</w:t>
            </w:r>
          </w:p>
        </w:tc>
      </w:tr>
      <w:tr>
        <w:trPr>
          <w:trHeight w:val="242"/>
        </w:trPr>
        <w:tc>
          <w:tcPr>
            <w:tcW w:w="1780" w:type="dxa"/>
            <w:vAlign w:val="bottom"/>
            <w:gridSpan w:val="2"/>
          </w:tcPr>
          <w:p>
            <w:pPr>
              <w:jc w:val="right"/>
              <w:ind w:right="740"/>
              <w:spacing w:after="0"/>
              <w:rPr>
                <w:sz w:val="20"/>
                <w:szCs w:val="20"/>
                <w:color w:val="auto"/>
              </w:rPr>
            </w:pPr>
            <w:r>
              <w:rPr>
                <w:rFonts w:ascii="Arial" w:cs="Arial" w:eastAsia="Arial" w:hAnsi="Arial"/>
                <w:sz w:val="18"/>
                <w:szCs w:val="18"/>
                <w:color w:val="auto"/>
              </w:rPr>
              <w:t>$1,000,000</w:t>
            </w:r>
          </w:p>
        </w:tc>
        <w:tc>
          <w:tcPr>
            <w:tcW w:w="1060" w:type="dxa"/>
            <w:vAlign w:val="bottom"/>
          </w:tcPr>
          <w:p>
            <w:pPr>
              <w:ind w:left="280"/>
              <w:spacing w:after="0"/>
              <w:rPr>
                <w:sz w:val="20"/>
                <w:szCs w:val="20"/>
                <w:color w:val="auto"/>
              </w:rPr>
            </w:pPr>
            <w:r>
              <w:rPr>
                <w:rFonts w:ascii="Arial" w:cs="Arial" w:eastAsia="Arial" w:hAnsi="Arial"/>
                <w:sz w:val="18"/>
                <w:szCs w:val="18"/>
                <w:color w:val="auto"/>
              </w:rPr>
              <w:t>219,887</w:t>
            </w:r>
          </w:p>
        </w:tc>
        <w:tc>
          <w:tcPr>
            <w:tcW w:w="1320" w:type="dxa"/>
            <w:vAlign w:val="bottom"/>
            <w:gridSpan w:val="2"/>
          </w:tcPr>
          <w:p>
            <w:pPr>
              <w:ind w:left="520"/>
              <w:spacing w:after="0"/>
              <w:rPr>
                <w:sz w:val="20"/>
                <w:szCs w:val="20"/>
                <w:color w:val="auto"/>
              </w:rPr>
            </w:pPr>
            <w:r>
              <w:rPr>
                <w:rFonts w:ascii="Arial" w:cs="Arial" w:eastAsia="Arial" w:hAnsi="Arial"/>
                <w:sz w:val="18"/>
                <w:szCs w:val="18"/>
                <w:color w:val="auto"/>
              </w:rPr>
              <w:t>293,183</w:t>
            </w:r>
          </w:p>
        </w:tc>
        <w:tc>
          <w:tcPr>
            <w:tcW w:w="1460" w:type="dxa"/>
            <w:vAlign w:val="bottom"/>
            <w:gridSpan w:val="2"/>
          </w:tcPr>
          <w:p>
            <w:pPr>
              <w:jc w:val="right"/>
              <w:ind w:right="152"/>
              <w:spacing w:after="0"/>
              <w:rPr>
                <w:sz w:val="20"/>
                <w:szCs w:val="20"/>
                <w:color w:val="auto"/>
              </w:rPr>
            </w:pPr>
            <w:r>
              <w:rPr>
                <w:rFonts w:ascii="Arial" w:cs="Arial" w:eastAsia="Arial" w:hAnsi="Arial"/>
                <w:sz w:val="18"/>
                <w:szCs w:val="18"/>
                <w:color w:val="auto"/>
              </w:rPr>
              <w:t>366,478</w:t>
            </w:r>
          </w:p>
        </w:tc>
        <w:tc>
          <w:tcPr>
            <w:tcW w:w="1460" w:type="dxa"/>
            <w:vAlign w:val="bottom"/>
            <w:gridSpan w:val="2"/>
          </w:tcPr>
          <w:p>
            <w:pPr>
              <w:jc w:val="right"/>
              <w:ind w:right="152"/>
              <w:spacing w:after="0"/>
              <w:rPr>
                <w:sz w:val="20"/>
                <w:szCs w:val="20"/>
                <w:color w:val="auto"/>
              </w:rPr>
            </w:pPr>
            <w:r>
              <w:rPr>
                <w:rFonts w:ascii="Arial" w:cs="Arial" w:eastAsia="Arial" w:hAnsi="Arial"/>
                <w:sz w:val="18"/>
                <w:szCs w:val="18"/>
                <w:color w:val="auto"/>
              </w:rPr>
              <w:t>439,774</w:t>
            </w:r>
          </w:p>
        </w:tc>
        <w:tc>
          <w:tcPr>
            <w:tcW w:w="1460" w:type="dxa"/>
            <w:vAlign w:val="bottom"/>
            <w:gridSpan w:val="2"/>
          </w:tcPr>
          <w:p>
            <w:pPr>
              <w:jc w:val="right"/>
              <w:ind w:right="152"/>
              <w:spacing w:after="0"/>
              <w:rPr>
                <w:sz w:val="20"/>
                <w:szCs w:val="20"/>
                <w:color w:val="auto"/>
              </w:rPr>
            </w:pPr>
            <w:r>
              <w:rPr>
                <w:rFonts w:ascii="Arial" w:cs="Arial" w:eastAsia="Arial" w:hAnsi="Arial"/>
                <w:sz w:val="18"/>
                <w:szCs w:val="18"/>
                <w:color w:val="auto"/>
              </w:rPr>
              <w:t>513,069</w:t>
            </w:r>
          </w:p>
        </w:tc>
        <w:tc>
          <w:tcPr>
            <w:tcW w:w="1480" w:type="dxa"/>
            <w:vAlign w:val="bottom"/>
            <w:gridSpan w:val="2"/>
          </w:tcPr>
          <w:p>
            <w:pPr>
              <w:jc w:val="right"/>
              <w:ind w:right="172"/>
              <w:spacing w:after="0"/>
              <w:rPr>
                <w:sz w:val="20"/>
                <w:szCs w:val="20"/>
                <w:color w:val="auto"/>
              </w:rPr>
            </w:pPr>
            <w:r>
              <w:rPr>
                <w:rFonts w:ascii="Arial" w:cs="Arial" w:eastAsia="Arial" w:hAnsi="Arial"/>
                <w:sz w:val="18"/>
                <w:szCs w:val="18"/>
                <w:color w:val="auto"/>
              </w:rPr>
              <w:t>588,069</w:t>
            </w:r>
          </w:p>
        </w:tc>
        <w:tc>
          <w:tcPr>
            <w:tcW w:w="1260" w:type="dxa"/>
            <w:vAlign w:val="bottom"/>
            <w:gridSpan w:val="2"/>
          </w:tcPr>
          <w:p>
            <w:pPr>
              <w:jc w:val="right"/>
              <w:ind w:right="12"/>
              <w:spacing w:after="0"/>
              <w:rPr>
                <w:sz w:val="20"/>
                <w:szCs w:val="20"/>
                <w:color w:val="auto"/>
              </w:rPr>
            </w:pPr>
            <w:r>
              <w:rPr>
                <w:rFonts w:ascii="Arial" w:cs="Arial" w:eastAsia="Arial" w:hAnsi="Arial"/>
                <w:sz w:val="18"/>
                <w:szCs w:val="18"/>
                <w:color w:val="auto"/>
              </w:rPr>
              <w:t>663,069</w:t>
            </w:r>
          </w:p>
        </w:tc>
      </w:tr>
      <w:tr>
        <w:trPr>
          <w:trHeight w:val="244"/>
        </w:trPr>
        <w:tc>
          <w:tcPr>
            <w:tcW w:w="1780" w:type="dxa"/>
            <w:vAlign w:val="bottom"/>
            <w:gridSpan w:val="2"/>
            <w:shd w:val="clear" w:color="auto" w:fill="FFF3CE"/>
          </w:tcPr>
          <w:p>
            <w:pPr>
              <w:jc w:val="right"/>
              <w:ind w:right="740"/>
              <w:spacing w:after="0"/>
              <w:rPr>
                <w:sz w:val="20"/>
                <w:szCs w:val="20"/>
                <w:color w:val="auto"/>
              </w:rPr>
            </w:pPr>
            <w:r>
              <w:rPr>
                <w:rFonts w:ascii="Arial" w:cs="Arial" w:eastAsia="Arial" w:hAnsi="Arial"/>
                <w:sz w:val="18"/>
                <w:szCs w:val="18"/>
                <w:color w:val="auto"/>
              </w:rPr>
              <w:t>$1,500,000</w:t>
            </w:r>
          </w:p>
        </w:tc>
        <w:tc>
          <w:tcPr>
            <w:tcW w:w="1060" w:type="dxa"/>
            <w:vAlign w:val="bottom"/>
            <w:shd w:val="clear" w:color="auto" w:fill="FFF3CE"/>
          </w:tcPr>
          <w:p>
            <w:pPr>
              <w:ind w:left="280"/>
              <w:spacing w:after="0"/>
              <w:rPr>
                <w:sz w:val="20"/>
                <w:szCs w:val="20"/>
                <w:color w:val="auto"/>
              </w:rPr>
            </w:pPr>
            <w:r>
              <w:rPr>
                <w:rFonts w:ascii="Arial" w:cs="Arial" w:eastAsia="Arial" w:hAnsi="Arial"/>
                <w:sz w:val="18"/>
                <w:szCs w:val="18"/>
                <w:color w:val="auto"/>
              </w:rPr>
              <w:t>332,387</w:t>
            </w:r>
          </w:p>
        </w:tc>
        <w:tc>
          <w:tcPr>
            <w:tcW w:w="1320" w:type="dxa"/>
            <w:vAlign w:val="bottom"/>
            <w:gridSpan w:val="2"/>
            <w:shd w:val="clear" w:color="auto" w:fill="FFF3CE"/>
          </w:tcPr>
          <w:p>
            <w:pPr>
              <w:ind w:left="520"/>
              <w:spacing w:after="0"/>
              <w:rPr>
                <w:sz w:val="20"/>
                <w:szCs w:val="20"/>
                <w:color w:val="auto"/>
              </w:rPr>
            </w:pPr>
            <w:r>
              <w:rPr>
                <w:rFonts w:ascii="Arial" w:cs="Arial" w:eastAsia="Arial" w:hAnsi="Arial"/>
                <w:sz w:val="18"/>
                <w:szCs w:val="18"/>
                <w:color w:val="auto"/>
              </w:rPr>
              <w:t>443,183</w:t>
            </w:r>
          </w:p>
        </w:tc>
        <w:tc>
          <w:tcPr>
            <w:tcW w:w="1460" w:type="dxa"/>
            <w:vAlign w:val="bottom"/>
            <w:gridSpan w:val="2"/>
            <w:shd w:val="clear" w:color="auto" w:fill="FFF3CE"/>
          </w:tcPr>
          <w:p>
            <w:pPr>
              <w:jc w:val="right"/>
              <w:ind w:right="152"/>
              <w:spacing w:after="0"/>
              <w:rPr>
                <w:sz w:val="20"/>
                <w:szCs w:val="20"/>
                <w:color w:val="auto"/>
              </w:rPr>
            </w:pPr>
            <w:r>
              <w:rPr>
                <w:rFonts w:ascii="Arial" w:cs="Arial" w:eastAsia="Arial" w:hAnsi="Arial"/>
                <w:sz w:val="18"/>
                <w:szCs w:val="18"/>
                <w:color w:val="auto"/>
              </w:rPr>
              <w:t>553,978</w:t>
            </w:r>
          </w:p>
        </w:tc>
        <w:tc>
          <w:tcPr>
            <w:tcW w:w="1460" w:type="dxa"/>
            <w:vAlign w:val="bottom"/>
            <w:gridSpan w:val="2"/>
            <w:shd w:val="clear" w:color="auto" w:fill="FFF3CE"/>
          </w:tcPr>
          <w:p>
            <w:pPr>
              <w:jc w:val="right"/>
              <w:ind w:right="152"/>
              <w:spacing w:after="0"/>
              <w:rPr>
                <w:sz w:val="20"/>
                <w:szCs w:val="20"/>
                <w:color w:val="auto"/>
              </w:rPr>
            </w:pPr>
            <w:r>
              <w:rPr>
                <w:rFonts w:ascii="Arial" w:cs="Arial" w:eastAsia="Arial" w:hAnsi="Arial"/>
                <w:sz w:val="18"/>
                <w:szCs w:val="18"/>
                <w:color w:val="auto"/>
              </w:rPr>
              <w:t>664,774</w:t>
            </w:r>
          </w:p>
        </w:tc>
        <w:tc>
          <w:tcPr>
            <w:tcW w:w="1460" w:type="dxa"/>
            <w:vAlign w:val="bottom"/>
            <w:gridSpan w:val="2"/>
            <w:shd w:val="clear" w:color="auto" w:fill="FFF3CE"/>
          </w:tcPr>
          <w:p>
            <w:pPr>
              <w:jc w:val="right"/>
              <w:ind w:right="152"/>
              <w:spacing w:after="0"/>
              <w:rPr>
                <w:sz w:val="20"/>
                <w:szCs w:val="20"/>
                <w:color w:val="auto"/>
              </w:rPr>
            </w:pPr>
            <w:r>
              <w:rPr>
                <w:rFonts w:ascii="Arial" w:cs="Arial" w:eastAsia="Arial" w:hAnsi="Arial"/>
                <w:sz w:val="18"/>
                <w:szCs w:val="18"/>
                <w:color w:val="auto"/>
              </w:rPr>
              <w:t>775,569</w:t>
            </w:r>
          </w:p>
        </w:tc>
        <w:tc>
          <w:tcPr>
            <w:tcW w:w="1480" w:type="dxa"/>
            <w:vAlign w:val="bottom"/>
            <w:gridSpan w:val="2"/>
            <w:shd w:val="clear" w:color="auto" w:fill="FFF3CE"/>
          </w:tcPr>
          <w:p>
            <w:pPr>
              <w:jc w:val="right"/>
              <w:ind w:right="172"/>
              <w:spacing w:after="0"/>
              <w:rPr>
                <w:sz w:val="20"/>
                <w:szCs w:val="20"/>
                <w:color w:val="auto"/>
              </w:rPr>
            </w:pPr>
            <w:r>
              <w:rPr>
                <w:rFonts w:ascii="Arial" w:cs="Arial" w:eastAsia="Arial" w:hAnsi="Arial"/>
                <w:sz w:val="18"/>
                <w:szCs w:val="18"/>
                <w:color w:val="auto"/>
              </w:rPr>
              <w:t>888,069</w:t>
            </w:r>
          </w:p>
        </w:tc>
        <w:tc>
          <w:tcPr>
            <w:tcW w:w="1260" w:type="dxa"/>
            <w:vAlign w:val="bottom"/>
            <w:gridSpan w:val="2"/>
            <w:shd w:val="clear" w:color="auto" w:fill="FFF3CE"/>
          </w:tcPr>
          <w:p>
            <w:pPr>
              <w:jc w:val="right"/>
              <w:ind w:right="12"/>
              <w:spacing w:after="0"/>
              <w:rPr>
                <w:sz w:val="20"/>
                <w:szCs w:val="20"/>
                <w:color w:val="auto"/>
              </w:rPr>
            </w:pPr>
            <w:r>
              <w:rPr>
                <w:rFonts w:ascii="Arial" w:cs="Arial" w:eastAsia="Arial" w:hAnsi="Arial"/>
                <w:sz w:val="18"/>
                <w:szCs w:val="18"/>
                <w:color w:val="auto"/>
              </w:rPr>
              <w:t>1,000,569</w:t>
            </w:r>
          </w:p>
        </w:tc>
      </w:tr>
      <w:tr>
        <w:trPr>
          <w:trHeight w:val="242"/>
        </w:trPr>
        <w:tc>
          <w:tcPr>
            <w:tcW w:w="1780" w:type="dxa"/>
            <w:vAlign w:val="bottom"/>
            <w:gridSpan w:val="2"/>
          </w:tcPr>
          <w:p>
            <w:pPr>
              <w:jc w:val="right"/>
              <w:ind w:right="740"/>
              <w:spacing w:after="0"/>
              <w:rPr>
                <w:sz w:val="20"/>
                <w:szCs w:val="20"/>
                <w:color w:val="auto"/>
              </w:rPr>
            </w:pPr>
            <w:r>
              <w:rPr>
                <w:rFonts w:ascii="Arial" w:cs="Arial" w:eastAsia="Arial" w:hAnsi="Arial"/>
                <w:sz w:val="18"/>
                <w:szCs w:val="18"/>
                <w:color w:val="auto"/>
              </w:rPr>
              <w:t>$2,000,000</w:t>
            </w:r>
          </w:p>
        </w:tc>
        <w:tc>
          <w:tcPr>
            <w:tcW w:w="1060" w:type="dxa"/>
            <w:vAlign w:val="bottom"/>
          </w:tcPr>
          <w:p>
            <w:pPr>
              <w:ind w:left="280"/>
              <w:spacing w:after="0"/>
              <w:rPr>
                <w:sz w:val="20"/>
                <w:szCs w:val="20"/>
                <w:color w:val="auto"/>
              </w:rPr>
            </w:pPr>
            <w:r>
              <w:rPr>
                <w:rFonts w:ascii="Arial" w:cs="Arial" w:eastAsia="Arial" w:hAnsi="Arial"/>
                <w:sz w:val="18"/>
                <w:szCs w:val="18"/>
                <w:color w:val="auto"/>
              </w:rPr>
              <w:t>444,887</w:t>
            </w:r>
          </w:p>
        </w:tc>
        <w:tc>
          <w:tcPr>
            <w:tcW w:w="1320" w:type="dxa"/>
            <w:vAlign w:val="bottom"/>
            <w:gridSpan w:val="2"/>
          </w:tcPr>
          <w:p>
            <w:pPr>
              <w:ind w:left="520"/>
              <w:spacing w:after="0"/>
              <w:rPr>
                <w:sz w:val="20"/>
                <w:szCs w:val="20"/>
                <w:color w:val="auto"/>
              </w:rPr>
            </w:pPr>
            <w:r>
              <w:rPr>
                <w:rFonts w:ascii="Arial" w:cs="Arial" w:eastAsia="Arial" w:hAnsi="Arial"/>
                <w:sz w:val="18"/>
                <w:szCs w:val="18"/>
                <w:color w:val="auto"/>
              </w:rPr>
              <w:t>593,183</w:t>
            </w:r>
          </w:p>
        </w:tc>
        <w:tc>
          <w:tcPr>
            <w:tcW w:w="1460" w:type="dxa"/>
            <w:vAlign w:val="bottom"/>
            <w:gridSpan w:val="2"/>
          </w:tcPr>
          <w:p>
            <w:pPr>
              <w:jc w:val="right"/>
              <w:ind w:right="152"/>
              <w:spacing w:after="0"/>
              <w:rPr>
                <w:sz w:val="20"/>
                <w:szCs w:val="20"/>
                <w:color w:val="auto"/>
              </w:rPr>
            </w:pPr>
            <w:r>
              <w:rPr>
                <w:rFonts w:ascii="Arial" w:cs="Arial" w:eastAsia="Arial" w:hAnsi="Arial"/>
                <w:sz w:val="18"/>
                <w:szCs w:val="18"/>
                <w:color w:val="auto"/>
              </w:rPr>
              <w:t>741,478</w:t>
            </w:r>
          </w:p>
        </w:tc>
        <w:tc>
          <w:tcPr>
            <w:tcW w:w="1460" w:type="dxa"/>
            <w:vAlign w:val="bottom"/>
            <w:gridSpan w:val="2"/>
          </w:tcPr>
          <w:p>
            <w:pPr>
              <w:jc w:val="right"/>
              <w:ind w:right="152"/>
              <w:spacing w:after="0"/>
              <w:rPr>
                <w:sz w:val="20"/>
                <w:szCs w:val="20"/>
                <w:color w:val="auto"/>
              </w:rPr>
            </w:pPr>
            <w:r>
              <w:rPr>
                <w:rFonts w:ascii="Arial" w:cs="Arial" w:eastAsia="Arial" w:hAnsi="Arial"/>
                <w:sz w:val="18"/>
                <w:szCs w:val="18"/>
                <w:color w:val="auto"/>
              </w:rPr>
              <w:t>889,774</w:t>
            </w:r>
          </w:p>
        </w:tc>
        <w:tc>
          <w:tcPr>
            <w:tcW w:w="1460" w:type="dxa"/>
            <w:vAlign w:val="bottom"/>
            <w:gridSpan w:val="2"/>
          </w:tcPr>
          <w:p>
            <w:pPr>
              <w:jc w:val="right"/>
              <w:ind w:right="152"/>
              <w:spacing w:after="0"/>
              <w:rPr>
                <w:sz w:val="20"/>
                <w:szCs w:val="20"/>
                <w:color w:val="auto"/>
              </w:rPr>
            </w:pPr>
            <w:r>
              <w:rPr>
                <w:rFonts w:ascii="Arial" w:cs="Arial" w:eastAsia="Arial" w:hAnsi="Arial"/>
                <w:sz w:val="18"/>
                <w:szCs w:val="18"/>
                <w:color w:val="auto"/>
              </w:rPr>
              <w:t>1,038,069</w:t>
            </w:r>
          </w:p>
        </w:tc>
        <w:tc>
          <w:tcPr>
            <w:tcW w:w="1480" w:type="dxa"/>
            <w:vAlign w:val="bottom"/>
            <w:gridSpan w:val="2"/>
          </w:tcPr>
          <w:p>
            <w:pPr>
              <w:jc w:val="right"/>
              <w:ind w:right="172"/>
              <w:spacing w:after="0"/>
              <w:rPr>
                <w:sz w:val="20"/>
                <w:szCs w:val="20"/>
                <w:color w:val="auto"/>
              </w:rPr>
            </w:pPr>
            <w:r>
              <w:rPr>
                <w:rFonts w:ascii="Arial" w:cs="Arial" w:eastAsia="Arial" w:hAnsi="Arial"/>
                <w:sz w:val="18"/>
                <w:szCs w:val="18"/>
                <w:color w:val="auto"/>
              </w:rPr>
              <w:t>1,188,069</w:t>
            </w:r>
          </w:p>
        </w:tc>
        <w:tc>
          <w:tcPr>
            <w:tcW w:w="1260" w:type="dxa"/>
            <w:vAlign w:val="bottom"/>
            <w:gridSpan w:val="2"/>
          </w:tcPr>
          <w:p>
            <w:pPr>
              <w:jc w:val="right"/>
              <w:ind w:right="12"/>
              <w:spacing w:after="0"/>
              <w:rPr>
                <w:sz w:val="20"/>
                <w:szCs w:val="20"/>
                <w:color w:val="auto"/>
              </w:rPr>
            </w:pPr>
            <w:r>
              <w:rPr>
                <w:rFonts w:ascii="Arial" w:cs="Arial" w:eastAsia="Arial" w:hAnsi="Arial"/>
                <w:sz w:val="18"/>
                <w:szCs w:val="18"/>
                <w:color w:val="auto"/>
              </w:rPr>
              <w:t>1,338,069</w:t>
            </w:r>
          </w:p>
        </w:tc>
      </w:tr>
      <w:tr>
        <w:trPr>
          <w:trHeight w:val="244"/>
        </w:trPr>
        <w:tc>
          <w:tcPr>
            <w:tcW w:w="1780" w:type="dxa"/>
            <w:vAlign w:val="bottom"/>
            <w:gridSpan w:val="2"/>
            <w:shd w:val="clear" w:color="auto" w:fill="FFF3CE"/>
          </w:tcPr>
          <w:p>
            <w:pPr>
              <w:jc w:val="right"/>
              <w:ind w:right="740"/>
              <w:spacing w:after="0"/>
              <w:rPr>
                <w:sz w:val="20"/>
                <w:szCs w:val="20"/>
                <w:color w:val="auto"/>
              </w:rPr>
            </w:pPr>
            <w:r>
              <w:rPr>
                <w:rFonts w:ascii="Arial" w:cs="Arial" w:eastAsia="Arial" w:hAnsi="Arial"/>
                <w:sz w:val="18"/>
                <w:szCs w:val="18"/>
                <w:color w:val="auto"/>
              </w:rPr>
              <w:t>$2,500,000</w:t>
            </w:r>
          </w:p>
        </w:tc>
        <w:tc>
          <w:tcPr>
            <w:tcW w:w="1060" w:type="dxa"/>
            <w:vAlign w:val="bottom"/>
            <w:shd w:val="clear" w:color="auto" w:fill="FFF3CE"/>
          </w:tcPr>
          <w:p>
            <w:pPr>
              <w:ind w:left="280"/>
              <w:spacing w:after="0"/>
              <w:rPr>
                <w:sz w:val="20"/>
                <w:szCs w:val="20"/>
                <w:color w:val="auto"/>
              </w:rPr>
            </w:pPr>
            <w:r>
              <w:rPr>
                <w:rFonts w:ascii="Arial" w:cs="Arial" w:eastAsia="Arial" w:hAnsi="Arial"/>
                <w:sz w:val="18"/>
                <w:szCs w:val="18"/>
                <w:color w:val="auto"/>
              </w:rPr>
              <w:t>557,387</w:t>
            </w:r>
          </w:p>
        </w:tc>
        <w:tc>
          <w:tcPr>
            <w:tcW w:w="1320" w:type="dxa"/>
            <w:vAlign w:val="bottom"/>
            <w:gridSpan w:val="2"/>
            <w:shd w:val="clear" w:color="auto" w:fill="FFF3CE"/>
          </w:tcPr>
          <w:p>
            <w:pPr>
              <w:ind w:left="520"/>
              <w:spacing w:after="0"/>
              <w:rPr>
                <w:sz w:val="20"/>
                <w:szCs w:val="20"/>
                <w:color w:val="auto"/>
              </w:rPr>
            </w:pPr>
            <w:r>
              <w:rPr>
                <w:rFonts w:ascii="Arial" w:cs="Arial" w:eastAsia="Arial" w:hAnsi="Arial"/>
                <w:sz w:val="18"/>
                <w:szCs w:val="18"/>
                <w:color w:val="auto"/>
              </w:rPr>
              <w:t>743,183</w:t>
            </w:r>
          </w:p>
        </w:tc>
        <w:tc>
          <w:tcPr>
            <w:tcW w:w="1460" w:type="dxa"/>
            <w:vAlign w:val="bottom"/>
            <w:gridSpan w:val="2"/>
            <w:shd w:val="clear" w:color="auto" w:fill="FFF3CE"/>
          </w:tcPr>
          <w:p>
            <w:pPr>
              <w:jc w:val="right"/>
              <w:ind w:right="152"/>
              <w:spacing w:after="0"/>
              <w:rPr>
                <w:sz w:val="20"/>
                <w:szCs w:val="20"/>
                <w:color w:val="auto"/>
              </w:rPr>
            </w:pPr>
            <w:r>
              <w:rPr>
                <w:rFonts w:ascii="Arial" w:cs="Arial" w:eastAsia="Arial" w:hAnsi="Arial"/>
                <w:sz w:val="18"/>
                <w:szCs w:val="18"/>
                <w:color w:val="auto"/>
              </w:rPr>
              <w:t>928,978</w:t>
            </w:r>
          </w:p>
        </w:tc>
        <w:tc>
          <w:tcPr>
            <w:tcW w:w="1460" w:type="dxa"/>
            <w:vAlign w:val="bottom"/>
            <w:gridSpan w:val="2"/>
            <w:shd w:val="clear" w:color="auto" w:fill="FFF3CE"/>
          </w:tcPr>
          <w:p>
            <w:pPr>
              <w:jc w:val="right"/>
              <w:ind w:right="152"/>
              <w:spacing w:after="0"/>
              <w:rPr>
                <w:sz w:val="20"/>
                <w:szCs w:val="20"/>
                <w:color w:val="auto"/>
              </w:rPr>
            </w:pPr>
            <w:r>
              <w:rPr>
                <w:rFonts w:ascii="Arial" w:cs="Arial" w:eastAsia="Arial" w:hAnsi="Arial"/>
                <w:sz w:val="18"/>
                <w:szCs w:val="18"/>
                <w:color w:val="auto"/>
              </w:rPr>
              <w:t>1,114,774</w:t>
            </w:r>
          </w:p>
        </w:tc>
        <w:tc>
          <w:tcPr>
            <w:tcW w:w="1460" w:type="dxa"/>
            <w:vAlign w:val="bottom"/>
            <w:gridSpan w:val="2"/>
            <w:shd w:val="clear" w:color="auto" w:fill="FFF3CE"/>
          </w:tcPr>
          <w:p>
            <w:pPr>
              <w:jc w:val="right"/>
              <w:ind w:right="152"/>
              <w:spacing w:after="0"/>
              <w:rPr>
                <w:sz w:val="20"/>
                <w:szCs w:val="20"/>
                <w:color w:val="auto"/>
              </w:rPr>
            </w:pPr>
            <w:r>
              <w:rPr>
                <w:rFonts w:ascii="Arial" w:cs="Arial" w:eastAsia="Arial" w:hAnsi="Arial"/>
                <w:sz w:val="18"/>
                <w:szCs w:val="18"/>
                <w:color w:val="auto"/>
              </w:rPr>
              <w:t>1,300,569</w:t>
            </w:r>
          </w:p>
        </w:tc>
        <w:tc>
          <w:tcPr>
            <w:tcW w:w="1480" w:type="dxa"/>
            <w:vAlign w:val="bottom"/>
            <w:gridSpan w:val="2"/>
            <w:shd w:val="clear" w:color="auto" w:fill="FFF3CE"/>
          </w:tcPr>
          <w:p>
            <w:pPr>
              <w:jc w:val="right"/>
              <w:ind w:right="172"/>
              <w:spacing w:after="0"/>
              <w:rPr>
                <w:sz w:val="20"/>
                <w:szCs w:val="20"/>
                <w:color w:val="auto"/>
              </w:rPr>
            </w:pPr>
            <w:r>
              <w:rPr>
                <w:rFonts w:ascii="Arial" w:cs="Arial" w:eastAsia="Arial" w:hAnsi="Arial"/>
                <w:sz w:val="18"/>
                <w:szCs w:val="18"/>
                <w:color w:val="auto"/>
              </w:rPr>
              <w:t>1,488,069</w:t>
            </w:r>
          </w:p>
        </w:tc>
        <w:tc>
          <w:tcPr>
            <w:tcW w:w="1260" w:type="dxa"/>
            <w:vAlign w:val="bottom"/>
            <w:gridSpan w:val="2"/>
            <w:shd w:val="clear" w:color="auto" w:fill="FFF3CE"/>
          </w:tcPr>
          <w:p>
            <w:pPr>
              <w:jc w:val="right"/>
              <w:ind w:right="12"/>
              <w:spacing w:after="0"/>
              <w:rPr>
                <w:sz w:val="20"/>
                <w:szCs w:val="20"/>
                <w:color w:val="auto"/>
              </w:rPr>
            </w:pPr>
            <w:r>
              <w:rPr>
                <w:rFonts w:ascii="Arial" w:cs="Arial" w:eastAsia="Arial" w:hAnsi="Arial"/>
                <w:sz w:val="18"/>
                <w:szCs w:val="18"/>
                <w:color w:val="auto"/>
              </w:rPr>
              <w:t>1,675,569</w:t>
            </w:r>
          </w:p>
        </w:tc>
      </w:tr>
      <w:tr>
        <w:trPr>
          <w:trHeight w:val="241"/>
        </w:trPr>
        <w:tc>
          <w:tcPr>
            <w:tcW w:w="1780" w:type="dxa"/>
            <w:vAlign w:val="bottom"/>
            <w:gridSpan w:val="2"/>
          </w:tcPr>
          <w:p>
            <w:pPr>
              <w:jc w:val="right"/>
              <w:ind w:right="740"/>
              <w:spacing w:after="0"/>
              <w:rPr>
                <w:sz w:val="20"/>
                <w:szCs w:val="20"/>
                <w:color w:val="auto"/>
              </w:rPr>
            </w:pPr>
            <w:r>
              <w:rPr>
                <w:rFonts w:ascii="Arial" w:cs="Arial" w:eastAsia="Arial" w:hAnsi="Arial"/>
                <w:sz w:val="18"/>
                <w:szCs w:val="18"/>
                <w:color w:val="auto"/>
              </w:rPr>
              <w:t>$3,000,000</w:t>
            </w:r>
          </w:p>
        </w:tc>
        <w:tc>
          <w:tcPr>
            <w:tcW w:w="1060" w:type="dxa"/>
            <w:vAlign w:val="bottom"/>
          </w:tcPr>
          <w:p>
            <w:pPr>
              <w:ind w:left="280"/>
              <w:spacing w:after="0"/>
              <w:rPr>
                <w:sz w:val="20"/>
                <w:szCs w:val="20"/>
                <w:color w:val="auto"/>
              </w:rPr>
            </w:pPr>
            <w:r>
              <w:rPr>
                <w:rFonts w:ascii="Arial" w:cs="Arial" w:eastAsia="Arial" w:hAnsi="Arial"/>
                <w:sz w:val="18"/>
                <w:szCs w:val="18"/>
                <w:color w:val="auto"/>
              </w:rPr>
              <w:t>669,887</w:t>
            </w:r>
          </w:p>
        </w:tc>
        <w:tc>
          <w:tcPr>
            <w:tcW w:w="1320" w:type="dxa"/>
            <w:vAlign w:val="bottom"/>
            <w:gridSpan w:val="2"/>
          </w:tcPr>
          <w:p>
            <w:pPr>
              <w:ind w:left="520"/>
              <w:spacing w:after="0"/>
              <w:rPr>
                <w:sz w:val="20"/>
                <w:szCs w:val="20"/>
                <w:color w:val="auto"/>
              </w:rPr>
            </w:pPr>
            <w:r>
              <w:rPr>
                <w:rFonts w:ascii="Arial" w:cs="Arial" w:eastAsia="Arial" w:hAnsi="Arial"/>
                <w:sz w:val="18"/>
                <w:szCs w:val="18"/>
                <w:color w:val="auto"/>
              </w:rPr>
              <w:t>893,183</w:t>
            </w:r>
          </w:p>
        </w:tc>
        <w:tc>
          <w:tcPr>
            <w:tcW w:w="1460" w:type="dxa"/>
            <w:vAlign w:val="bottom"/>
            <w:gridSpan w:val="2"/>
          </w:tcPr>
          <w:p>
            <w:pPr>
              <w:jc w:val="right"/>
              <w:ind w:right="152"/>
              <w:spacing w:after="0"/>
              <w:rPr>
                <w:sz w:val="20"/>
                <w:szCs w:val="20"/>
                <w:color w:val="auto"/>
              </w:rPr>
            </w:pPr>
            <w:r>
              <w:rPr>
                <w:rFonts w:ascii="Arial" w:cs="Arial" w:eastAsia="Arial" w:hAnsi="Arial"/>
                <w:sz w:val="18"/>
                <w:szCs w:val="18"/>
                <w:color w:val="auto"/>
              </w:rPr>
              <w:t>1,116,478</w:t>
            </w:r>
          </w:p>
        </w:tc>
        <w:tc>
          <w:tcPr>
            <w:tcW w:w="1460" w:type="dxa"/>
            <w:vAlign w:val="bottom"/>
            <w:gridSpan w:val="2"/>
          </w:tcPr>
          <w:p>
            <w:pPr>
              <w:jc w:val="right"/>
              <w:ind w:right="152"/>
              <w:spacing w:after="0"/>
              <w:rPr>
                <w:sz w:val="20"/>
                <w:szCs w:val="20"/>
                <w:color w:val="auto"/>
              </w:rPr>
            </w:pPr>
            <w:r>
              <w:rPr>
                <w:rFonts w:ascii="Arial" w:cs="Arial" w:eastAsia="Arial" w:hAnsi="Arial"/>
                <w:sz w:val="18"/>
                <w:szCs w:val="18"/>
                <w:color w:val="auto"/>
              </w:rPr>
              <w:t>1,339,774</w:t>
            </w:r>
          </w:p>
        </w:tc>
        <w:tc>
          <w:tcPr>
            <w:tcW w:w="1460" w:type="dxa"/>
            <w:vAlign w:val="bottom"/>
            <w:gridSpan w:val="2"/>
          </w:tcPr>
          <w:p>
            <w:pPr>
              <w:jc w:val="right"/>
              <w:ind w:right="152"/>
              <w:spacing w:after="0"/>
              <w:rPr>
                <w:sz w:val="20"/>
                <w:szCs w:val="20"/>
                <w:color w:val="auto"/>
              </w:rPr>
            </w:pPr>
            <w:r>
              <w:rPr>
                <w:rFonts w:ascii="Arial" w:cs="Arial" w:eastAsia="Arial" w:hAnsi="Arial"/>
                <w:sz w:val="18"/>
                <w:szCs w:val="18"/>
                <w:color w:val="auto"/>
              </w:rPr>
              <w:t>1,563,069</w:t>
            </w:r>
          </w:p>
        </w:tc>
        <w:tc>
          <w:tcPr>
            <w:tcW w:w="1480" w:type="dxa"/>
            <w:vAlign w:val="bottom"/>
            <w:gridSpan w:val="2"/>
          </w:tcPr>
          <w:p>
            <w:pPr>
              <w:jc w:val="right"/>
              <w:ind w:right="172"/>
              <w:spacing w:after="0"/>
              <w:rPr>
                <w:sz w:val="20"/>
                <w:szCs w:val="20"/>
                <w:color w:val="auto"/>
              </w:rPr>
            </w:pPr>
            <w:r>
              <w:rPr>
                <w:rFonts w:ascii="Arial" w:cs="Arial" w:eastAsia="Arial" w:hAnsi="Arial"/>
                <w:sz w:val="18"/>
                <w:szCs w:val="18"/>
                <w:color w:val="auto"/>
              </w:rPr>
              <w:t>1,788,069</w:t>
            </w:r>
          </w:p>
        </w:tc>
        <w:tc>
          <w:tcPr>
            <w:tcW w:w="1260" w:type="dxa"/>
            <w:vAlign w:val="bottom"/>
            <w:gridSpan w:val="2"/>
          </w:tcPr>
          <w:p>
            <w:pPr>
              <w:jc w:val="right"/>
              <w:ind w:right="12"/>
              <w:spacing w:after="0"/>
              <w:rPr>
                <w:sz w:val="20"/>
                <w:szCs w:val="20"/>
                <w:color w:val="auto"/>
              </w:rPr>
            </w:pPr>
            <w:r>
              <w:rPr>
                <w:rFonts w:ascii="Arial" w:cs="Arial" w:eastAsia="Arial" w:hAnsi="Arial"/>
                <w:sz w:val="18"/>
                <w:szCs w:val="18"/>
                <w:color w:val="auto"/>
              </w:rPr>
              <w:t>2,013,069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9950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00" w:right="280" w:hanging="292"/>
        <w:spacing w:after="0" w:line="268" w:lineRule="auto"/>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average credited earnings is the average of the five consecutive years of highest earnings. At December 31, 2005, the below named executive officers were credited with the following years of credited service and had the following average credited earnings:</w:t>
      </w:r>
    </w:p>
    <w:p>
      <w:pPr>
        <w:spacing w:after="0" w:line="200" w:lineRule="exact"/>
        <w:rPr>
          <w:sz w:val="20"/>
          <w:szCs w:val="20"/>
          <w:color w:val="auto"/>
        </w:rPr>
      </w:pPr>
    </w:p>
    <w:p>
      <w:pPr>
        <w:spacing w:after="0" w:line="225"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720" w:type="dxa"/>
            <w:vAlign w:val="bottom"/>
          </w:tcPr>
          <w:p>
            <w:pPr>
              <w:jc w:val="right"/>
              <w:ind w:right="316"/>
              <w:spacing w:after="0"/>
              <w:rPr>
                <w:sz w:val="20"/>
                <w:szCs w:val="20"/>
                <w:color w:val="auto"/>
              </w:rPr>
            </w:pPr>
            <w:r>
              <w:rPr>
                <w:rFonts w:ascii="Arial" w:cs="Arial" w:eastAsia="Arial" w:hAnsi="Arial"/>
                <w:sz w:val="14"/>
                <w:szCs w:val="14"/>
                <w:b w:val="1"/>
                <w:bCs w:val="1"/>
                <w:color w:val="auto"/>
              </w:rPr>
              <w:t>Years of Service</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0" w:type="dxa"/>
            <w:vAlign w:val="bottom"/>
          </w:tcPr>
          <w:p>
            <w:pPr>
              <w:jc w:val="right"/>
              <w:ind w:right="996"/>
              <w:spacing w:after="0"/>
              <w:rPr>
                <w:sz w:val="20"/>
                <w:szCs w:val="20"/>
                <w:color w:val="auto"/>
              </w:rPr>
            </w:pPr>
            <w:r>
              <w:rPr>
                <w:rFonts w:ascii="Arial" w:cs="Arial" w:eastAsia="Arial" w:hAnsi="Arial"/>
                <w:sz w:val="14"/>
                <w:szCs w:val="14"/>
                <w:b w:val="1"/>
                <w:bCs w:val="1"/>
                <w:color w:val="auto"/>
              </w:rPr>
              <w:t>Average Credited Earnings</w:t>
            </w:r>
          </w:p>
        </w:tc>
      </w:tr>
      <w:tr>
        <w:trPr>
          <w:trHeight w:val="55"/>
        </w:trPr>
        <w:tc>
          <w:tcPr>
            <w:tcW w:w="320" w:type="dxa"/>
            <w:vAlign w:val="bottom"/>
            <w:tcBorders>
              <w:bottom w:val="single" w:sz="8" w:color="auto"/>
            </w:tcBorders>
          </w:tcPr>
          <w:p>
            <w:pPr>
              <w:spacing w:after="0"/>
              <w:rPr>
                <w:sz w:val="4"/>
                <w:szCs w:val="4"/>
                <w:color w:val="auto"/>
              </w:rPr>
            </w:pPr>
          </w:p>
        </w:tc>
        <w:tc>
          <w:tcPr>
            <w:tcW w:w="1960" w:type="dxa"/>
            <w:vAlign w:val="bottom"/>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000" w:type="dxa"/>
            <w:vAlign w:val="bottom"/>
            <w:tcBorders>
              <w:bottom w:val="single" w:sz="8" w:color="auto"/>
            </w:tcBorders>
          </w:tcPr>
          <w:p>
            <w:pPr>
              <w:spacing w:after="0"/>
              <w:rPr>
                <w:sz w:val="4"/>
                <w:szCs w:val="4"/>
                <w:color w:val="auto"/>
              </w:rPr>
            </w:pPr>
          </w:p>
        </w:tc>
      </w:tr>
      <w:tr>
        <w:trPr>
          <w:trHeight w:val="61"/>
        </w:trPr>
        <w:tc>
          <w:tcPr>
            <w:tcW w:w="3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0" w:type="dxa"/>
            <w:vAlign w:val="bottom"/>
          </w:tcPr>
          <w:p>
            <w:pPr>
              <w:spacing w:after="0"/>
              <w:rPr>
                <w:sz w:val="5"/>
                <w:szCs w:val="5"/>
                <w:color w:val="auto"/>
              </w:rPr>
            </w:pPr>
          </w:p>
        </w:tc>
      </w:tr>
      <w:tr>
        <w:trPr>
          <w:trHeight w:val="243"/>
        </w:trPr>
        <w:tc>
          <w:tcPr>
            <w:tcW w:w="228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R.K. Templeton*</w:t>
            </w:r>
          </w:p>
        </w:tc>
        <w:tc>
          <w:tcPr>
            <w:tcW w:w="1720" w:type="dxa"/>
            <w:vAlign w:val="bottom"/>
            <w:shd w:val="clear" w:color="auto" w:fill="FFF3CE"/>
          </w:tcPr>
          <w:p>
            <w:pPr>
              <w:jc w:val="right"/>
              <w:ind w:right="316"/>
              <w:spacing w:after="0"/>
              <w:rPr>
                <w:sz w:val="20"/>
                <w:szCs w:val="20"/>
                <w:color w:val="auto"/>
              </w:rPr>
            </w:pPr>
            <w:r>
              <w:rPr>
                <w:rFonts w:ascii="Arial" w:cs="Arial" w:eastAsia="Arial" w:hAnsi="Arial"/>
                <w:sz w:val="18"/>
                <w:szCs w:val="18"/>
                <w:color w:val="auto"/>
              </w:rPr>
              <w:t>16</w:t>
            </w:r>
          </w:p>
        </w:tc>
        <w:tc>
          <w:tcPr>
            <w:tcW w:w="980" w:type="dxa"/>
            <w:vAlign w:val="bottom"/>
            <w:gridSpan w:val="2"/>
            <w:shd w:val="clear" w:color="auto" w:fill="FFF3CE"/>
          </w:tcPr>
          <w:p>
            <w:pPr>
              <w:jc w:val="right"/>
              <w:ind w:right="360"/>
              <w:spacing w:after="0"/>
              <w:rPr>
                <w:sz w:val="20"/>
                <w:szCs w:val="20"/>
                <w:color w:val="auto"/>
              </w:rPr>
            </w:pPr>
            <w:r>
              <w:rPr>
                <w:rFonts w:ascii="Arial" w:cs="Arial" w:eastAsia="Arial" w:hAnsi="Arial"/>
                <w:sz w:val="18"/>
                <w:szCs w:val="18"/>
                <w:color w:val="auto"/>
              </w:rPr>
              <w:t>$</w:t>
            </w:r>
          </w:p>
        </w:tc>
        <w:tc>
          <w:tcPr>
            <w:tcW w:w="3000" w:type="dxa"/>
            <w:vAlign w:val="bottom"/>
            <w:shd w:val="clear" w:color="auto" w:fill="FFF3CE"/>
          </w:tcPr>
          <w:p>
            <w:pPr>
              <w:jc w:val="right"/>
              <w:ind w:right="296"/>
              <w:spacing w:after="0"/>
              <w:rPr>
                <w:sz w:val="20"/>
                <w:szCs w:val="20"/>
                <w:color w:val="auto"/>
              </w:rPr>
            </w:pPr>
            <w:r>
              <w:rPr>
                <w:rFonts w:ascii="Arial" w:cs="Arial" w:eastAsia="Arial" w:hAnsi="Arial"/>
                <w:sz w:val="18"/>
                <w:szCs w:val="18"/>
                <w:color w:val="auto"/>
              </w:rPr>
              <w:t>536,761</w:t>
            </w:r>
          </w:p>
        </w:tc>
      </w:tr>
      <w:tr>
        <w:trPr>
          <w:trHeight w:val="242"/>
        </w:trPr>
        <w:tc>
          <w:tcPr>
            <w:tcW w:w="2280" w:type="dxa"/>
            <w:vAlign w:val="bottom"/>
            <w:gridSpan w:val="2"/>
          </w:tcPr>
          <w:p>
            <w:pPr>
              <w:spacing w:after="0"/>
              <w:rPr>
                <w:sz w:val="20"/>
                <w:szCs w:val="20"/>
                <w:color w:val="auto"/>
              </w:rPr>
            </w:pPr>
            <w:r>
              <w:rPr>
                <w:rFonts w:ascii="Arial" w:cs="Arial" w:eastAsia="Arial" w:hAnsi="Arial"/>
                <w:sz w:val="18"/>
                <w:szCs w:val="18"/>
                <w:color w:val="auto"/>
              </w:rPr>
              <w:t>M.J. Hames</w:t>
            </w:r>
          </w:p>
        </w:tc>
        <w:tc>
          <w:tcPr>
            <w:tcW w:w="1720" w:type="dxa"/>
            <w:vAlign w:val="bottom"/>
          </w:tcPr>
          <w:p>
            <w:pPr>
              <w:jc w:val="right"/>
              <w:ind w:right="316"/>
              <w:spacing w:after="0"/>
              <w:rPr>
                <w:sz w:val="20"/>
                <w:szCs w:val="20"/>
                <w:color w:val="auto"/>
              </w:rPr>
            </w:pPr>
            <w:r>
              <w:rPr>
                <w:rFonts w:ascii="Arial" w:cs="Arial" w:eastAsia="Arial" w:hAnsi="Arial"/>
                <w:sz w:val="18"/>
                <w:szCs w:val="18"/>
                <w:color w:val="auto"/>
              </w:rPr>
              <w:t>24</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0" w:type="dxa"/>
            <w:vAlign w:val="bottom"/>
          </w:tcPr>
          <w:p>
            <w:pPr>
              <w:jc w:val="right"/>
              <w:ind w:right="296"/>
              <w:spacing w:after="0"/>
              <w:rPr>
                <w:sz w:val="20"/>
                <w:szCs w:val="20"/>
                <w:color w:val="auto"/>
              </w:rPr>
            </w:pPr>
            <w:r>
              <w:rPr>
                <w:rFonts w:ascii="Arial" w:cs="Arial" w:eastAsia="Arial" w:hAnsi="Arial"/>
                <w:sz w:val="18"/>
                <w:szCs w:val="18"/>
                <w:color w:val="auto"/>
              </w:rPr>
              <w:t>691,760</w:t>
            </w:r>
          </w:p>
        </w:tc>
      </w:tr>
      <w:tr>
        <w:trPr>
          <w:trHeight w:val="244"/>
        </w:trPr>
        <w:tc>
          <w:tcPr>
            <w:tcW w:w="228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G.A. Lowe</w:t>
            </w:r>
          </w:p>
        </w:tc>
        <w:tc>
          <w:tcPr>
            <w:tcW w:w="1720" w:type="dxa"/>
            <w:vAlign w:val="bottom"/>
            <w:shd w:val="clear" w:color="auto" w:fill="FFF3CE"/>
          </w:tcPr>
          <w:p>
            <w:pPr>
              <w:jc w:val="right"/>
              <w:ind w:right="316"/>
              <w:spacing w:after="0"/>
              <w:rPr>
                <w:sz w:val="20"/>
                <w:szCs w:val="20"/>
                <w:color w:val="auto"/>
              </w:rPr>
            </w:pPr>
            <w:r>
              <w:rPr>
                <w:rFonts w:ascii="Arial" w:cs="Arial" w:eastAsia="Arial" w:hAnsi="Arial"/>
                <w:sz w:val="18"/>
                <w:szCs w:val="18"/>
                <w:color w:val="auto"/>
              </w:rPr>
              <w:t>20</w:t>
            </w:r>
          </w:p>
        </w:tc>
        <w:tc>
          <w:tcPr>
            <w:tcW w:w="980" w:type="dxa"/>
            <w:vAlign w:val="bottom"/>
            <w:gridSpan w:val="2"/>
            <w:shd w:val="clear" w:color="auto" w:fill="FFF3CE"/>
          </w:tcPr>
          <w:p>
            <w:pPr>
              <w:jc w:val="right"/>
              <w:ind w:right="360"/>
              <w:spacing w:after="0"/>
              <w:rPr>
                <w:sz w:val="20"/>
                <w:szCs w:val="20"/>
                <w:color w:val="auto"/>
              </w:rPr>
            </w:pPr>
            <w:r>
              <w:rPr>
                <w:rFonts w:ascii="Arial" w:cs="Arial" w:eastAsia="Arial" w:hAnsi="Arial"/>
                <w:sz w:val="18"/>
                <w:szCs w:val="18"/>
                <w:color w:val="auto"/>
              </w:rPr>
              <w:t>$</w:t>
            </w:r>
          </w:p>
        </w:tc>
        <w:tc>
          <w:tcPr>
            <w:tcW w:w="3000" w:type="dxa"/>
            <w:vAlign w:val="bottom"/>
            <w:shd w:val="clear" w:color="auto" w:fill="FFF3CE"/>
          </w:tcPr>
          <w:p>
            <w:pPr>
              <w:jc w:val="right"/>
              <w:ind w:right="296"/>
              <w:spacing w:after="0"/>
              <w:rPr>
                <w:sz w:val="20"/>
                <w:szCs w:val="20"/>
                <w:color w:val="auto"/>
              </w:rPr>
            </w:pPr>
            <w:r>
              <w:rPr>
                <w:rFonts w:ascii="Arial" w:cs="Arial" w:eastAsia="Arial" w:hAnsi="Arial"/>
                <w:sz w:val="18"/>
                <w:szCs w:val="18"/>
                <w:color w:val="auto"/>
              </w:rPr>
              <w:t>554,750</w:t>
            </w:r>
          </w:p>
        </w:tc>
      </w:tr>
      <w:tr>
        <w:trPr>
          <w:trHeight w:val="241"/>
        </w:trPr>
        <w:tc>
          <w:tcPr>
            <w:tcW w:w="2280" w:type="dxa"/>
            <w:vAlign w:val="bottom"/>
            <w:gridSpan w:val="2"/>
          </w:tcPr>
          <w:p>
            <w:pPr>
              <w:spacing w:after="0"/>
              <w:rPr>
                <w:sz w:val="20"/>
                <w:szCs w:val="20"/>
                <w:color w:val="auto"/>
              </w:rPr>
            </w:pPr>
            <w:r>
              <w:rPr>
                <w:rFonts w:ascii="Arial" w:cs="Arial" w:eastAsia="Arial" w:hAnsi="Arial"/>
                <w:sz w:val="18"/>
                <w:szCs w:val="18"/>
                <w:color w:val="auto"/>
              </w:rPr>
              <w:t>K.J. Ritchie</w:t>
            </w:r>
          </w:p>
        </w:tc>
        <w:tc>
          <w:tcPr>
            <w:tcW w:w="1720" w:type="dxa"/>
            <w:vAlign w:val="bottom"/>
          </w:tcPr>
          <w:p>
            <w:pPr>
              <w:jc w:val="right"/>
              <w:ind w:right="316"/>
              <w:spacing w:after="0"/>
              <w:rPr>
                <w:sz w:val="20"/>
                <w:szCs w:val="20"/>
                <w:color w:val="auto"/>
              </w:rPr>
            </w:pPr>
            <w:r>
              <w:rPr>
                <w:rFonts w:ascii="Arial" w:cs="Arial" w:eastAsia="Arial" w:hAnsi="Arial"/>
                <w:sz w:val="18"/>
                <w:szCs w:val="18"/>
                <w:color w:val="auto"/>
              </w:rPr>
              <w:t>26</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0" w:type="dxa"/>
            <w:vAlign w:val="bottom"/>
          </w:tcPr>
          <w:p>
            <w:pPr>
              <w:jc w:val="right"/>
              <w:ind w:right="296"/>
              <w:spacing w:after="0"/>
              <w:rPr>
                <w:sz w:val="20"/>
                <w:szCs w:val="20"/>
                <w:color w:val="auto"/>
              </w:rPr>
            </w:pPr>
            <w:r>
              <w:rPr>
                <w:rFonts w:ascii="Arial" w:cs="Arial" w:eastAsia="Arial" w:hAnsi="Arial"/>
                <w:sz w:val="18"/>
                <w:szCs w:val="18"/>
                <w:color w:val="auto"/>
              </w:rPr>
              <w:t>548,508</w:t>
            </w:r>
          </w:p>
        </w:tc>
      </w:tr>
    </w:tbl>
    <w:p>
      <w:pPr>
        <w:spacing w:after="0" w:line="200" w:lineRule="exact"/>
        <w:rPr>
          <w:sz w:val="20"/>
          <w:szCs w:val="20"/>
          <w:color w:val="auto"/>
        </w:rPr>
      </w:pPr>
    </w:p>
    <w:p>
      <w:pPr>
        <w:spacing w:after="0" w:line="25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of December 31, 1997.</w:t>
      </w:r>
    </w:p>
    <w:p>
      <w:pPr>
        <w:spacing w:after="0" w:line="225" w:lineRule="exact"/>
        <w:rPr>
          <w:sz w:val="20"/>
          <w:szCs w:val="20"/>
          <w:color w:val="auto"/>
        </w:rPr>
      </w:pPr>
    </w:p>
    <w:p>
      <w:pPr>
        <w:ind w:left="300" w:right="640" w:hanging="292"/>
        <w:spacing w:after="0" w:line="268" w:lineRule="auto"/>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amount otherwise payable under the pension plan should be restricted by the applicable provisions of ERISA, the amount in excess of ERISA’s restrictions will be paid by the company.</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300" w:hanging="292"/>
        <w:spacing w:after="0" w:line="298" w:lineRule="auto"/>
        <w:tabs>
          <w:tab w:leader="none" w:pos="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benefits under the pension plan are computed as a single life annuity beginning at age 65. The amounts shown in the table reflect the offset provided in the pension plan under the pension formula adopted July 1, 1989, to comply with Social Security integration requirements. The integration offset is $5,113 for 15 years of credited service, $6,817 for 20 years of credited service, $8,522 for 25 years of credited service, $10,226 for 30 years of credited service, $11,931 for 35 years of credited service, $11,931 for 40 years of credited service and $11,931 for 45 years of credited service.</w:t>
      </w:r>
    </w:p>
    <w:p>
      <w:pPr>
        <w:spacing w:after="0" w:line="200" w:lineRule="exact"/>
        <w:rPr>
          <w:sz w:val="20"/>
          <w:szCs w:val="20"/>
          <w:color w:val="auto"/>
        </w:rPr>
      </w:pPr>
    </w:p>
    <w:p>
      <w:pPr>
        <w:spacing w:after="0" w:line="2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table provides an estimate of the lump sum benefit under each of the pension plan and the nonqualified supplemental pension plan that would be payable to the named executive officers based on a hypothetical retirement date of December 31, 2005. The lump sum represents the discounted net present value of the annual annuity payments to which the named executive officer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would otherwise be entitled, based on the named executive officer’s actuarial life expectancy and the government discount rate in effect at the time.</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00" w:type="dxa"/>
            <w:vAlign w:val="bottom"/>
          </w:tcPr>
          <w:p>
            <w:pPr>
              <w:jc w:val="center"/>
              <w:ind w:right="563"/>
              <w:spacing w:after="0"/>
              <w:rPr>
                <w:sz w:val="20"/>
                <w:szCs w:val="20"/>
                <w:color w:val="auto"/>
              </w:rPr>
            </w:pPr>
            <w:r>
              <w:rPr>
                <w:rFonts w:ascii="Arial" w:cs="Arial" w:eastAsia="Arial" w:hAnsi="Arial"/>
                <w:sz w:val="14"/>
                <w:szCs w:val="14"/>
                <w:b w:val="1"/>
                <w:bCs w:val="1"/>
                <w:color w:val="auto"/>
                <w:w w:val="87"/>
              </w:rPr>
              <w:t>Nonqualified</w:t>
            </w:r>
          </w:p>
        </w:tc>
      </w:tr>
      <w:tr>
        <w:trPr>
          <w:trHeight w:val="149"/>
        </w:trPr>
        <w:tc>
          <w:tcPr>
            <w:tcW w:w="3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00" w:type="dxa"/>
            <w:vAlign w:val="bottom"/>
          </w:tcPr>
          <w:p>
            <w:pPr>
              <w:jc w:val="center"/>
              <w:ind w:right="543"/>
              <w:spacing w:after="0" w:line="149" w:lineRule="exact"/>
              <w:rPr>
                <w:sz w:val="20"/>
                <w:szCs w:val="20"/>
                <w:color w:val="auto"/>
              </w:rPr>
            </w:pPr>
            <w:r>
              <w:rPr>
                <w:rFonts w:ascii="Arial" w:cs="Arial" w:eastAsia="Arial" w:hAnsi="Arial"/>
                <w:sz w:val="14"/>
                <w:szCs w:val="14"/>
                <w:b w:val="1"/>
                <w:bCs w:val="1"/>
                <w:color w:val="auto"/>
                <w:w w:val="87"/>
              </w:rPr>
              <w:t>Supplemental</w:t>
            </w:r>
          </w:p>
        </w:tc>
      </w:tr>
      <w:tr>
        <w:trPr>
          <w:trHeight w:val="149"/>
        </w:trPr>
        <w:tc>
          <w:tcPr>
            <w:tcW w:w="3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00" w:type="dxa"/>
            <w:vAlign w:val="bottom"/>
          </w:tcPr>
          <w:p>
            <w:pPr>
              <w:jc w:val="center"/>
              <w:ind w:right="561"/>
              <w:spacing w:after="0" w:line="149" w:lineRule="exact"/>
              <w:rPr>
                <w:sz w:val="20"/>
                <w:szCs w:val="20"/>
                <w:color w:val="auto"/>
              </w:rPr>
            </w:pPr>
            <w:r>
              <w:rPr>
                <w:rFonts w:ascii="Arial" w:cs="Arial" w:eastAsia="Arial" w:hAnsi="Arial"/>
                <w:sz w:val="14"/>
                <w:szCs w:val="14"/>
                <w:b w:val="1"/>
                <w:bCs w:val="1"/>
                <w:color w:val="auto"/>
                <w:w w:val="84"/>
              </w:rPr>
              <w:t>Pension Plan</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00" w:type="dxa"/>
            <w:vAlign w:val="bottom"/>
          </w:tcPr>
          <w:p>
            <w:pPr>
              <w:jc w:val="center"/>
              <w:ind w:right="563"/>
              <w:spacing w:after="0" w:line="149" w:lineRule="exact"/>
              <w:rPr>
                <w:sz w:val="20"/>
                <w:szCs w:val="20"/>
                <w:color w:val="auto"/>
              </w:rPr>
            </w:pPr>
            <w:r>
              <w:rPr>
                <w:rFonts w:ascii="Arial" w:cs="Arial" w:eastAsia="Arial" w:hAnsi="Arial"/>
                <w:sz w:val="14"/>
                <w:szCs w:val="14"/>
                <w:b w:val="1"/>
                <w:bCs w:val="1"/>
                <w:color w:val="auto"/>
                <w:w w:val="84"/>
              </w:rPr>
              <w:t>Pension Plan</w:t>
            </w:r>
          </w:p>
        </w:tc>
      </w:tr>
      <w:tr>
        <w:trPr>
          <w:trHeight w:val="149"/>
        </w:trPr>
        <w:tc>
          <w:tcPr>
            <w:tcW w:w="3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00" w:type="dxa"/>
            <w:vAlign w:val="bottom"/>
          </w:tcPr>
          <w:p>
            <w:pPr>
              <w:jc w:val="center"/>
              <w:ind w:right="561"/>
              <w:spacing w:after="0" w:line="149" w:lineRule="exact"/>
              <w:rPr>
                <w:sz w:val="20"/>
                <w:szCs w:val="20"/>
                <w:color w:val="auto"/>
              </w:rPr>
            </w:pPr>
            <w:r>
              <w:rPr>
                <w:rFonts w:ascii="Arial" w:cs="Arial" w:eastAsia="Arial" w:hAnsi="Arial"/>
                <w:sz w:val="14"/>
                <w:szCs w:val="14"/>
                <w:b w:val="1"/>
                <w:bCs w:val="1"/>
                <w:color w:val="auto"/>
                <w:w w:val="89"/>
              </w:rPr>
              <w:t>Estimated Lump</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00" w:type="dxa"/>
            <w:vAlign w:val="bottom"/>
          </w:tcPr>
          <w:p>
            <w:pPr>
              <w:jc w:val="center"/>
              <w:ind w:right="563"/>
              <w:spacing w:after="0" w:line="149" w:lineRule="exact"/>
              <w:rPr>
                <w:sz w:val="20"/>
                <w:szCs w:val="20"/>
                <w:color w:val="auto"/>
              </w:rPr>
            </w:pPr>
            <w:r>
              <w:rPr>
                <w:rFonts w:ascii="Arial" w:cs="Arial" w:eastAsia="Arial" w:hAnsi="Arial"/>
                <w:sz w:val="14"/>
                <w:szCs w:val="14"/>
                <w:b w:val="1"/>
                <w:bCs w:val="1"/>
                <w:color w:val="auto"/>
                <w:w w:val="89"/>
              </w:rPr>
              <w:t>Estimated Lump</w:t>
            </w:r>
          </w:p>
        </w:tc>
      </w:tr>
      <w:tr>
        <w:trPr>
          <w:trHeight w:val="174"/>
        </w:trPr>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tcPr>
          <w:p>
            <w:pPr>
              <w:spacing w:after="0"/>
              <w:rPr>
                <w:sz w:val="15"/>
                <w:szCs w:val="15"/>
                <w:color w:val="auto"/>
              </w:rPr>
            </w:pPr>
          </w:p>
        </w:tc>
        <w:tc>
          <w:tcPr>
            <w:tcW w:w="2100" w:type="dxa"/>
            <w:vAlign w:val="bottom"/>
          </w:tcPr>
          <w:p>
            <w:pPr>
              <w:jc w:val="center"/>
              <w:ind w:right="561"/>
              <w:spacing w:after="0"/>
              <w:rPr>
                <w:sz w:val="20"/>
                <w:szCs w:val="20"/>
                <w:color w:val="auto"/>
              </w:rPr>
            </w:pPr>
            <w:r>
              <w:rPr>
                <w:rFonts w:ascii="Arial" w:cs="Arial" w:eastAsia="Arial" w:hAnsi="Arial"/>
                <w:sz w:val="14"/>
                <w:szCs w:val="14"/>
                <w:b w:val="1"/>
                <w:bCs w:val="1"/>
                <w:color w:val="auto"/>
                <w:w w:val="88"/>
              </w:rPr>
              <w:t>Sum Payment</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00" w:type="dxa"/>
            <w:vAlign w:val="bottom"/>
          </w:tcPr>
          <w:p>
            <w:pPr>
              <w:jc w:val="center"/>
              <w:ind w:right="543"/>
              <w:spacing w:after="0"/>
              <w:rPr>
                <w:sz w:val="20"/>
                <w:szCs w:val="20"/>
                <w:color w:val="auto"/>
              </w:rPr>
            </w:pPr>
            <w:r>
              <w:rPr>
                <w:rFonts w:ascii="Arial" w:cs="Arial" w:eastAsia="Arial" w:hAnsi="Arial"/>
                <w:sz w:val="14"/>
                <w:szCs w:val="14"/>
                <w:b w:val="1"/>
                <w:bCs w:val="1"/>
                <w:color w:val="auto"/>
                <w:w w:val="86"/>
              </w:rPr>
              <w:t>Sum Payment</w:t>
            </w:r>
          </w:p>
        </w:tc>
      </w:tr>
      <w:tr>
        <w:trPr>
          <w:trHeight w:val="55"/>
        </w:trPr>
        <w:tc>
          <w:tcPr>
            <w:tcW w:w="320" w:type="dxa"/>
            <w:vAlign w:val="bottom"/>
            <w:tcBorders>
              <w:bottom w:val="single" w:sz="8" w:color="auto"/>
            </w:tcBorders>
          </w:tcPr>
          <w:p>
            <w:pPr>
              <w:spacing w:after="0"/>
              <w:rPr>
                <w:sz w:val="4"/>
                <w:szCs w:val="4"/>
                <w:color w:val="auto"/>
              </w:rPr>
            </w:pPr>
          </w:p>
        </w:tc>
        <w:tc>
          <w:tcPr>
            <w:tcW w:w="196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r>
      <w:tr>
        <w:trPr>
          <w:trHeight w:val="61"/>
        </w:trPr>
        <w:tc>
          <w:tcPr>
            <w:tcW w:w="3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100" w:type="dxa"/>
            <w:vAlign w:val="bottom"/>
          </w:tcPr>
          <w:p>
            <w:pPr>
              <w:spacing w:after="0"/>
              <w:rPr>
                <w:sz w:val="5"/>
                <w:szCs w:val="5"/>
                <w:color w:val="auto"/>
              </w:rPr>
            </w:pPr>
          </w:p>
        </w:tc>
      </w:tr>
      <w:tr>
        <w:trPr>
          <w:trHeight w:val="243"/>
        </w:trPr>
        <w:tc>
          <w:tcPr>
            <w:tcW w:w="228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R. K. Templeton*</w:t>
            </w:r>
          </w:p>
        </w:tc>
        <w:tc>
          <w:tcPr>
            <w:tcW w:w="640" w:type="dxa"/>
            <w:vAlign w:val="bottom"/>
            <w:shd w:val="clear" w:color="auto" w:fill="FFF3CE"/>
          </w:tcPr>
          <w:p>
            <w:pPr>
              <w:jc w:val="right"/>
              <w:ind w:right="152"/>
              <w:spacing w:after="0"/>
              <w:rPr>
                <w:sz w:val="20"/>
                <w:szCs w:val="20"/>
                <w:color w:val="auto"/>
              </w:rPr>
            </w:pPr>
            <w:r>
              <w:rPr>
                <w:rFonts w:ascii="Arial" w:cs="Arial" w:eastAsia="Arial" w:hAnsi="Arial"/>
                <w:sz w:val="18"/>
                <w:szCs w:val="18"/>
                <w:color w:val="auto"/>
              </w:rPr>
              <w:t>$</w:t>
            </w:r>
          </w:p>
        </w:tc>
        <w:tc>
          <w:tcPr>
            <w:tcW w:w="2100" w:type="dxa"/>
            <w:vAlign w:val="bottom"/>
            <w:shd w:val="clear" w:color="auto" w:fill="FFF3CE"/>
          </w:tcPr>
          <w:p>
            <w:pPr>
              <w:jc w:val="right"/>
              <w:ind w:right="321"/>
              <w:spacing w:after="0"/>
              <w:rPr>
                <w:sz w:val="20"/>
                <w:szCs w:val="20"/>
                <w:color w:val="auto"/>
              </w:rPr>
            </w:pPr>
            <w:r>
              <w:rPr>
                <w:rFonts w:ascii="Arial" w:cs="Arial" w:eastAsia="Arial" w:hAnsi="Arial"/>
                <w:sz w:val="18"/>
                <w:szCs w:val="18"/>
                <w:color w:val="auto"/>
              </w:rPr>
              <w:t>371,662</w:t>
            </w:r>
          </w:p>
        </w:tc>
        <w:tc>
          <w:tcPr>
            <w:tcW w:w="860" w:type="dxa"/>
            <w:vAlign w:val="bottom"/>
            <w:gridSpan w:val="2"/>
            <w:shd w:val="clear" w:color="auto" w:fill="FFF3CE"/>
          </w:tcPr>
          <w:p>
            <w:pPr>
              <w:jc w:val="right"/>
              <w:ind w:right="240"/>
              <w:spacing w:after="0"/>
              <w:rPr>
                <w:sz w:val="20"/>
                <w:szCs w:val="20"/>
                <w:color w:val="auto"/>
              </w:rPr>
            </w:pPr>
            <w:r>
              <w:rPr>
                <w:rFonts w:ascii="Arial" w:cs="Arial" w:eastAsia="Arial" w:hAnsi="Arial"/>
                <w:sz w:val="18"/>
                <w:szCs w:val="18"/>
                <w:color w:val="auto"/>
              </w:rPr>
              <w:t>$</w:t>
            </w:r>
          </w:p>
        </w:tc>
        <w:tc>
          <w:tcPr>
            <w:tcW w:w="2100" w:type="dxa"/>
            <w:vAlign w:val="bottom"/>
            <w:shd w:val="clear" w:color="auto" w:fill="FFF3CE"/>
          </w:tcPr>
          <w:p>
            <w:pPr>
              <w:jc w:val="right"/>
              <w:ind w:right="303"/>
              <w:spacing w:after="0"/>
              <w:rPr>
                <w:sz w:val="20"/>
                <w:szCs w:val="20"/>
                <w:color w:val="auto"/>
              </w:rPr>
            </w:pPr>
            <w:r>
              <w:rPr>
                <w:rFonts w:ascii="Arial" w:cs="Arial" w:eastAsia="Arial" w:hAnsi="Arial"/>
                <w:sz w:val="18"/>
                <w:szCs w:val="18"/>
                <w:color w:val="auto"/>
              </w:rPr>
              <w:t>274,633</w:t>
            </w:r>
          </w:p>
        </w:tc>
      </w:tr>
      <w:tr>
        <w:trPr>
          <w:trHeight w:val="242"/>
        </w:trPr>
        <w:tc>
          <w:tcPr>
            <w:tcW w:w="2280" w:type="dxa"/>
            <w:vAlign w:val="bottom"/>
            <w:gridSpan w:val="2"/>
          </w:tcPr>
          <w:p>
            <w:pPr>
              <w:spacing w:after="0"/>
              <w:rPr>
                <w:sz w:val="20"/>
                <w:szCs w:val="20"/>
                <w:color w:val="auto"/>
              </w:rPr>
            </w:pPr>
            <w:r>
              <w:rPr>
                <w:rFonts w:ascii="Arial" w:cs="Arial" w:eastAsia="Arial" w:hAnsi="Arial"/>
                <w:sz w:val="18"/>
                <w:szCs w:val="18"/>
                <w:color w:val="auto"/>
              </w:rPr>
              <w:t>M. J. Hames</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321"/>
              <w:spacing w:after="0"/>
              <w:rPr>
                <w:sz w:val="20"/>
                <w:szCs w:val="20"/>
                <w:color w:val="auto"/>
              </w:rPr>
            </w:pPr>
            <w:r>
              <w:rPr>
                <w:rFonts w:ascii="Arial" w:cs="Arial" w:eastAsia="Arial" w:hAnsi="Arial"/>
                <w:sz w:val="18"/>
                <w:szCs w:val="18"/>
                <w:color w:val="auto"/>
              </w:rPr>
              <w:t>486,464</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303"/>
              <w:spacing w:after="0"/>
              <w:rPr>
                <w:sz w:val="20"/>
                <w:szCs w:val="20"/>
                <w:color w:val="auto"/>
              </w:rPr>
            </w:pPr>
            <w:r>
              <w:rPr>
                <w:rFonts w:ascii="Arial" w:cs="Arial" w:eastAsia="Arial" w:hAnsi="Arial"/>
                <w:sz w:val="18"/>
                <w:szCs w:val="18"/>
                <w:color w:val="auto"/>
              </w:rPr>
              <w:t>784,681</w:t>
            </w:r>
          </w:p>
        </w:tc>
      </w:tr>
      <w:tr>
        <w:trPr>
          <w:trHeight w:val="244"/>
        </w:trPr>
        <w:tc>
          <w:tcPr>
            <w:tcW w:w="228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G. A. Lowe</w:t>
            </w:r>
          </w:p>
        </w:tc>
        <w:tc>
          <w:tcPr>
            <w:tcW w:w="640" w:type="dxa"/>
            <w:vAlign w:val="bottom"/>
            <w:shd w:val="clear" w:color="auto" w:fill="FFF3CE"/>
          </w:tcPr>
          <w:p>
            <w:pPr>
              <w:jc w:val="right"/>
              <w:ind w:right="152"/>
              <w:spacing w:after="0"/>
              <w:rPr>
                <w:sz w:val="20"/>
                <w:szCs w:val="20"/>
                <w:color w:val="auto"/>
              </w:rPr>
            </w:pPr>
            <w:r>
              <w:rPr>
                <w:rFonts w:ascii="Arial" w:cs="Arial" w:eastAsia="Arial" w:hAnsi="Arial"/>
                <w:sz w:val="18"/>
                <w:szCs w:val="18"/>
                <w:color w:val="auto"/>
              </w:rPr>
              <w:t>$</w:t>
            </w:r>
          </w:p>
        </w:tc>
        <w:tc>
          <w:tcPr>
            <w:tcW w:w="2100" w:type="dxa"/>
            <w:vAlign w:val="bottom"/>
            <w:shd w:val="clear" w:color="auto" w:fill="FFF3CE"/>
          </w:tcPr>
          <w:p>
            <w:pPr>
              <w:jc w:val="right"/>
              <w:ind w:right="321"/>
              <w:spacing w:after="0"/>
              <w:rPr>
                <w:sz w:val="20"/>
                <w:szCs w:val="20"/>
                <w:color w:val="auto"/>
              </w:rPr>
            </w:pPr>
            <w:r>
              <w:rPr>
                <w:rFonts w:ascii="Arial" w:cs="Arial" w:eastAsia="Arial" w:hAnsi="Arial"/>
                <w:sz w:val="18"/>
                <w:szCs w:val="18"/>
                <w:color w:val="auto"/>
              </w:rPr>
              <w:t>349,915</w:t>
            </w:r>
          </w:p>
        </w:tc>
        <w:tc>
          <w:tcPr>
            <w:tcW w:w="860" w:type="dxa"/>
            <w:vAlign w:val="bottom"/>
            <w:gridSpan w:val="2"/>
            <w:shd w:val="clear" w:color="auto" w:fill="FFF3CE"/>
          </w:tcPr>
          <w:p>
            <w:pPr>
              <w:jc w:val="right"/>
              <w:ind w:right="240"/>
              <w:spacing w:after="0"/>
              <w:rPr>
                <w:sz w:val="20"/>
                <w:szCs w:val="20"/>
                <w:color w:val="auto"/>
              </w:rPr>
            </w:pPr>
            <w:r>
              <w:rPr>
                <w:rFonts w:ascii="Arial" w:cs="Arial" w:eastAsia="Arial" w:hAnsi="Arial"/>
                <w:sz w:val="18"/>
                <w:szCs w:val="18"/>
                <w:color w:val="auto"/>
              </w:rPr>
              <w:t>$</w:t>
            </w:r>
          </w:p>
        </w:tc>
        <w:tc>
          <w:tcPr>
            <w:tcW w:w="2100" w:type="dxa"/>
            <w:vAlign w:val="bottom"/>
            <w:shd w:val="clear" w:color="auto" w:fill="FFF3CE"/>
          </w:tcPr>
          <w:p>
            <w:pPr>
              <w:jc w:val="right"/>
              <w:ind w:right="303"/>
              <w:spacing w:after="0"/>
              <w:rPr>
                <w:sz w:val="20"/>
                <w:szCs w:val="20"/>
                <w:color w:val="auto"/>
              </w:rPr>
            </w:pPr>
            <w:r>
              <w:rPr>
                <w:rFonts w:ascii="Arial" w:cs="Arial" w:eastAsia="Arial" w:hAnsi="Arial"/>
                <w:sz w:val="18"/>
                <w:szCs w:val="18"/>
                <w:color w:val="auto"/>
              </w:rPr>
              <w:t>352,574</w:t>
            </w:r>
          </w:p>
        </w:tc>
      </w:tr>
      <w:tr>
        <w:trPr>
          <w:trHeight w:val="241"/>
        </w:trPr>
        <w:tc>
          <w:tcPr>
            <w:tcW w:w="2280" w:type="dxa"/>
            <w:vAlign w:val="bottom"/>
            <w:gridSpan w:val="2"/>
          </w:tcPr>
          <w:p>
            <w:pPr>
              <w:spacing w:after="0"/>
              <w:rPr>
                <w:sz w:val="20"/>
                <w:szCs w:val="20"/>
                <w:color w:val="auto"/>
              </w:rPr>
            </w:pPr>
            <w:r>
              <w:rPr>
                <w:rFonts w:ascii="Arial" w:cs="Arial" w:eastAsia="Arial" w:hAnsi="Arial"/>
                <w:sz w:val="18"/>
                <w:szCs w:val="18"/>
                <w:color w:val="auto"/>
              </w:rPr>
              <w:t>K.J. Ritchie</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321"/>
              <w:spacing w:after="0"/>
              <w:rPr>
                <w:sz w:val="20"/>
                <w:szCs w:val="20"/>
                <w:color w:val="auto"/>
              </w:rPr>
            </w:pPr>
            <w:r>
              <w:rPr>
                <w:rFonts w:ascii="Arial" w:cs="Arial" w:eastAsia="Arial" w:hAnsi="Arial"/>
                <w:sz w:val="18"/>
                <w:szCs w:val="18"/>
                <w:color w:val="auto"/>
              </w:rPr>
              <w:t>578,694</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303"/>
              <w:spacing w:after="0"/>
              <w:rPr>
                <w:sz w:val="20"/>
                <w:szCs w:val="20"/>
                <w:color w:val="auto"/>
              </w:rPr>
            </w:pPr>
            <w:r>
              <w:rPr>
                <w:rFonts w:ascii="Arial" w:cs="Arial" w:eastAsia="Arial" w:hAnsi="Arial"/>
                <w:sz w:val="18"/>
                <w:szCs w:val="18"/>
                <w:color w:val="auto"/>
              </w:rPr>
              <w:t>599,784</w:t>
            </w:r>
          </w:p>
        </w:tc>
      </w:tr>
    </w:tbl>
    <w:p>
      <w:pPr>
        <w:spacing w:after="0" w:line="200" w:lineRule="exact"/>
        <w:rPr>
          <w:sz w:val="20"/>
          <w:szCs w:val="20"/>
          <w:color w:val="auto"/>
        </w:rPr>
      </w:pPr>
    </w:p>
    <w:p>
      <w:pPr>
        <w:spacing w:after="0" w:line="253"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accrued pension benefit as of December 31, 1997.</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23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Compensation Committee of the board of directors (the Committee) has furnished the following report on executive compensation paid or awarded to executive officers for 2005:</w:t>
      </w:r>
    </w:p>
    <w:p>
      <w:pPr>
        <w:spacing w:after="0" w:line="18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Committee determines compensation for the executive officers of the company. The Committee consists solely of independent members of the board, meets on a scheduled basis and reports its activities to the board. A copy of the Committee’s charter appears on the company’s web site at www.ti.com/corporategovernance.</w:t>
      </w:r>
    </w:p>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To assist it in administration of the company’s executive compensation program, the Committee has authority to retain independent experts and advisors. In 2005, the Committee retained an independent consultant to advise it on market practices relating to compensation.</w:t>
      </w:r>
    </w:p>
    <w:p>
      <w:pPr>
        <w:sectPr>
          <w:pgSz w:w="11900" w:h="16838" w:orient="portrait"/>
          <w:cols w:equalWidth="0" w:num="1">
            <w:col w:w="11400"/>
          </w:cols>
          <w:pgMar w:left="240" w:top="127" w:right="259" w:bottom="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Compensation Strategy and Components</w:t>
      </w:r>
    </w:p>
    <w:p>
      <w:pPr>
        <w:spacing w:after="0" w:line="23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goal of the company’s executive compensation program is to attract, motivate and retain the executives who are critical to the company’s success, while holding them accountable for their own and for the company’s performance. The total value of compensation delivered to executive officers is highly variable, based on such performance. The components of compensation are designed to align executive interests with those of stockholders. Those components are as follows: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compensation consists of two components: base salary and performance bonuses.</w:t>
      </w:r>
    </w:p>
    <w:p>
      <w:pPr>
        <w:spacing w:after="0" w:line="225"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Base salary is primarily determined by competitive pay and individual job performance. The Committee’s strategy is to target base salary generally at a level below the market median, in order to weight total compensation toward the performance-based components described below. Competitive pay practices are determined from the best available information (including compensation surveys, proxy-statement disclosures and the advice of the Committee’s independent compensation consultant) about a group of comparator companies. All in this comparator group are high-technology companies, many of which are included in the S&amp;P Information Technology Index. (See page 23 for a comparison of TI’s stock performance with this Index.)</w:t>
      </w:r>
    </w:p>
    <w:p>
      <w:pPr>
        <w:spacing w:after="0" w:line="170"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Performance bonuses are used to bring the executive officers’ total cash compensation to targeted levels. Total cash compensation is targeted at a level commensurate with the company’s relative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performance versus its competitors, as well as the individual’s contribution to that performance. In setting an executive officer’s performance bonus, the Committee takes account of the amount paid to the officer under the Company’s broad-based profit sharing program. (See “Benefits” below for a discussion of the profit sharing program.)</w:t>
      </w:r>
    </w:p>
    <w:p>
      <w:pPr>
        <w:spacing w:after="0" w:line="19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If the company performs better than competitor companies on identified performance measures, the Committee will generally target total cash compensation for executive officers that is higher than the market median. If the company’s performance is below that of competitor companies, then total cash compensation will be targeted at below the market median.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performance measures used by the Committee are described below under the heading “Performance Measures and Decision-Making Process for 2005.”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Compensation</w:t>
      </w:r>
    </w:p>
    <w:p>
      <w:pPr>
        <w:spacing w:after="0" w:line="225"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To promote retention and align executive officers’ interests more closely with those of stockholders, the Committee grants long-term equity compensation, generally consisting of a mix of stock options and restricted stock units. In determining long-term awards, the Committee considers the performance of the executive officer and the retention value of the long-term compensation that already has been granted to the individual, as well as the median number of shares and equity value granted by comparator companies to similarly situated executive officers.</w:t>
      </w:r>
    </w:p>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Stock options are granted at 100 percent of fair market value on the date of grant, have a 10-year term, and become exercisable in four equal annual installments starting one year after grant. Any value actually realized by an executive officer from an option grant depends solely upon price increases in TI common stock benefiting all stockholders.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Restricted stock units are designated in shares of TI common stock and generally vest 4 years from the date of grant. Until vesting, the grantee receives an annual cash payment equivalent to the dividends paid on the number of shares under the grant. After vesting, the restricted stock units are paid to the grantee in shares of TI common stock.</w:t>
      </w:r>
    </w:p>
    <w:p>
      <w:pPr>
        <w:spacing w:after="0" w:line="19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granting equity compensation, the Committee’s goal is that net annual dilution from its equity compensation practices not exceed 2 percent. “Net annual dilution” means the number of shares under equity awards granted by the Committee each year to all employees (net of award forfeitures), as a percentage of the shares of the company’s outstanding common stock. Equity awards granted by the Committee in 2005 resulted in net annual dilution of 1.1 percent.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stock ownership guidelines for executive officers. The guideline for the Chairman and the CEO is four times base salary or 125,000 shares, whichever is less. The guideline for other executive officers is three times base salary or 25,000 shares, whichever is less. Executive officers have five years from their election as executive officers to reach these targets.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w:t>
      </w:r>
    </w:p>
    <w:p>
      <w:pPr>
        <w:spacing w:after="0" w:line="23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Reflecting the company’s culture of respect and value for all employees, the benefits received by executive officers are the same as received by other employees except for those few benefits described below in the last paragraph of this section. For example, executive officers are eligible on the same basis as other U.S. employees for medical and life insurance, a pension plan, a 401(k) plan into which the company makes matching contributions, and an employee stock purchase plan that allows participants to purchase up to $25,000 of TI stock annually at a discount. Any U.S.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360"/>
          </w:cols>
          <w:pgMar w:left="240" w:top="125"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employee whose base salary exceeds a certain level (currently $130,000 per year) may defer compensation. All employees are eligible to participate in the company’s broad-based profit sharing program. Under this program, cash payments are made to employees, including executive officers, if the company meets</w:t>
      </w:r>
    </w:p>
    <w:p>
      <w:pPr>
        <w:sectPr>
          <w:pgSz w:w="11900" w:h="16838" w:orient="portrait"/>
          <w:cols w:equalWidth="0" w:num="1">
            <w:col w:w="11360"/>
          </w:cols>
          <w:pgMar w:left="240" w:top="125" w:right="299" w:bottom="0" w:gutter="0" w:footer="0" w:header="0"/>
          <w:type w:val="continuous"/>
        </w:sectPr>
      </w:pPr>
    </w:p>
    <w:bookmarkStart w:id="16" w:name="page17"/>
    <w:bookmarkEnd w:id="16"/>
    <w:p>
      <w:pPr>
        <w:ind w:right="20"/>
        <w:spacing w:after="0" w:line="306" w:lineRule="auto"/>
        <w:rPr>
          <w:sz w:val="20"/>
          <w:szCs w:val="20"/>
          <w:color w:val="auto"/>
        </w:rPr>
      </w:pPr>
      <w:r>
        <w:rPr>
          <w:rFonts w:ascii="Arial" w:cs="Arial" w:eastAsia="Arial" w:hAnsi="Arial"/>
          <w:sz w:val="16"/>
          <w:szCs w:val="16"/>
          <w:color w:val="auto"/>
        </w:rPr>
        <w:t>specified performance goals. Together with other U.S. employees, executive officers also participate in a nonqualified supplemental retirement plan, into which amounts are credited that ordinarily would be contributed by the company under the pension or 401(k) plans, but for limitations under the Internal Revenue Code. Upon retirement executive officers receive benefits, such as a pension and retiree medical benefits, under the same terms as other retirees.</w:t>
      </w:r>
    </w:p>
    <w:p>
      <w:pPr>
        <w:spacing w:after="0" w:line="16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does not offer post-employment benefits to executive officers except as described above. The company does not have employment agreements with any of the executive officers. The value of the executive officers’ 401(k) plan and deferred compensation plan balances depends solely on the performance of investment alternatives selected by the executive officer from among the alternatives offered to all participants. The company does not guarantee any minimum return on those investments.</w:t>
      </w:r>
    </w:p>
    <w:p>
      <w:pPr>
        <w:spacing w:after="0" w:line="19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few benefits available only to executive officers are the following: financial planning advice at a cost of up to $8,000 annually for each executive officer; home-security systems for certain executive officers; and an executive life insurance policy for the Chairman that was issued under an old program that is closed to new participants. Together with other senior executives, the executive officers are eligible for a company-paid annual physical. The board of directors determined that for security reasons, it was in the company’s interest to require the CEO to use company aircraft for personal air travel. The company reimburses the CEO for a portion of the tax expense that he incurs as a result of that requirement.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162(m) of the Internal Revenue Code</w:t>
      </w:r>
    </w:p>
    <w:p>
      <w:pPr>
        <w:spacing w:after="0" w:line="231"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Section 162(m) of the Internal Revenue Code generally denies a deduction to any publicly held corporation for compensation paid in a taxable year to the company’s CEO and four other highest compensated officers to the extent that the officer’s compensation (other than qualified performance-based compensation) exceeds $1 million. The Committee’s policy is to award executive compensation that meets the Section 162(m) deductibility requirements, but the Committee exercises its discretion to award non-deductible compensation when it considers it in the best interests of the company and stockholders to do so.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Measures and Decision-Making Process for 2005</w:t>
      </w:r>
    </w:p>
    <w:p>
      <w:pPr>
        <w:spacing w:after="0" w:line="23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Committee set base salaries for executive officers for 2005 in January 2005, with payment beginning in February 2005. The Committee made bonus and long-term compensation awards in January 2006 based on 2005 performance.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measures used by the Committee in determining executive compensation for 2005 were:</w:t>
      </w:r>
    </w:p>
    <w:p>
      <w:pPr>
        <w:spacing w:after="0" w:line="225" w:lineRule="exact"/>
        <w:rPr>
          <w:sz w:val="20"/>
          <w:szCs w:val="20"/>
          <w:color w:val="auto"/>
        </w:rPr>
      </w:pPr>
    </w:p>
    <w:p>
      <w:pPr>
        <w:ind w:left="520" w:right="280" w:hanging="215"/>
        <w:spacing w:after="0" w:line="268"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absolute one-year and multi-year company performance as measured by market share, revenue growth, profit from operations and total shareholder return;</w:t>
      </w:r>
    </w:p>
    <w:p>
      <w:pPr>
        <w:spacing w:after="0" w:line="212" w:lineRule="exact"/>
        <w:rPr>
          <w:rFonts w:ascii="Arial" w:cs="Arial" w:eastAsia="Arial" w:hAnsi="Arial"/>
          <w:sz w:val="18"/>
          <w:szCs w:val="18"/>
          <w:color w:val="auto"/>
        </w:rPr>
      </w:pPr>
    </w:p>
    <w:p>
      <w:pPr>
        <w:ind w:left="520" w:hanging="215"/>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one-year and multi-year performance on the same measures as compared with semiconductor competitors in the comparator group; and</w:t>
      </w:r>
    </w:p>
    <w:p>
      <w:pPr>
        <w:spacing w:after="0" w:line="279" w:lineRule="exact"/>
        <w:rPr>
          <w:rFonts w:ascii="Arial" w:cs="Arial" w:eastAsia="Arial" w:hAnsi="Arial"/>
          <w:sz w:val="18"/>
          <w:szCs w:val="18"/>
          <w:color w:val="auto"/>
        </w:rPr>
      </w:pPr>
    </w:p>
    <w:p>
      <w:pPr>
        <w:ind w:left="520" w:hanging="215"/>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progress toward its strategic goals.</w:t>
      </w:r>
    </w:p>
    <w:p>
      <w:pPr>
        <w:spacing w:after="0" w:line="200" w:lineRule="exact"/>
        <w:rPr>
          <w:sz w:val="20"/>
          <w:szCs w:val="20"/>
          <w:color w:val="auto"/>
        </w:rPr>
      </w:pPr>
    </w:p>
    <w:p>
      <w:pPr>
        <w:spacing w:after="0" w:line="29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To make its decisions on executive compensation, the Committee reviewed in detail each of the performance measures above, reviewed compensation market data and received input 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competitive compensation practices from its independent compensation consultant. The Committee also reviewed the total compensation and benefits of the executive officers and considered the impact that their retirement, or termination under various other scenarios, would have on their compensation and benefits.</w:t>
      </w:r>
    </w:p>
    <w:p>
      <w:pPr>
        <w:spacing w:after="0" w:line="1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CEO provided the entire board of directors with an assessment of his own performance with respect to the performance measures listed above, which the board considered in its assessment of his performance for 2005. The CEO reviewed the performance of the other executive officers (except the Chairman) with the Committee and made recommendations regarding the components of their compensation.</w:t>
      </w:r>
    </w:p>
    <w:p>
      <w:pPr>
        <w:spacing w:after="0" w:line="19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Before making its compensation decisions, the Committee discussed levels of compensation for the Chairman, the CEO and the other executive officers with the full board of directors in an executive session attended solely by the independent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CEO Compensation</w:t>
      </w:r>
    </w:p>
    <w:p>
      <w:pPr>
        <w:spacing w:after="0" w:line="231"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In 2005, TI reached record levels of revenue, profit from operations, operating margin and operating cash flow. TI’s primary business, Semiconductor, grew revenue faster than most of the competitor companies, reaching record levels of market share in each of its key product categories of Analog and DSP.</w:t>
      </w:r>
    </w:p>
    <w:p>
      <w:pPr>
        <w:spacing w:after="0" w:line="13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Profit from operations increased more than $500 million in 2005. As a percent of revenue, profit from operations improved 3 percentage points over the prior year and reached new quarterly highs in the second half of the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Total shareholder return of more than 30 percent was significantly above median compared to the semiconductor competitor companies.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With regard to progress toward strategic goals, TI improved its product and technology positions with new industry-leading offerings and strengthened its relationships with customers as evidenced by the gains in market share. Further, TI again achieved a strong balance sheet, with total cash of more than $5 billion, while returning value to stockholders through a 20 percent increase in the dividend and the repurchase of more than $4 billion of common stock. The achievements of 2005 followed improvements in 2004, when the company increased its market share, improved profit from operations, and delivered total shareholder return in the top one-third of the semiconductor competitor companies.</w:t>
      </w:r>
    </w:p>
    <w:p>
      <w:pPr>
        <w:spacing w:after="0" w:line="19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Taking into account the company’s performance, both absolute and relative to competition, and the executive officers’ contributions to that performance, the Committee set its targeted compensation levels so as to be commensurate with that relative performance. The Committee made the following determinations for 2005 with respect to each component of compensation for the CEO and the other executive officers:</w:t>
      </w:r>
    </w:p>
    <w:p>
      <w:pPr>
        <w:sectPr>
          <w:pgSz w:w="11900" w:h="16838" w:orient="portrait"/>
          <w:cols w:equalWidth="0" w:num="1">
            <w:col w:w="11400"/>
          </w:cols>
          <w:pgMar w:left="240" w:top="131" w:right="259" w:bottom="0" w:gutter="0" w:footer="0" w:header="0"/>
        </w:sectPr>
      </w:pPr>
    </w:p>
    <w:bookmarkStart w:id="17" w:name="page18"/>
    <w:bookmarkEnd w:id="17"/>
    <w:p>
      <w:pPr>
        <w:jc w:val="both"/>
        <w:ind w:right="80"/>
        <w:spacing w:after="0" w:line="262" w:lineRule="auto"/>
        <w:rPr>
          <w:sz w:val="20"/>
          <w:szCs w:val="20"/>
          <w:color w:val="auto"/>
        </w:rPr>
      </w:pPr>
      <w:r>
        <w:rPr>
          <w:rFonts w:ascii="Arial" w:cs="Arial" w:eastAsia="Arial" w:hAnsi="Arial"/>
          <w:sz w:val="18"/>
          <w:szCs w:val="18"/>
          <w:b w:val="1"/>
          <w:bCs w:val="1"/>
          <w:color w:val="auto"/>
        </w:rPr>
        <w:t>Base Salary</w:t>
      </w:r>
      <w:r>
        <w:rPr>
          <w:rFonts w:ascii="Arial" w:cs="Arial" w:eastAsia="Arial" w:hAnsi="Arial"/>
          <w:sz w:val="18"/>
          <w:szCs w:val="18"/>
          <w:color w:val="auto"/>
        </w:rPr>
        <w:t>—In keeping with its strategy, the Committee’s base salary decisions for 2005 were generally intended to provide salaries somewhat lower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median level of salaries for similarly situated executives of the comparator companies. Mr. Templeton’s salary was set at $870,000, which was below the median annual salary of CEOs of the comparator companies.</w:t>
      </w:r>
    </w:p>
    <w:p>
      <w:pPr>
        <w:spacing w:after="0" w:line="186" w:lineRule="exact"/>
        <w:rPr>
          <w:sz w:val="20"/>
          <w:szCs w:val="20"/>
          <w:color w:val="auto"/>
        </w:rPr>
      </w:pPr>
    </w:p>
    <w:p>
      <w:pPr>
        <w:jc w:val="both"/>
        <w:ind w:right="480"/>
        <w:spacing w:after="0" w:line="262" w:lineRule="auto"/>
        <w:rPr>
          <w:sz w:val="20"/>
          <w:szCs w:val="20"/>
          <w:color w:val="auto"/>
        </w:rPr>
      </w:pPr>
      <w:r>
        <w:rPr>
          <w:rFonts w:ascii="Arial" w:cs="Arial" w:eastAsia="Arial" w:hAnsi="Arial"/>
          <w:sz w:val="18"/>
          <w:szCs w:val="18"/>
          <w:b w:val="1"/>
          <w:bCs w:val="1"/>
          <w:color w:val="auto"/>
        </w:rPr>
        <w:t>Performance Bonus</w:t>
      </w:r>
      <w:r>
        <w:rPr>
          <w:rFonts w:ascii="Arial" w:cs="Arial" w:eastAsia="Arial" w:hAnsi="Arial"/>
          <w:sz w:val="18"/>
          <w:szCs w:val="18"/>
          <w:color w:val="auto"/>
        </w:rPr>
        <w:t>—In general, the Committee granted annual performance awards such that total cash compensation would be above the median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comparator companies. In doing so, the Committee took into account the amount paid to executive officers under the company’s broad-based profit sharing program. As a result, Mr. Templeton received a cash performance bonus of $2 million,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resulting in total cash compensation to Mr. Templeton above the median for chief executive officers of the comparator companies. The performance bonuses were paid under the Texas Instruments Executive Officer Performance Plan, which stockholders approved in April 2002.</w:t>
      </w:r>
    </w:p>
    <w:p>
      <w:pPr>
        <w:spacing w:after="0" w:line="180"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Long-Term Compensation</w:t>
      </w:r>
      <w:r>
        <w:rPr>
          <w:rFonts w:ascii="Arial" w:cs="Arial" w:eastAsia="Arial" w:hAnsi="Arial"/>
          <w:sz w:val="16"/>
          <w:szCs w:val="16"/>
          <w:color w:val="auto"/>
        </w:rPr>
        <w:t>—The Committee granted equity compensation, consisting generally of a mix of stock options and restricted stock units, to each of</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officers. Considering Mr. Templeton’s continuing contribution to the company’s performance and execution of its strategic plan, the Committee granted Mr. Templeton stock options for 500,000 shares and 100,000 restricted stock units. The restricted stock units vest in four years. The awards were made under the Texas Instruments 2000 Long-Term Incentive Plan, which stockholders approved in April 2000. The awards for Mr. Templeton were set to create a total long-term compensation opportunity comparable to those of CEOs of the comparator companies. The value to be realized by Mr. Templeton and the other executive officers from their long-term compensation will depend solely on the long-term performance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Chairman</w:t>
      </w:r>
    </w:p>
    <w:p>
      <w:pPr>
        <w:spacing w:after="0" w:line="2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Because Mr. Engibous was not among the Company’s five most highly compensated executive officers, SEC rules do not require disclosure of his compensation in the company’s 2006 proxy statement. In the interest of transparency, the Committee provides the following information concerning his compensation for 2005. In January 2005, the Committee set Mr. Engibous’s base salary for 2005 at $345,000. He was also granted a stock option for 270,000 shares under the Texas Instruments 2000 Long-Term Incentive Plan. In January 2006, the Committee awarded him a bonus of $600,000 for 2005 performance. In making these determinations, the Committee considered his role as Chairman, his contribution to the company’s performance and strategic direction, and the compensation of employee-chairmen of comparator companies.</w:t>
      </w:r>
    </w:p>
    <w:p>
      <w:pPr>
        <w:spacing w:after="0" w:line="198" w:lineRule="exact"/>
        <w:rPr>
          <w:sz w:val="20"/>
          <w:szCs w:val="20"/>
          <w:color w:val="auto"/>
        </w:rPr>
      </w:pPr>
    </w:p>
    <w:p>
      <w:pPr>
        <w:ind w:left="3260"/>
        <w:spacing w:after="0"/>
        <w:tabs>
          <w:tab w:leader="none" w:pos="5440" w:val="left"/>
          <w:tab w:leader="none" w:pos="6940" w:val="left"/>
        </w:tabs>
        <w:rPr>
          <w:sz w:val="20"/>
          <w:szCs w:val="20"/>
          <w:color w:val="auto"/>
        </w:rPr>
      </w:pPr>
      <w:r>
        <w:rPr>
          <w:rFonts w:ascii="Arial" w:cs="Arial" w:eastAsia="Arial" w:hAnsi="Arial"/>
          <w:sz w:val="18"/>
          <w:szCs w:val="18"/>
          <w:color w:val="auto"/>
        </w:rPr>
        <w:t>Wayne R. Sanders, Chair</w:t>
      </w:r>
      <w:r>
        <w:rPr>
          <w:sz w:val="20"/>
          <w:szCs w:val="20"/>
          <w:color w:val="auto"/>
        </w:rPr>
        <w:tab/>
      </w:r>
      <w:r>
        <w:rPr>
          <w:rFonts w:ascii="Arial" w:cs="Arial" w:eastAsia="Arial" w:hAnsi="Arial"/>
          <w:sz w:val="18"/>
          <w:szCs w:val="18"/>
          <w:color w:val="auto"/>
        </w:rPr>
        <w:t>Daniel A. Carp</w:t>
      </w:r>
      <w:r>
        <w:rPr>
          <w:sz w:val="20"/>
          <w:szCs w:val="20"/>
          <w:color w:val="auto"/>
        </w:rPr>
        <w:tab/>
      </w:r>
      <w:r>
        <w:rPr>
          <w:rFonts w:ascii="Arial" w:cs="Arial" w:eastAsia="Arial" w:hAnsi="Arial"/>
          <w:sz w:val="16"/>
          <w:szCs w:val="16"/>
          <w:color w:val="auto"/>
        </w:rPr>
        <w:t>Ruth J. Simmons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TOTAL SHAREHOLDER RETURN</w:t>
      </w:r>
    </w:p>
    <w:p>
      <w:pPr>
        <w:spacing w:after="0" w:line="2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This graph compares TI’s total shareholder return with the S&amp;P 500 Index and the S&amp;P Information Technology Index over a five-year period, beginning December 31, 2000, and ending December 31, 2005. The total shareholder return assumes $100 invested at the beginning of the period in TI common stock, the S&amp;P 500 Index and the S&amp;P Information Technology Index. It also assumes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-7620</wp:posOffset>
            </wp:positionV>
            <wp:extent cx="4185285" cy="3344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185285" cy="3344545"/>
                    </a:xfrm>
                    <a:prstGeom prst="rect">
                      <a:avLst/>
                    </a:prstGeom>
                    <a:noFill/>
                  </pic:spPr>
                </pic:pic>
              </a:graphicData>
            </a:graphic>
          </wp:anchor>
        </w:drawing>
      </w:r>
    </w:p>
    <w:p>
      <w:pPr>
        <w:sectPr>
          <w:pgSz w:w="11900" w:h="16838" w:orient="portrait"/>
          <w:cols w:equalWidth="0" w:num="1">
            <w:col w:w="11400"/>
          </w:cols>
          <w:pgMar w:left="240" w:top="125" w:right="259" w:bottom="2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469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00"/>
          </w:cols>
          <w:pgMar w:left="240" w:top="125" w:right="259" w:bottom="292" w:gutter="0" w:footer="0" w:header="0"/>
          <w:type w:val="continuous"/>
        </w:sectPr>
      </w:pPr>
    </w:p>
    <w:bookmarkStart w:id="18" w:name="page19"/>
    <w:bookmarkEnd w:id="18"/>
    <w:p>
      <w:pPr>
        <w:ind w:left="4460"/>
        <w:spacing w:after="0"/>
        <w:rPr>
          <w:sz w:val="20"/>
          <w:szCs w:val="20"/>
          <w:color w:val="auto"/>
        </w:rPr>
      </w:pPr>
      <w:r>
        <w:rPr>
          <w:rFonts w:ascii="Arial" w:cs="Arial" w:eastAsia="Arial" w:hAnsi="Arial"/>
          <w:sz w:val="18"/>
          <w:szCs w:val="18"/>
          <w:b w:val="1"/>
          <w:bCs w:val="1"/>
          <w:color w:val="auto"/>
        </w:rPr>
        <w:t>AUDIT COMMITTEE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of directors has furnished the following report:</w:t>
      </w:r>
    </w:p>
    <w:p>
      <w:pPr>
        <w:spacing w:after="0" w:line="22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As noted in the committee’s charter, the company’s management is responsible for preparing the company’s financial statements. The company’s independent registered public accounting firm is responsible for auditing the financial statements. The activities of the committee are in no way designed to supersede or alter those traditional responsibilities. The committee’s role does not provide any special assurances with regard to the company’s financial statements, nor does it involve a professional evaluation of the quality of the audits performed by the independent registered public accounting firm.</w:t>
      </w:r>
    </w:p>
    <w:p>
      <w:pPr>
        <w:spacing w:after="0" w:line="167" w:lineRule="exact"/>
        <w:rPr>
          <w:sz w:val="20"/>
          <w:szCs w:val="20"/>
          <w:color w:val="auto"/>
        </w:rPr>
      </w:pPr>
    </w:p>
    <w:p>
      <w:pPr>
        <w:jc w:val="both"/>
        <w:ind w:right="280"/>
        <w:spacing w:after="0" w:line="332" w:lineRule="auto"/>
        <w:rPr>
          <w:sz w:val="20"/>
          <w:szCs w:val="20"/>
          <w:color w:val="auto"/>
        </w:rPr>
      </w:pPr>
      <w:r>
        <w:rPr>
          <w:rFonts w:ascii="Arial" w:cs="Arial" w:eastAsia="Arial" w:hAnsi="Arial"/>
          <w:sz w:val="16"/>
          <w:szCs w:val="16"/>
          <w:color w:val="auto"/>
        </w:rPr>
        <w:t>The committee has reviewed and discussed with management and the independent accounting firm, as appropriate, (1) the audited financial statements and (2) management’s report on internal control over financial reporting and the independent accounting firm’s related opinions.</w:t>
      </w:r>
    </w:p>
    <w:p>
      <w:pPr>
        <w:spacing w:after="0" w:line="139"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 xml:space="preserve">The committee has discussed with the independent registered public accounting firm, Ernst &amp; Young, the matters required to be discussed by Statement of Auditing Standards No. 61,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as amended.</w:t>
      </w:r>
    </w:p>
    <w:p>
      <w:pPr>
        <w:spacing w:after="0" w:line="18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 xml:space="preserve">The committee has received the written disclosures and the letter from the independent registered public accounting firm required by Independence Standards Board Standard No. 1, </w:t>
      </w:r>
      <w:r>
        <w:rPr>
          <w:rFonts w:ascii="Arial" w:cs="Arial" w:eastAsia="Arial" w:hAnsi="Arial"/>
          <w:sz w:val="18"/>
          <w:szCs w:val="18"/>
          <w:i w:val="1"/>
          <w:iCs w:val="1"/>
          <w:color w:val="auto"/>
        </w:rPr>
        <w:t>Independence Discussions with Audit Committees</w:t>
      </w:r>
      <w:r>
        <w:rPr>
          <w:rFonts w:ascii="Arial" w:cs="Arial" w:eastAsia="Arial" w:hAnsi="Arial"/>
          <w:sz w:val="18"/>
          <w:szCs w:val="18"/>
          <w:color w:val="auto"/>
        </w:rPr>
        <w:t>, has considered the compatibility of non-audit services with the firm’s independence, and has discussed with Ernst &amp; Young the firm’s independence.</w:t>
      </w:r>
    </w:p>
    <w:p>
      <w:pPr>
        <w:spacing w:after="0" w:line="19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Based on the review and discussions referred to above, the committee recommended to the board of directors that the audited financial statements be included in the company’s Annual Report on Form 10-K for 2005 for filing with the SEC.</w:t>
      </w:r>
    </w:p>
    <w:p>
      <w:pPr>
        <w:spacing w:after="0" w:line="194" w:lineRule="exact"/>
        <w:rPr>
          <w:sz w:val="20"/>
          <w:szCs w:val="20"/>
          <w:color w:val="auto"/>
        </w:rPr>
      </w:pPr>
    </w:p>
    <w:tbl>
      <w:tblPr>
        <w:tblLayout w:type="fixed"/>
        <w:tblInd w:w="1720" w:type="dxa"/>
        <w:tblCellMar>
          <w:top w:w="0" w:type="dxa"/>
          <w:left w:w="0" w:type="dxa"/>
          <w:bottom w:w="0" w:type="dxa"/>
          <w:right w:w="0" w:type="dxa"/>
        </w:tblCellMar>
      </w:tblPr>
      <w:tr>
        <w:trPr>
          <w:trHeight w:val="243"/>
        </w:trPr>
        <w:tc>
          <w:tcPr>
            <w:tcW w:w="2700" w:type="dxa"/>
            <w:vAlign w:val="bottom"/>
            <w:shd w:val="clear" w:color="auto" w:fill="FFF3CE"/>
          </w:tcPr>
          <w:p>
            <w:pPr>
              <w:spacing w:after="0"/>
              <w:rPr>
                <w:sz w:val="20"/>
                <w:szCs w:val="20"/>
                <w:color w:val="auto"/>
              </w:rPr>
            </w:pPr>
            <w:r>
              <w:rPr>
                <w:rFonts w:ascii="Arial" w:cs="Arial" w:eastAsia="Arial" w:hAnsi="Arial"/>
                <w:sz w:val="18"/>
                <w:szCs w:val="18"/>
                <w:color w:val="auto"/>
              </w:rPr>
              <w:t>James R. Adams, Chair</w:t>
            </w:r>
          </w:p>
        </w:tc>
        <w:tc>
          <w:tcPr>
            <w:tcW w:w="5280" w:type="dxa"/>
            <w:vAlign w:val="bottom"/>
            <w:shd w:val="clear" w:color="auto" w:fill="FFF3CE"/>
          </w:tcPr>
          <w:p>
            <w:pPr>
              <w:ind w:left="1020"/>
              <w:spacing w:after="0"/>
              <w:rPr>
                <w:sz w:val="20"/>
                <w:szCs w:val="20"/>
                <w:color w:val="auto"/>
              </w:rPr>
            </w:pPr>
            <w:r>
              <w:rPr>
                <w:rFonts w:ascii="Arial" w:cs="Arial" w:eastAsia="Arial" w:hAnsi="Arial"/>
                <w:sz w:val="18"/>
                <w:szCs w:val="18"/>
                <w:color w:val="auto"/>
              </w:rPr>
              <w:t>Carrie S. Cox</w:t>
            </w:r>
          </w:p>
        </w:tc>
      </w:tr>
      <w:tr>
        <w:trPr>
          <w:trHeight w:val="241"/>
        </w:trPr>
        <w:tc>
          <w:tcPr>
            <w:tcW w:w="2700" w:type="dxa"/>
            <w:vAlign w:val="bottom"/>
          </w:tcPr>
          <w:p>
            <w:pPr>
              <w:spacing w:after="0"/>
              <w:rPr>
                <w:sz w:val="20"/>
                <w:szCs w:val="20"/>
                <w:color w:val="auto"/>
              </w:rPr>
            </w:pPr>
            <w:r>
              <w:rPr>
                <w:rFonts w:ascii="Arial" w:cs="Arial" w:eastAsia="Arial" w:hAnsi="Arial"/>
                <w:sz w:val="18"/>
                <w:szCs w:val="18"/>
                <w:color w:val="auto"/>
              </w:rPr>
              <w:t>Gerald W. Fronterhouse</w:t>
            </w:r>
          </w:p>
        </w:tc>
        <w:tc>
          <w:tcPr>
            <w:tcW w:w="5280" w:type="dxa"/>
            <w:vAlign w:val="bottom"/>
          </w:tcPr>
          <w:p>
            <w:pPr>
              <w:ind w:left="1020"/>
              <w:spacing w:after="0"/>
              <w:rPr>
                <w:sz w:val="20"/>
                <w:szCs w:val="20"/>
                <w:color w:val="auto"/>
              </w:rPr>
            </w:pPr>
            <w:r>
              <w:rPr>
                <w:rFonts w:ascii="Arial" w:cs="Arial" w:eastAsia="Arial" w:hAnsi="Arial"/>
                <w:sz w:val="18"/>
                <w:szCs w:val="18"/>
                <w:color w:val="auto"/>
              </w:rPr>
              <w:t>Pamela H. Patsley</w:t>
            </w:r>
          </w:p>
        </w:tc>
      </w:tr>
    </w:tbl>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TO RATIFY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APPOINTMENT OF INDEPENDENT REGISTERED PUBLIC ACCOUNTING FIRM</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of the board has appointed Ernst &amp; Young LLP to be the company’s independent registered public accounting firm for 2006.</w:t>
      </w:r>
    </w:p>
    <w:p>
      <w:pPr>
        <w:spacing w:after="0" w:line="24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board asks the stockholders to ratify the appointment of Ernst &amp; Young. If the stockholders do not ratify the appointment, the Audit Committee will consider whether it should appoint another independent registered public accounting firm.</w:t>
      </w:r>
    </w:p>
    <w:p>
      <w:pPr>
        <w:spacing w:after="0" w:line="18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Representatives of Ernst &amp; Young are expected to be present, and to be available to respond to appropriate questions, at the annual meeting. They have the opportunity to make a statement if they desire to do so; they have indicated that, as of this date, they do not.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paid fees to Ernst &amp; Young for the services described below:</w:t>
      </w:r>
    </w:p>
    <w:p>
      <w:pPr>
        <w:spacing w:after="0" w:line="219" w:lineRule="exact"/>
        <w:rPr>
          <w:sz w:val="20"/>
          <w:szCs w:val="20"/>
          <w:color w:val="auto"/>
        </w:rPr>
      </w:pPr>
    </w:p>
    <w:p>
      <w:pPr>
        <w:ind w:left="280" w:right="120"/>
        <w:spacing w:after="0" w:line="262" w:lineRule="auto"/>
        <w:rPr>
          <w:sz w:val="20"/>
          <w:szCs w:val="20"/>
          <w:color w:val="auto"/>
        </w:rPr>
      </w:pPr>
      <w:r>
        <w:rPr>
          <w:rFonts w:ascii="Arial" w:cs="Arial" w:eastAsia="Arial" w:hAnsi="Arial"/>
          <w:sz w:val="18"/>
          <w:szCs w:val="18"/>
          <w:b w:val="1"/>
          <w:bCs w:val="1"/>
          <w:color w:val="auto"/>
        </w:rPr>
        <w:t>Audit Fees</w:t>
      </w:r>
      <w:r>
        <w:rPr>
          <w:rFonts w:ascii="Arial" w:cs="Arial" w:eastAsia="Arial" w:hAnsi="Arial"/>
          <w:sz w:val="18"/>
          <w:szCs w:val="18"/>
          <w:color w:val="auto"/>
        </w:rPr>
        <w:t>. Ernst &amp; Young’s Audit Fees were $6,770,000 in 2005 and $6,903,000 in 2004. The services provided in exchange for these fees were our</w:t>
      </w:r>
      <w:r>
        <w:rPr>
          <w:rFonts w:ascii="Arial" w:cs="Arial" w:eastAsia="Arial" w:hAnsi="Arial"/>
          <w:sz w:val="18"/>
          <w:szCs w:val="18"/>
          <w:b w:val="1"/>
          <w:bCs w:val="1"/>
          <w:color w:val="auto"/>
        </w:rPr>
        <w:t xml:space="preserve"> </w:t>
      </w:r>
      <w:r>
        <w:rPr>
          <w:rFonts w:ascii="Arial" w:cs="Arial" w:eastAsia="Arial" w:hAnsi="Arial"/>
          <w:sz w:val="18"/>
          <w:szCs w:val="18"/>
          <w:color w:val="auto"/>
        </w:rPr>
        <w:t>annual audit and review of interim financial statements, and the firm’s opinions related to internal control over financial reporting required by Section 404 of the Sarbanes-Oxley Act.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80" w:right="60"/>
        <w:spacing w:after="0" w:line="296" w:lineRule="auto"/>
        <w:rPr>
          <w:sz w:val="20"/>
          <w:szCs w:val="20"/>
          <w:color w:val="auto"/>
        </w:rPr>
      </w:pPr>
      <w:r>
        <w:rPr>
          <w:rFonts w:ascii="Arial" w:cs="Arial" w:eastAsia="Arial" w:hAnsi="Arial"/>
          <w:sz w:val="16"/>
          <w:szCs w:val="16"/>
          <w:b w:val="1"/>
          <w:bCs w:val="1"/>
          <w:color w:val="auto"/>
        </w:rPr>
        <w:t>Audit-Related Fees</w:t>
      </w:r>
      <w:r>
        <w:rPr>
          <w:rFonts w:ascii="Arial" w:cs="Arial" w:eastAsia="Arial" w:hAnsi="Arial"/>
          <w:sz w:val="16"/>
          <w:szCs w:val="16"/>
          <w:color w:val="auto"/>
        </w:rPr>
        <w:t>. In addition to the Audit Fees, the company paid Ernst &amp; Young $1,997,000 in 2005 and $471,000 in 2004 for assurance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related to Ernst &amp; Young’s provision of annual audit services and review of interim financial statements. The services provided in exchange for these fees included employee benefit plan audits, agreed-upon procedures related to selected accounting processes at a TI subsidiary in 2004, access to Ernst &amp; Young’s online research tool, an environmental certification audit and in 2005, a separate audit in support of a transaction to divest substantially all of the company’s Sensors &amp; Controls segment. Of the total Audit-Related Fees in 2005, $1,489,000 was for this Sensors &amp; Controls audit.</w:t>
      </w:r>
    </w:p>
    <w:p>
      <w:pPr>
        <w:spacing w:after="0" w:line="162" w:lineRule="exact"/>
        <w:rPr>
          <w:sz w:val="20"/>
          <w:szCs w:val="20"/>
          <w:color w:val="auto"/>
        </w:rPr>
      </w:pPr>
    </w:p>
    <w:p>
      <w:pPr>
        <w:ind w:left="280"/>
        <w:spacing w:after="0" w:line="378" w:lineRule="auto"/>
        <w:rPr>
          <w:sz w:val="20"/>
          <w:szCs w:val="20"/>
          <w:color w:val="auto"/>
        </w:rPr>
      </w:pPr>
      <w:r>
        <w:rPr>
          <w:rFonts w:ascii="Arial" w:cs="Arial" w:eastAsia="Arial" w:hAnsi="Arial"/>
          <w:sz w:val="15"/>
          <w:szCs w:val="15"/>
          <w:b w:val="1"/>
          <w:bCs w:val="1"/>
          <w:color w:val="auto"/>
        </w:rPr>
        <w:t>Tax Fees</w:t>
      </w:r>
      <w:r>
        <w:rPr>
          <w:rFonts w:ascii="Arial" w:cs="Arial" w:eastAsia="Arial" w:hAnsi="Arial"/>
          <w:sz w:val="15"/>
          <w:szCs w:val="15"/>
          <w:color w:val="auto"/>
        </w:rPr>
        <w:t>. Ernst &amp; Young’s fees for professional services rendered for tax compliance, tax advice and tax planning were $800,000 in 2005 and $1,251,000 in</w:t>
      </w:r>
      <w:r>
        <w:rPr>
          <w:rFonts w:ascii="Arial" w:cs="Arial" w:eastAsia="Arial" w:hAnsi="Arial"/>
          <w:sz w:val="15"/>
          <w:szCs w:val="15"/>
          <w:b w:val="1"/>
          <w:bCs w:val="1"/>
          <w:color w:val="auto"/>
        </w:rPr>
        <w:t xml:space="preserve"> </w:t>
      </w:r>
      <w:r>
        <w:rPr>
          <w:rFonts w:ascii="Arial" w:cs="Arial" w:eastAsia="Arial" w:hAnsi="Arial"/>
          <w:sz w:val="15"/>
          <w:szCs w:val="15"/>
          <w:color w:val="auto"/>
        </w:rPr>
        <w:t>2004. The services provided in exchange for these fees were preparation and review of non-U.S. tax returns, tax consultations and expatriate tax preparation.</w:t>
      </w:r>
    </w:p>
    <w:p>
      <w:pPr>
        <w:spacing w:after="0" w:line="105" w:lineRule="exact"/>
        <w:rPr>
          <w:sz w:val="20"/>
          <w:szCs w:val="20"/>
          <w:color w:val="auto"/>
        </w:rPr>
      </w:pPr>
    </w:p>
    <w:p>
      <w:pPr>
        <w:ind w:left="280" w:right="420"/>
        <w:spacing w:after="0" w:line="275" w:lineRule="auto"/>
        <w:rPr>
          <w:sz w:val="20"/>
          <w:szCs w:val="20"/>
          <w:color w:val="auto"/>
        </w:rPr>
      </w:pPr>
      <w:r>
        <w:rPr>
          <w:rFonts w:ascii="Arial" w:cs="Arial" w:eastAsia="Arial" w:hAnsi="Arial"/>
          <w:sz w:val="18"/>
          <w:szCs w:val="18"/>
          <w:b w:val="1"/>
          <w:bCs w:val="1"/>
          <w:color w:val="auto"/>
        </w:rPr>
        <w:t>All Other Fees</w:t>
      </w:r>
      <w:r>
        <w:rPr>
          <w:rFonts w:ascii="Arial" w:cs="Arial" w:eastAsia="Arial" w:hAnsi="Arial"/>
          <w:sz w:val="18"/>
          <w:szCs w:val="18"/>
          <w:color w:val="auto"/>
        </w:rPr>
        <w:t>. Ernst &amp; Young’s fees for all other professional services rendered were $30,000 in 2005 and $30,000 in 2004. The services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for these fees were audit services for the TI Foundation.</w:t>
      </w:r>
    </w:p>
    <w:p>
      <w:pPr>
        <w:spacing w:after="0" w:line="174"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 xml:space="preserve">Pre-approval Policy. </w:t>
      </w:r>
      <w:r>
        <w:rPr>
          <w:rFonts w:ascii="Arial" w:cs="Arial" w:eastAsia="Arial" w:hAnsi="Arial"/>
          <w:sz w:val="18"/>
          <w:szCs w:val="18"/>
          <w:color w:val="auto"/>
        </w:rPr>
        <w:t>The Audit Committee is required to pre-approve the audit and non-audit services to be performed by the independent registered public</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firm in order to assure that the provision of such services does not impair the firm’s independence.</w:t>
      </w:r>
    </w:p>
    <w:p>
      <w:pPr>
        <w:spacing w:after="0" w:line="18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Annually the independent registered public accounting firm and the Director of Internal Audits will present to the Audit Committee services expected to be performed by the firm over the next 12 months. The Audit Committee will review and, as it deems appropriate, pre-approve those services. The services and estimated fees are to be presented to the Audit Committee for consideration in the following categories: Audit, Audit-related, Tax and All Other (each as defined in Schedule 14A of the Securities Exchange Act of 1934). For each service listed in those categories, the Committee is to receive detailed documentation indicating the specific services to be provided. The term of any pre-approval is 12 months from the date of pre-approval, unless the Audit Committee specifically provides for a different period. The Audit Committee will review on at least a quarterly basis the services provided to date by the firm and the fees incurred for those services. The Audit Committee may also revise the list of pre-approved services and related fees from time to time, based on subsequent determinations.</w:t>
      </w:r>
    </w:p>
    <w:p>
      <w:pPr>
        <w:spacing w:after="0" w:line="172"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order to respond to time-sensitive requests for services that may arise between regularly scheduled meetings of the Audit Committee, the Committee has delegated pre-approval authority to its Chair (the Audit Committee does not delegate to management its responsibilities to pre-approve services). The Chair is to report pre-approval decisions to the Audit Committee and seek ratification of such decisions at the Audit Committee’s next scheduled meeting.</w:t>
      </w:r>
    </w:p>
    <w:p>
      <w:pPr>
        <w:sectPr>
          <w:pgSz w:w="11900" w:h="16838" w:orient="portrait"/>
          <w:cols w:equalWidth="0" w:num="1">
            <w:col w:w="11420"/>
          </w:cols>
          <w:pgMar w:left="240" w:top="125" w:right="239" w:bottom="29" w:gutter="0" w:footer="0" w:header="0"/>
        </w:sectPr>
      </w:pPr>
    </w:p>
    <w:bookmarkStart w:id="19" w:name="page20"/>
    <w:bookmarkEnd w:id="19"/>
    <w:p>
      <w:pPr>
        <w:ind w:right="460"/>
        <w:spacing w:after="0" w:line="275" w:lineRule="auto"/>
        <w:rPr>
          <w:sz w:val="20"/>
          <w:szCs w:val="20"/>
          <w:color w:val="auto"/>
        </w:rPr>
      </w:pPr>
      <w:r>
        <w:rPr>
          <w:rFonts w:ascii="Arial" w:cs="Arial" w:eastAsia="Arial" w:hAnsi="Arial"/>
          <w:sz w:val="18"/>
          <w:szCs w:val="18"/>
          <w:b w:val="1"/>
          <w:bCs w:val="1"/>
          <w:color w:val="auto"/>
        </w:rPr>
        <w:t>The board of directors recommends a vote “FOR” ratification of the appointment of Ernst &amp; Young LLP as the company’s independent registered public accounting firm for 2006.</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Securities</w:t>
      </w:r>
    </w:p>
    <w:p>
      <w:pPr>
        <w:spacing w:after="0" w:line="2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February 21, 2006, 1,587,019,896 shares of the company’s common stock were outstanding. This is the only class of capital stock entitled to vote at the meeting. Each holder of common stock has one vote for each share held. As stated in the notice of meeting, holders of record of the common stock at the close of business on February 21, 2006, may vote at the meeting or any adjournment of the meeting.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 of Certain Persons</w:t>
      </w:r>
    </w:p>
    <w:p>
      <w:pPr>
        <w:spacing w:after="0" w:line="231" w:lineRule="exact"/>
        <w:rPr>
          <w:sz w:val="20"/>
          <w:szCs w:val="20"/>
          <w:color w:val="auto"/>
        </w:rPr>
      </w:pPr>
    </w:p>
    <w:p>
      <w:pPr>
        <w:ind w:right="220"/>
        <w:spacing w:after="0" w:line="335" w:lineRule="auto"/>
        <w:rPr>
          <w:sz w:val="20"/>
          <w:szCs w:val="20"/>
          <w:color w:val="auto"/>
        </w:rPr>
      </w:pPr>
      <w:r>
        <w:rPr>
          <w:rFonts w:ascii="Arial" w:cs="Arial" w:eastAsia="Arial" w:hAnsi="Arial"/>
          <w:sz w:val="15"/>
          <w:szCs w:val="15"/>
          <w:color w:val="auto"/>
        </w:rPr>
        <w:t>The following table shows (a) the only person that has reported beneficial ownership of more than 5% of the common stock of the company, and (b) the ownership of the company’s common stock by the named executive officers, and all executive officers and directors as a group. Persons generally “beneficially own” shares if they have either the right to vote those shares or dispose of them. More than one person may be considered to beneficially own the same shares.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360" w:type="dxa"/>
            <w:vAlign w:val="bottom"/>
          </w:tcPr>
          <w:p>
            <w:pPr>
              <w:jc w:val="right"/>
              <w:ind w:right="117"/>
              <w:spacing w:after="0"/>
              <w:rPr>
                <w:sz w:val="20"/>
                <w:szCs w:val="20"/>
                <w:color w:val="auto"/>
              </w:rPr>
            </w:pPr>
            <w:r>
              <w:rPr>
                <w:rFonts w:ascii="Arial" w:cs="Arial" w:eastAsia="Arial" w:hAnsi="Arial"/>
                <w:sz w:val="14"/>
                <w:szCs w:val="14"/>
                <w:b w:val="1"/>
                <w:bCs w:val="1"/>
                <w:color w:val="auto"/>
              </w:rPr>
              <w:t>Shares Owned at</w:t>
            </w:r>
          </w:p>
        </w:tc>
        <w:tc>
          <w:tcPr>
            <w:tcW w:w="220" w:type="dxa"/>
            <w:vAlign w:val="bottom"/>
          </w:tcPr>
          <w:p>
            <w:pPr>
              <w:spacing w:after="0"/>
              <w:rPr>
                <w:sz w:val="14"/>
                <w:szCs w:val="14"/>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4"/>
        </w:trPr>
        <w:tc>
          <w:tcPr>
            <w:tcW w:w="91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w:t>
            </w:r>
          </w:p>
        </w:tc>
        <w:tc>
          <w:tcPr>
            <w:tcW w:w="1360" w:type="dxa"/>
            <w:vAlign w:val="bottom"/>
          </w:tcPr>
          <w:p>
            <w:pPr>
              <w:jc w:val="right"/>
              <w:ind w:right="57"/>
              <w:spacing w:after="0"/>
              <w:rPr>
                <w:sz w:val="20"/>
                <w:szCs w:val="20"/>
                <w:color w:val="auto"/>
              </w:rPr>
            </w:pPr>
            <w:r>
              <w:rPr>
                <w:rFonts w:ascii="Arial" w:cs="Arial" w:eastAsia="Arial" w:hAnsi="Arial"/>
                <w:sz w:val="14"/>
                <w:szCs w:val="14"/>
                <w:b w:val="1"/>
                <w:bCs w:val="1"/>
                <w:color w:val="auto"/>
                <w:w w:val="95"/>
              </w:rPr>
              <w:t>December 31, 2005</w:t>
            </w:r>
          </w:p>
        </w:tc>
        <w:tc>
          <w:tcPr>
            <w:tcW w:w="22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790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79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10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Capital Research and Management Company</w:t>
            </w:r>
          </w:p>
        </w:tc>
        <w:tc>
          <w:tcPr>
            <w:tcW w:w="1360" w:type="dxa"/>
            <w:vAlign w:val="bottom"/>
            <w:shd w:val="clear" w:color="auto" w:fill="FFF3CE"/>
          </w:tcPr>
          <w:p>
            <w:pPr>
              <w:jc w:val="right"/>
              <w:ind w:right="17"/>
              <w:spacing w:after="0"/>
              <w:rPr>
                <w:sz w:val="20"/>
                <w:szCs w:val="20"/>
                <w:color w:val="auto"/>
              </w:rPr>
            </w:pPr>
            <w:r>
              <w:rPr>
                <w:rFonts w:ascii="Arial" w:cs="Arial" w:eastAsia="Arial" w:hAnsi="Arial"/>
                <w:sz w:val="18"/>
                <w:szCs w:val="18"/>
                <w:color w:val="auto"/>
              </w:rPr>
              <w:t>126,398,920(1)</w:t>
            </w:r>
          </w:p>
        </w:tc>
        <w:tc>
          <w:tcPr>
            <w:tcW w:w="940" w:type="dxa"/>
            <w:vAlign w:val="bottom"/>
            <w:gridSpan w:val="2"/>
            <w:shd w:val="clear" w:color="auto" w:fill="FFF3CE"/>
          </w:tcPr>
          <w:p>
            <w:pPr>
              <w:jc w:val="right"/>
              <w:ind w:right="32"/>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FFF3CE"/>
          </w:tcPr>
          <w:p>
            <w:pPr>
              <w:ind w:left="100"/>
              <w:spacing w:after="0"/>
              <w:rPr>
                <w:sz w:val="20"/>
                <w:szCs w:val="20"/>
                <w:color w:val="auto"/>
              </w:rPr>
            </w:pPr>
            <w:r>
              <w:rPr>
                <w:rFonts w:ascii="Arial" w:cs="Arial" w:eastAsia="Arial" w:hAnsi="Arial"/>
                <w:sz w:val="18"/>
                <w:szCs w:val="18"/>
                <w:color w:val="auto"/>
              </w:rPr>
              <w:t>333 South Hope Street</w:t>
            </w:r>
          </w:p>
        </w:tc>
        <w:tc>
          <w:tcPr>
            <w:tcW w:w="1360" w:type="dxa"/>
            <w:vAlign w:val="bottom"/>
            <w:shd w:val="clear" w:color="auto" w:fill="FFF3CE"/>
          </w:tcPr>
          <w:p>
            <w:pPr>
              <w:spacing w:after="0"/>
              <w:rPr>
                <w:sz w:val="18"/>
                <w:szCs w:val="18"/>
                <w:color w:val="auto"/>
              </w:rPr>
            </w:pPr>
          </w:p>
        </w:tc>
        <w:tc>
          <w:tcPr>
            <w:tcW w:w="220" w:type="dxa"/>
            <w:vAlign w:val="bottom"/>
            <w:shd w:val="clear" w:color="auto" w:fill="FFF3CE"/>
          </w:tcPr>
          <w:p>
            <w:pPr>
              <w:spacing w:after="0"/>
              <w:rPr>
                <w:sz w:val="18"/>
                <w:szCs w:val="18"/>
                <w:color w:val="auto"/>
              </w:rPr>
            </w:pPr>
          </w:p>
        </w:tc>
        <w:tc>
          <w:tcPr>
            <w:tcW w:w="720" w:type="dxa"/>
            <w:vAlign w:val="bottom"/>
            <w:shd w:val="clear" w:color="auto" w:fill="FFF3C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00" w:type="dxa"/>
            <w:vAlign w:val="bottom"/>
            <w:gridSpan w:val="2"/>
            <w:shd w:val="clear" w:color="auto" w:fill="FFF3CE"/>
          </w:tcPr>
          <w:p>
            <w:pPr>
              <w:ind w:left="100"/>
              <w:spacing w:after="0"/>
              <w:rPr>
                <w:sz w:val="20"/>
                <w:szCs w:val="20"/>
                <w:color w:val="auto"/>
              </w:rPr>
            </w:pPr>
            <w:r>
              <w:rPr>
                <w:rFonts w:ascii="Arial" w:cs="Arial" w:eastAsia="Arial" w:hAnsi="Arial"/>
                <w:sz w:val="18"/>
                <w:szCs w:val="18"/>
                <w:color w:val="auto"/>
              </w:rPr>
              <w:t>Los Angeles, CA 90071</w:t>
            </w:r>
          </w:p>
        </w:tc>
        <w:tc>
          <w:tcPr>
            <w:tcW w:w="1360" w:type="dxa"/>
            <w:vAlign w:val="bottom"/>
            <w:shd w:val="clear" w:color="auto" w:fill="FFF3CE"/>
          </w:tcPr>
          <w:p>
            <w:pPr>
              <w:spacing w:after="0"/>
              <w:rPr>
                <w:sz w:val="19"/>
                <w:szCs w:val="19"/>
                <w:color w:val="auto"/>
              </w:rPr>
            </w:pPr>
          </w:p>
        </w:tc>
        <w:tc>
          <w:tcPr>
            <w:tcW w:w="220" w:type="dxa"/>
            <w:vAlign w:val="bottom"/>
            <w:shd w:val="clear" w:color="auto" w:fill="FFF3CE"/>
          </w:tcPr>
          <w:p>
            <w:pPr>
              <w:spacing w:after="0"/>
              <w:rPr>
                <w:sz w:val="19"/>
                <w:szCs w:val="19"/>
                <w:color w:val="auto"/>
              </w:rPr>
            </w:pPr>
          </w:p>
        </w:tc>
        <w:tc>
          <w:tcPr>
            <w:tcW w:w="720" w:type="dxa"/>
            <w:vAlign w:val="bottom"/>
            <w:shd w:val="clear" w:color="auto" w:fill="FFF3C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Richard K. Templeton</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4,637,808(2)</w:t>
            </w:r>
          </w:p>
        </w:tc>
        <w:tc>
          <w:tcPr>
            <w:tcW w:w="94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9100" w:type="dxa"/>
            <w:vAlign w:val="bottom"/>
            <w:tcBorders>
              <w:bottom w:val="single" w:sz="8" w:color="FFF3CE"/>
            </w:tcBorders>
            <w:gridSpan w:val="2"/>
            <w:shd w:val="clear" w:color="auto" w:fill="FFF3CE"/>
          </w:tcPr>
          <w:p>
            <w:pPr>
              <w:spacing w:after="0"/>
              <w:rPr>
                <w:sz w:val="20"/>
                <w:szCs w:val="20"/>
                <w:color w:val="auto"/>
              </w:rPr>
            </w:pPr>
            <w:r>
              <w:rPr>
                <w:rFonts w:ascii="Arial" w:cs="Arial" w:eastAsia="Arial" w:hAnsi="Arial"/>
                <w:sz w:val="18"/>
                <w:szCs w:val="18"/>
                <w:color w:val="auto"/>
              </w:rPr>
              <w:t>Gilles Delfassy</w:t>
            </w:r>
          </w:p>
        </w:tc>
        <w:tc>
          <w:tcPr>
            <w:tcW w:w="1360" w:type="dxa"/>
            <w:vAlign w:val="bottom"/>
            <w:tcBorders>
              <w:bottom w:val="single" w:sz="8" w:color="FFF3CE"/>
            </w:tcBorders>
            <w:shd w:val="clear" w:color="auto" w:fill="FFF3CE"/>
          </w:tcPr>
          <w:p>
            <w:pPr>
              <w:jc w:val="right"/>
              <w:ind w:right="17"/>
              <w:spacing w:after="0"/>
              <w:rPr>
                <w:sz w:val="20"/>
                <w:szCs w:val="20"/>
                <w:color w:val="auto"/>
              </w:rPr>
            </w:pPr>
            <w:r>
              <w:rPr>
                <w:rFonts w:ascii="Arial" w:cs="Arial" w:eastAsia="Arial" w:hAnsi="Arial"/>
                <w:sz w:val="18"/>
                <w:szCs w:val="18"/>
                <w:color w:val="auto"/>
              </w:rPr>
              <w:t>1,112,115(2)</w:t>
            </w:r>
          </w:p>
        </w:tc>
        <w:tc>
          <w:tcPr>
            <w:tcW w:w="940" w:type="dxa"/>
            <w:vAlign w:val="bottom"/>
            <w:tcBorders>
              <w:bottom w:val="single" w:sz="8" w:color="FFF3CE"/>
            </w:tcBorders>
            <w:gridSpan w:val="2"/>
            <w:shd w:val="clear" w:color="auto" w:fill="FFF3CE"/>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Michael J. Hames</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1,328,786(2)</w:t>
            </w:r>
          </w:p>
        </w:tc>
        <w:tc>
          <w:tcPr>
            <w:tcW w:w="94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9100" w:type="dxa"/>
            <w:vAlign w:val="bottom"/>
            <w:tcBorders>
              <w:bottom w:val="single" w:sz="8" w:color="FFF3CE"/>
            </w:tcBorders>
            <w:gridSpan w:val="2"/>
            <w:shd w:val="clear" w:color="auto" w:fill="FFF3CE"/>
          </w:tcPr>
          <w:p>
            <w:pPr>
              <w:spacing w:after="0"/>
              <w:rPr>
                <w:sz w:val="20"/>
                <w:szCs w:val="20"/>
                <w:color w:val="auto"/>
              </w:rPr>
            </w:pPr>
            <w:r>
              <w:rPr>
                <w:rFonts w:ascii="Arial" w:cs="Arial" w:eastAsia="Arial" w:hAnsi="Arial"/>
                <w:sz w:val="18"/>
                <w:szCs w:val="18"/>
                <w:color w:val="auto"/>
              </w:rPr>
              <w:t>Gregg A. Lowe</w:t>
            </w:r>
          </w:p>
        </w:tc>
        <w:tc>
          <w:tcPr>
            <w:tcW w:w="1360" w:type="dxa"/>
            <w:vAlign w:val="bottom"/>
            <w:tcBorders>
              <w:bottom w:val="single" w:sz="8" w:color="FFF3CE"/>
            </w:tcBorders>
            <w:shd w:val="clear" w:color="auto" w:fill="FFF3CE"/>
          </w:tcPr>
          <w:p>
            <w:pPr>
              <w:jc w:val="right"/>
              <w:ind w:right="17"/>
              <w:spacing w:after="0"/>
              <w:rPr>
                <w:sz w:val="20"/>
                <w:szCs w:val="20"/>
                <w:color w:val="auto"/>
              </w:rPr>
            </w:pPr>
            <w:r>
              <w:rPr>
                <w:rFonts w:ascii="Arial" w:cs="Arial" w:eastAsia="Arial" w:hAnsi="Arial"/>
                <w:sz w:val="18"/>
                <w:szCs w:val="18"/>
                <w:color w:val="auto"/>
              </w:rPr>
              <w:t>771,514(2)</w:t>
            </w:r>
          </w:p>
        </w:tc>
        <w:tc>
          <w:tcPr>
            <w:tcW w:w="940" w:type="dxa"/>
            <w:vAlign w:val="bottom"/>
            <w:tcBorders>
              <w:bottom w:val="single" w:sz="8" w:color="FFF3CE"/>
            </w:tcBorders>
            <w:gridSpan w:val="2"/>
            <w:shd w:val="clear" w:color="auto" w:fill="FFF3CE"/>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Kevin J. Ritchie</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778,361(2)</w:t>
            </w:r>
          </w:p>
        </w:tc>
        <w:tc>
          <w:tcPr>
            <w:tcW w:w="94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9100" w:type="dxa"/>
            <w:vAlign w:val="bottom"/>
            <w:gridSpan w:val="2"/>
            <w:shd w:val="clear" w:color="auto" w:fill="FFF3CE"/>
          </w:tcPr>
          <w:p>
            <w:pPr>
              <w:spacing w:after="0"/>
              <w:rPr>
                <w:sz w:val="20"/>
                <w:szCs w:val="20"/>
                <w:color w:val="auto"/>
              </w:rPr>
            </w:pPr>
            <w:r>
              <w:rPr>
                <w:rFonts w:ascii="Arial" w:cs="Arial" w:eastAsia="Arial" w:hAnsi="Arial"/>
                <w:sz w:val="18"/>
                <w:szCs w:val="18"/>
                <w:color w:val="auto"/>
              </w:rPr>
              <w:t>All executive officers and directors as a group</w:t>
            </w:r>
          </w:p>
        </w:tc>
        <w:tc>
          <w:tcPr>
            <w:tcW w:w="1360" w:type="dxa"/>
            <w:vAlign w:val="bottom"/>
            <w:shd w:val="clear" w:color="auto" w:fill="FFF3CE"/>
          </w:tcPr>
          <w:p>
            <w:pPr>
              <w:jc w:val="right"/>
              <w:ind w:right="17"/>
              <w:spacing w:after="0"/>
              <w:rPr>
                <w:sz w:val="20"/>
                <w:szCs w:val="20"/>
                <w:color w:val="auto"/>
              </w:rPr>
            </w:pPr>
            <w:r>
              <w:rPr>
                <w:rFonts w:ascii="Arial" w:cs="Arial" w:eastAsia="Arial" w:hAnsi="Arial"/>
                <w:sz w:val="18"/>
                <w:szCs w:val="18"/>
                <w:color w:val="auto"/>
              </w:rPr>
              <w:t>19,637,230(3)</w:t>
            </w:r>
          </w:p>
        </w:tc>
        <w:tc>
          <w:tcPr>
            <w:tcW w:w="940" w:type="dxa"/>
            <w:vAlign w:val="bottom"/>
            <w:gridSpan w:val="2"/>
            <w:shd w:val="clear" w:color="auto" w:fill="FFF3CE"/>
          </w:tcPr>
          <w:p>
            <w:pPr>
              <w:jc w:val="right"/>
              <w:ind w:right="32"/>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0" w:type="dxa"/>
            <w:vAlign w:val="bottom"/>
            <w:shd w:val="clear" w:color="auto" w:fill="FFF3CE"/>
          </w:tcPr>
          <w:p>
            <w:pPr>
              <w:spacing w:after="0" w:line="20" w:lineRule="exact"/>
              <w:rPr>
                <w:sz w:val="1"/>
                <w:szCs w:val="1"/>
                <w:color w:val="auto"/>
              </w:rPr>
            </w:pPr>
          </w:p>
        </w:tc>
        <w:tc>
          <w:tcPr>
            <w:tcW w:w="7900" w:type="dxa"/>
            <w:vAlign w:val="bottom"/>
            <w:shd w:val="clear" w:color="auto" w:fill="FFF3CE"/>
          </w:tcPr>
          <w:p>
            <w:pPr>
              <w:spacing w:after="0" w:line="20" w:lineRule="exact"/>
              <w:rPr>
                <w:sz w:val="1"/>
                <w:szCs w:val="1"/>
                <w:color w:val="auto"/>
              </w:rPr>
            </w:pPr>
          </w:p>
        </w:tc>
        <w:tc>
          <w:tcPr>
            <w:tcW w:w="1360" w:type="dxa"/>
            <w:vAlign w:val="bottom"/>
            <w:shd w:val="clear" w:color="auto" w:fill="FFF3CE"/>
          </w:tcPr>
          <w:p>
            <w:pPr>
              <w:spacing w:after="0" w:line="20" w:lineRule="exact"/>
              <w:rPr>
                <w:sz w:val="1"/>
                <w:szCs w:val="1"/>
                <w:color w:val="auto"/>
              </w:rPr>
            </w:pPr>
          </w:p>
        </w:tc>
        <w:tc>
          <w:tcPr>
            <w:tcW w:w="220" w:type="dxa"/>
            <w:vAlign w:val="bottom"/>
            <w:shd w:val="clear" w:color="auto" w:fill="FFF3CE"/>
          </w:tcPr>
          <w:p>
            <w:pPr>
              <w:spacing w:after="0" w:line="20" w:lineRule="exact"/>
              <w:rPr>
                <w:sz w:val="1"/>
                <w:szCs w:val="1"/>
                <w:color w:val="auto"/>
              </w:rPr>
            </w:pPr>
          </w:p>
        </w:tc>
        <w:tc>
          <w:tcPr>
            <w:tcW w:w="720" w:type="dxa"/>
            <w:vAlign w:val="bottom"/>
            <w:shd w:val="clear" w:color="auto" w:fill="FFF3C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9950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00" w:hanging="292"/>
        <w:spacing w:after="0"/>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79" w:lineRule="exact"/>
        <w:rPr>
          <w:sz w:val="20"/>
          <w:szCs w:val="20"/>
          <w:color w:val="auto"/>
        </w:rPr>
      </w:pPr>
    </w:p>
    <w:p>
      <w:pPr>
        <w:ind w:left="300" w:right="200" w:hanging="292"/>
        <w:spacing w:after="0" w:line="268" w:lineRule="auto"/>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understands that, as of December 31, 2005, Capital Research and Management Company had sole dispositive power with respect to all of the above shares and sole voting power with respect to 29,660,200 of the above shares.</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300" w:hanging="292"/>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Included in shares owned at December 31, 2005:</w:t>
      </w:r>
    </w:p>
    <w:p>
      <w:pPr>
        <w:spacing w:after="0" w:line="200" w:lineRule="exact"/>
        <w:rPr>
          <w:sz w:val="20"/>
          <w:szCs w:val="20"/>
          <w:color w:val="auto"/>
        </w:rPr>
      </w:pPr>
    </w:p>
    <w:p>
      <w:pPr>
        <w:spacing w:after="0" w:line="27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1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Credited</w:t>
            </w:r>
          </w:p>
        </w:tc>
        <w:tc>
          <w:tcPr>
            <w:tcW w:w="4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440" w:type="dxa"/>
            <w:vAlign w:val="bottom"/>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 401(k) and</w:t>
            </w:r>
          </w:p>
        </w:tc>
        <w:tc>
          <w:tcPr>
            <w:tcW w:w="4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40" w:type="dxa"/>
            <w:vAlign w:val="bottom"/>
          </w:tcPr>
          <w:p>
            <w:pPr>
              <w:spacing w:after="0"/>
              <w:rPr>
                <w:sz w:val="12"/>
                <w:szCs w:val="12"/>
                <w:color w:val="auto"/>
              </w:rPr>
            </w:pPr>
          </w:p>
        </w:tc>
      </w:tr>
      <w:tr>
        <w:trPr>
          <w:trHeight w:val="149"/>
        </w:trPr>
        <w:tc>
          <w:tcPr>
            <w:tcW w:w="1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Obtainable</w:t>
            </w:r>
          </w:p>
        </w:tc>
        <w:tc>
          <w:tcPr>
            <w:tcW w:w="440" w:type="dxa"/>
            <w:vAlign w:val="bottom"/>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Profit Sharing</w:t>
            </w:r>
          </w:p>
        </w:tc>
        <w:tc>
          <w:tcPr>
            <w:tcW w:w="4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Stock Units</w:t>
            </w:r>
          </w:p>
        </w:tc>
        <w:tc>
          <w:tcPr>
            <w:tcW w:w="40" w:type="dxa"/>
            <w:vAlign w:val="bottom"/>
          </w:tcPr>
          <w:p>
            <w:pPr>
              <w:spacing w:after="0"/>
              <w:rPr>
                <w:sz w:val="12"/>
                <w:szCs w:val="12"/>
                <w:color w:val="auto"/>
              </w:rPr>
            </w:pPr>
          </w:p>
        </w:tc>
      </w:tr>
      <w:tr>
        <w:trPr>
          <w:trHeight w:val="174"/>
        </w:trPr>
        <w:tc>
          <w:tcPr>
            <w:tcW w:w="1300" w:type="dxa"/>
            <w:vAlign w:val="bottom"/>
          </w:tcPr>
          <w:p>
            <w:pPr>
              <w:spacing w:after="0"/>
              <w:rPr>
                <w:sz w:val="20"/>
                <w:szCs w:val="20"/>
                <w:color w:val="auto"/>
              </w:rPr>
            </w:pPr>
            <w:r>
              <w:rPr>
                <w:rFonts w:ascii="Arial" w:cs="Arial" w:eastAsia="Arial" w:hAnsi="Arial"/>
                <w:sz w:val="14"/>
                <w:szCs w:val="14"/>
                <w:b w:val="1"/>
                <w:bCs w:val="1"/>
                <w:color w:val="auto"/>
              </w:rPr>
              <w:t>Executive Officer</w:t>
            </w:r>
          </w:p>
        </w:tc>
        <w:tc>
          <w:tcPr>
            <w:tcW w:w="13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Within 60 Days</w:t>
            </w:r>
          </w:p>
        </w:tc>
        <w:tc>
          <w:tcPr>
            <w:tcW w:w="440" w:type="dxa"/>
            <w:vAlign w:val="bottom"/>
          </w:tcPr>
          <w:p>
            <w:pPr>
              <w:spacing w:after="0"/>
              <w:rPr>
                <w:sz w:val="15"/>
                <w:szCs w:val="15"/>
                <w:color w:val="auto"/>
              </w:rPr>
            </w:pP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44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5"/>
              </w:rPr>
              <w:t>(in Shares)</w:t>
            </w:r>
          </w:p>
        </w:tc>
        <w:tc>
          <w:tcPr>
            <w:tcW w:w="40" w:type="dxa"/>
            <w:vAlign w:val="bottom"/>
          </w:tcPr>
          <w:p>
            <w:pPr>
              <w:spacing w:after="0"/>
              <w:rPr>
                <w:sz w:val="15"/>
                <w:szCs w:val="15"/>
                <w:color w:val="auto"/>
              </w:rPr>
            </w:pPr>
          </w:p>
        </w:tc>
      </w:tr>
      <w:tr>
        <w:trPr>
          <w:trHeight w:val="55"/>
        </w:trPr>
        <w:tc>
          <w:tcPr>
            <w:tcW w:w="13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61"/>
        </w:trPr>
        <w:tc>
          <w:tcPr>
            <w:tcW w:w="13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43"/>
        </w:trPr>
        <w:tc>
          <w:tcPr>
            <w:tcW w:w="1300" w:type="dxa"/>
            <w:vAlign w:val="bottom"/>
            <w:shd w:val="clear" w:color="auto" w:fill="FFF3CE"/>
          </w:tcPr>
          <w:p>
            <w:pPr>
              <w:spacing w:after="0"/>
              <w:rPr>
                <w:sz w:val="20"/>
                <w:szCs w:val="20"/>
                <w:color w:val="auto"/>
              </w:rPr>
            </w:pPr>
            <w:r>
              <w:rPr>
                <w:rFonts w:ascii="Arial" w:cs="Arial" w:eastAsia="Arial" w:hAnsi="Arial"/>
                <w:sz w:val="18"/>
                <w:szCs w:val="18"/>
                <w:color w:val="auto"/>
              </w:rPr>
              <w:t>R.K. Templeton</w:t>
            </w:r>
          </w:p>
        </w:tc>
        <w:tc>
          <w:tcPr>
            <w:tcW w:w="2380" w:type="dxa"/>
            <w:vAlign w:val="bottom"/>
            <w:gridSpan w:val="2"/>
            <w:shd w:val="clear" w:color="auto" w:fill="FFF3CE"/>
          </w:tcPr>
          <w:p>
            <w:pPr>
              <w:jc w:val="right"/>
              <w:ind w:right="132"/>
              <w:spacing w:after="0"/>
              <w:rPr>
                <w:sz w:val="20"/>
                <w:szCs w:val="20"/>
                <w:color w:val="auto"/>
              </w:rPr>
            </w:pPr>
            <w:r>
              <w:rPr>
                <w:rFonts w:ascii="Arial" w:cs="Arial" w:eastAsia="Arial" w:hAnsi="Arial"/>
                <w:sz w:val="18"/>
                <w:szCs w:val="18"/>
                <w:color w:val="auto"/>
              </w:rPr>
              <w:t>4,305,190</w:t>
            </w:r>
          </w:p>
        </w:tc>
        <w:tc>
          <w:tcPr>
            <w:tcW w:w="2900" w:type="dxa"/>
            <w:vAlign w:val="bottom"/>
            <w:gridSpan w:val="2"/>
            <w:shd w:val="clear" w:color="auto" w:fill="FFF3CE"/>
          </w:tcPr>
          <w:p>
            <w:pPr>
              <w:jc w:val="right"/>
              <w:ind w:right="912"/>
              <w:spacing w:after="0"/>
              <w:rPr>
                <w:sz w:val="20"/>
                <w:szCs w:val="20"/>
                <w:color w:val="auto"/>
              </w:rPr>
            </w:pPr>
            <w:r>
              <w:rPr>
                <w:rFonts w:ascii="Arial" w:cs="Arial" w:eastAsia="Arial" w:hAnsi="Arial"/>
                <w:sz w:val="18"/>
                <w:szCs w:val="18"/>
                <w:color w:val="auto"/>
              </w:rPr>
              <w:t>11,009</w:t>
            </w:r>
          </w:p>
        </w:tc>
        <w:tc>
          <w:tcPr>
            <w:tcW w:w="1960" w:type="dxa"/>
            <w:vAlign w:val="bottom"/>
            <w:gridSpan w:val="2"/>
            <w:shd w:val="clear" w:color="auto" w:fill="FFF3CE"/>
          </w:tcPr>
          <w:p>
            <w:pPr>
              <w:jc w:val="center"/>
              <w:ind w:left="372"/>
              <w:spacing w:after="0"/>
              <w:rPr>
                <w:sz w:val="20"/>
                <w:szCs w:val="20"/>
                <w:color w:val="auto"/>
              </w:rPr>
            </w:pPr>
            <w:r>
              <w:rPr>
                <w:rFonts w:ascii="Arial" w:cs="Arial" w:eastAsia="Arial" w:hAnsi="Arial"/>
                <w:sz w:val="18"/>
                <w:szCs w:val="18"/>
                <w:color w:val="auto"/>
                <w:w w:val="89"/>
              </w:rPr>
              <w:t>320,000</w:t>
            </w:r>
          </w:p>
        </w:tc>
        <w:tc>
          <w:tcPr>
            <w:tcW w:w="40" w:type="dxa"/>
            <w:vAlign w:val="bottom"/>
          </w:tcPr>
          <w:p>
            <w:pPr>
              <w:spacing w:after="0"/>
              <w:rPr>
                <w:sz w:val="21"/>
                <w:szCs w:val="21"/>
                <w:color w:val="auto"/>
              </w:rPr>
            </w:pPr>
          </w:p>
        </w:tc>
      </w:tr>
      <w:tr>
        <w:trPr>
          <w:trHeight w:val="242"/>
        </w:trPr>
        <w:tc>
          <w:tcPr>
            <w:tcW w:w="1300" w:type="dxa"/>
            <w:vAlign w:val="bottom"/>
          </w:tcPr>
          <w:p>
            <w:pPr>
              <w:spacing w:after="0"/>
              <w:rPr>
                <w:sz w:val="20"/>
                <w:szCs w:val="20"/>
                <w:color w:val="auto"/>
              </w:rPr>
            </w:pPr>
            <w:r>
              <w:rPr>
                <w:rFonts w:ascii="Arial" w:cs="Arial" w:eastAsia="Arial" w:hAnsi="Arial"/>
                <w:sz w:val="18"/>
                <w:szCs w:val="18"/>
                <w:color w:val="auto"/>
              </w:rPr>
              <w:t>G. Delfassy</w:t>
            </w:r>
          </w:p>
        </w:tc>
        <w:tc>
          <w:tcPr>
            <w:tcW w:w="2380" w:type="dxa"/>
            <w:vAlign w:val="bottom"/>
            <w:gridSpan w:val="2"/>
          </w:tcPr>
          <w:p>
            <w:pPr>
              <w:jc w:val="right"/>
              <w:ind w:right="132"/>
              <w:spacing w:after="0"/>
              <w:rPr>
                <w:sz w:val="20"/>
                <w:szCs w:val="20"/>
                <w:color w:val="auto"/>
              </w:rPr>
            </w:pPr>
            <w:r>
              <w:rPr>
                <w:rFonts w:ascii="Arial" w:cs="Arial" w:eastAsia="Arial" w:hAnsi="Arial"/>
                <w:sz w:val="18"/>
                <w:szCs w:val="18"/>
                <w:color w:val="auto"/>
              </w:rPr>
              <w:t>1,005,190</w:t>
            </w:r>
          </w:p>
        </w:tc>
        <w:tc>
          <w:tcPr>
            <w:tcW w:w="2900" w:type="dxa"/>
            <w:vAlign w:val="bottom"/>
            <w:gridSpan w:val="2"/>
          </w:tcPr>
          <w:p>
            <w:pPr>
              <w:jc w:val="right"/>
              <w:ind w:right="912"/>
              <w:spacing w:after="0"/>
              <w:rPr>
                <w:sz w:val="20"/>
                <w:szCs w:val="20"/>
                <w:color w:val="auto"/>
              </w:rPr>
            </w:pPr>
            <w:r>
              <w:rPr>
                <w:rFonts w:ascii="Arial" w:cs="Arial" w:eastAsia="Arial" w:hAnsi="Arial"/>
                <w:sz w:val="18"/>
                <w:szCs w:val="18"/>
                <w:color w:val="auto"/>
              </w:rPr>
              <w:t>1,704</w:t>
            </w:r>
          </w:p>
        </w:tc>
        <w:tc>
          <w:tcPr>
            <w:tcW w:w="196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100,000</w:t>
            </w:r>
          </w:p>
        </w:tc>
        <w:tc>
          <w:tcPr>
            <w:tcW w:w="40" w:type="dxa"/>
            <w:vAlign w:val="bottom"/>
          </w:tcPr>
          <w:p>
            <w:pPr>
              <w:spacing w:after="0"/>
              <w:rPr>
                <w:sz w:val="21"/>
                <w:szCs w:val="21"/>
                <w:color w:val="auto"/>
              </w:rPr>
            </w:pPr>
          </w:p>
        </w:tc>
      </w:tr>
      <w:tr>
        <w:trPr>
          <w:trHeight w:val="244"/>
        </w:trPr>
        <w:tc>
          <w:tcPr>
            <w:tcW w:w="1300" w:type="dxa"/>
            <w:vAlign w:val="bottom"/>
            <w:shd w:val="clear" w:color="auto" w:fill="FFF3CE"/>
          </w:tcPr>
          <w:p>
            <w:pPr>
              <w:spacing w:after="0"/>
              <w:rPr>
                <w:sz w:val="20"/>
                <w:szCs w:val="20"/>
                <w:color w:val="auto"/>
              </w:rPr>
            </w:pPr>
            <w:r>
              <w:rPr>
                <w:rFonts w:ascii="Arial" w:cs="Arial" w:eastAsia="Arial" w:hAnsi="Arial"/>
                <w:sz w:val="18"/>
                <w:szCs w:val="18"/>
                <w:color w:val="auto"/>
              </w:rPr>
              <w:t>M.J. Hames</w:t>
            </w:r>
          </w:p>
        </w:tc>
        <w:tc>
          <w:tcPr>
            <w:tcW w:w="2380" w:type="dxa"/>
            <w:vAlign w:val="bottom"/>
            <w:gridSpan w:val="2"/>
            <w:shd w:val="clear" w:color="auto" w:fill="FFF3CE"/>
          </w:tcPr>
          <w:p>
            <w:pPr>
              <w:jc w:val="right"/>
              <w:ind w:right="132"/>
              <w:spacing w:after="0"/>
              <w:rPr>
                <w:sz w:val="20"/>
                <w:szCs w:val="20"/>
                <w:color w:val="auto"/>
              </w:rPr>
            </w:pPr>
            <w:r>
              <w:rPr>
                <w:rFonts w:ascii="Arial" w:cs="Arial" w:eastAsia="Arial" w:hAnsi="Arial"/>
                <w:sz w:val="18"/>
                <w:szCs w:val="18"/>
                <w:color w:val="auto"/>
              </w:rPr>
              <w:t>1,081,250</w:t>
            </w:r>
          </w:p>
        </w:tc>
        <w:tc>
          <w:tcPr>
            <w:tcW w:w="2900" w:type="dxa"/>
            <w:vAlign w:val="bottom"/>
            <w:gridSpan w:val="2"/>
            <w:shd w:val="clear" w:color="auto" w:fill="FFF3CE"/>
          </w:tcPr>
          <w:p>
            <w:pPr>
              <w:jc w:val="right"/>
              <w:ind w:right="912"/>
              <w:spacing w:after="0"/>
              <w:rPr>
                <w:sz w:val="20"/>
                <w:szCs w:val="20"/>
                <w:color w:val="auto"/>
              </w:rPr>
            </w:pPr>
            <w:r>
              <w:rPr>
                <w:rFonts w:ascii="Arial" w:cs="Arial" w:eastAsia="Arial" w:hAnsi="Arial"/>
                <w:sz w:val="18"/>
                <w:szCs w:val="18"/>
                <w:color w:val="auto"/>
              </w:rPr>
              <w:t>6,906</w:t>
            </w:r>
          </w:p>
        </w:tc>
        <w:tc>
          <w:tcPr>
            <w:tcW w:w="1960" w:type="dxa"/>
            <w:vAlign w:val="bottom"/>
            <w:gridSpan w:val="2"/>
            <w:shd w:val="clear" w:color="auto" w:fill="FFF3CE"/>
          </w:tcPr>
          <w:p>
            <w:pPr>
              <w:jc w:val="center"/>
              <w:ind w:left="372"/>
              <w:spacing w:after="0"/>
              <w:rPr>
                <w:sz w:val="20"/>
                <w:szCs w:val="20"/>
                <w:color w:val="auto"/>
              </w:rPr>
            </w:pPr>
            <w:r>
              <w:rPr>
                <w:rFonts w:ascii="Arial" w:cs="Arial" w:eastAsia="Arial" w:hAnsi="Arial"/>
                <w:sz w:val="18"/>
                <w:szCs w:val="18"/>
                <w:color w:val="auto"/>
                <w:w w:val="89"/>
              </w:rPr>
              <w:t>200,000</w:t>
            </w:r>
          </w:p>
        </w:tc>
        <w:tc>
          <w:tcPr>
            <w:tcW w:w="40" w:type="dxa"/>
            <w:vAlign w:val="bottom"/>
          </w:tcPr>
          <w:p>
            <w:pPr>
              <w:spacing w:after="0"/>
              <w:rPr>
                <w:sz w:val="21"/>
                <w:szCs w:val="21"/>
                <w:color w:val="auto"/>
              </w:rPr>
            </w:pPr>
          </w:p>
        </w:tc>
      </w:tr>
      <w:tr>
        <w:trPr>
          <w:trHeight w:val="242"/>
        </w:trPr>
        <w:tc>
          <w:tcPr>
            <w:tcW w:w="1300" w:type="dxa"/>
            <w:vAlign w:val="bottom"/>
          </w:tcPr>
          <w:p>
            <w:pPr>
              <w:spacing w:after="0"/>
              <w:rPr>
                <w:sz w:val="20"/>
                <w:szCs w:val="20"/>
                <w:color w:val="auto"/>
              </w:rPr>
            </w:pPr>
            <w:r>
              <w:rPr>
                <w:rFonts w:ascii="Arial" w:cs="Arial" w:eastAsia="Arial" w:hAnsi="Arial"/>
                <w:sz w:val="18"/>
                <w:szCs w:val="18"/>
                <w:color w:val="auto"/>
              </w:rPr>
              <w:t>G.A. Lowe</w:t>
            </w:r>
          </w:p>
        </w:tc>
        <w:tc>
          <w:tcPr>
            <w:tcW w:w="2380" w:type="dxa"/>
            <w:vAlign w:val="bottom"/>
            <w:gridSpan w:val="2"/>
          </w:tcPr>
          <w:p>
            <w:pPr>
              <w:jc w:val="right"/>
              <w:ind w:right="132"/>
              <w:spacing w:after="0"/>
              <w:rPr>
                <w:sz w:val="20"/>
                <w:szCs w:val="20"/>
                <w:color w:val="auto"/>
              </w:rPr>
            </w:pPr>
            <w:r>
              <w:rPr>
                <w:rFonts w:ascii="Arial" w:cs="Arial" w:eastAsia="Arial" w:hAnsi="Arial"/>
                <w:sz w:val="18"/>
                <w:szCs w:val="18"/>
                <w:color w:val="auto"/>
              </w:rPr>
              <w:t>560,190</w:t>
            </w:r>
          </w:p>
        </w:tc>
        <w:tc>
          <w:tcPr>
            <w:tcW w:w="2900" w:type="dxa"/>
            <w:vAlign w:val="bottom"/>
            <w:gridSpan w:val="2"/>
          </w:tcPr>
          <w:p>
            <w:pPr>
              <w:jc w:val="right"/>
              <w:ind w:right="912"/>
              <w:spacing w:after="0"/>
              <w:rPr>
                <w:sz w:val="20"/>
                <w:szCs w:val="20"/>
                <w:color w:val="auto"/>
              </w:rPr>
            </w:pPr>
            <w:r>
              <w:rPr>
                <w:rFonts w:ascii="Arial" w:cs="Arial" w:eastAsia="Arial" w:hAnsi="Arial"/>
                <w:sz w:val="18"/>
                <w:szCs w:val="18"/>
                <w:color w:val="auto"/>
              </w:rPr>
              <w:t>3,428</w:t>
            </w:r>
          </w:p>
        </w:tc>
        <w:tc>
          <w:tcPr>
            <w:tcW w:w="196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205,000</w:t>
            </w:r>
          </w:p>
        </w:tc>
        <w:tc>
          <w:tcPr>
            <w:tcW w:w="40" w:type="dxa"/>
            <w:vAlign w:val="bottom"/>
          </w:tcPr>
          <w:p>
            <w:pPr>
              <w:spacing w:after="0"/>
              <w:rPr>
                <w:sz w:val="21"/>
                <w:szCs w:val="21"/>
                <w:color w:val="auto"/>
              </w:rPr>
            </w:pPr>
          </w:p>
        </w:tc>
      </w:tr>
      <w:tr>
        <w:trPr>
          <w:trHeight w:val="244"/>
        </w:trPr>
        <w:tc>
          <w:tcPr>
            <w:tcW w:w="1300" w:type="dxa"/>
            <w:vAlign w:val="bottom"/>
            <w:shd w:val="clear" w:color="auto" w:fill="FFF3CE"/>
          </w:tcPr>
          <w:p>
            <w:pPr>
              <w:spacing w:after="0"/>
              <w:rPr>
                <w:sz w:val="20"/>
                <w:szCs w:val="20"/>
                <w:color w:val="auto"/>
              </w:rPr>
            </w:pPr>
            <w:r>
              <w:rPr>
                <w:rFonts w:ascii="Arial" w:cs="Arial" w:eastAsia="Arial" w:hAnsi="Arial"/>
                <w:sz w:val="18"/>
                <w:szCs w:val="18"/>
                <w:color w:val="auto"/>
              </w:rPr>
              <w:t>K.J. Ritchie</w:t>
            </w:r>
          </w:p>
        </w:tc>
        <w:tc>
          <w:tcPr>
            <w:tcW w:w="2380" w:type="dxa"/>
            <w:vAlign w:val="bottom"/>
            <w:gridSpan w:val="2"/>
            <w:shd w:val="clear" w:color="auto" w:fill="FFF3CE"/>
          </w:tcPr>
          <w:p>
            <w:pPr>
              <w:jc w:val="right"/>
              <w:ind w:right="132"/>
              <w:spacing w:after="0"/>
              <w:rPr>
                <w:sz w:val="20"/>
                <w:szCs w:val="20"/>
                <w:color w:val="auto"/>
              </w:rPr>
            </w:pPr>
            <w:r>
              <w:rPr>
                <w:rFonts w:ascii="Arial" w:cs="Arial" w:eastAsia="Arial" w:hAnsi="Arial"/>
                <w:sz w:val="18"/>
                <w:szCs w:val="18"/>
                <w:color w:val="auto"/>
              </w:rPr>
              <w:t>623,850</w:t>
            </w:r>
          </w:p>
        </w:tc>
        <w:tc>
          <w:tcPr>
            <w:tcW w:w="2900" w:type="dxa"/>
            <w:vAlign w:val="bottom"/>
            <w:gridSpan w:val="2"/>
            <w:shd w:val="clear" w:color="auto" w:fill="FFF3CE"/>
          </w:tcPr>
          <w:p>
            <w:pPr>
              <w:jc w:val="right"/>
              <w:ind w:right="912"/>
              <w:spacing w:after="0"/>
              <w:rPr>
                <w:sz w:val="20"/>
                <w:szCs w:val="20"/>
                <w:color w:val="auto"/>
              </w:rPr>
            </w:pPr>
            <w:r>
              <w:rPr>
                <w:rFonts w:ascii="Arial" w:cs="Arial" w:eastAsia="Arial" w:hAnsi="Arial"/>
                <w:sz w:val="18"/>
                <w:szCs w:val="18"/>
                <w:color w:val="auto"/>
              </w:rPr>
              <w:t>7,728</w:t>
            </w:r>
          </w:p>
        </w:tc>
        <w:tc>
          <w:tcPr>
            <w:tcW w:w="1960" w:type="dxa"/>
            <w:vAlign w:val="bottom"/>
            <w:gridSpan w:val="2"/>
            <w:shd w:val="clear" w:color="auto" w:fill="FFF3CE"/>
          </w:tcPr>
          <w:p>
            <w:pPr>
              <w:jc w:val="center"/>
              <w:ind w:left="372"/>
              <w:spacing w:after="0"/>
              <w:rPr>
                <w:sz w:val="20"/>
                <w:szCs w:val="20"/>
                <w:color w:val="auto"/>
              </w:rPr>
            </w:pPr>
            <w:r>
              <w:rPr>
                <w:rFonts w:ascii="Arial" w:cs="Arial" w:eastAsia="Arial" w:hAnsi="Arial"/>
                <w:sz w:val="18"/>
                <w:szCs w:val="18"/>
                <w:color w:val="auto"/>
                <w:w w:val="89"/>
              </w:rPr>
              <w:t>140,000</w:t>
            </w:r>
          </w:p>
        </w:tc>
        <w:tc>
          <w:tcPr>
            <w:tcW w:w="40" w:type="dxa"/>
            <w:vAlign w:val="bottom"/>
          </w:tcPr>
          <w:p>
            <w:pPr>
              <w:spacing w:after="0"/>
              <w:rPr>
                <w:sz w:val="21"/>
                <w:szCs w:val="21"/>
                <w:color w:val="auto"/>
              </w:rPr>
            </w:pPr>
          </w:p>
        </w:tc>
      </w:tr>
    </w:tbl>
    <w:p>
      <w:pPr>
        <w:spacing w:after="0" w:line="200" w:lineRule="exact"/>
        <w:rPr>
          <w:sz w:val="20"/>
          <w:szCs w:val="20"/>
          <w:color w:val="auto"/>
        </w:rPr>
      </w:pPr>
    </w:p>
    <w:p>
      <w:pPr>
        <w:spacing w:after="0" w:line="25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Excludes shares held by a family member if a director or executive officer has disclaimed beneficial ownership.</w:t>
      </w:r>
    </w:p>
    <w:p>
      <w:pPr>
        <w:spacing w:after="0" w:line="225" w:lineRule="exact"/>
        <w:rPr>
          <w:sz w:val="20"/>
          <w:szCs w:val="20"/>
          <w:color w:val="auto"/>
        </w:rPr>
      </w:pPr>
    </w:p>
    <w:p>
      <w:pPr>
        <w:ind w:left="300" w:hanging="292"/>
        <w:spacing w:after="0"/>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w:t>
      </w:r>
    </w:p>
    <w:p>
      <w:pPr>
        <w:spacing w:after="0" w:line="279" w:lineRule="exact"/>
        <w:rPr>
          <w:rFonts w:ascii="Arial" w:cs="Arial" w:eastAsia="Arial" w:hAnsi="Arial"/>
          <w:sz w:val="18"/>
          <w:szCs w:val="18"/>
          <w:color w:val="auto"/>
        </w:rPr>
      </w:pPr>
    </w:p>
    <w:p>
      <w:pPr>
        <w:ind w:left="840" w:hanging="292"/>
        <w:spacing w:after="0"/>
        <w:tabs>
          <w:tab w:leader="none" w:pos="8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17,422,180 shares obtainable within 60 days;</w:t>
      </w:r>
    </w:p>
    <w:p>
      <w:pPr>
        <w:spacing w:after="0" w:line="279" w:lineRule="exact"/>
        <w:rPr>
          <w:rFonts w:ascii="Arial" w:cs="Arial" w:eastAsia="Arial" w:hAnsi="Arial"/>
          <w:sz w:val="18"/>
          <w:szCs w:val="18"/>
          <w:color w:val="auto"/>
        </w:rPr>
      </w:pPr>
    </w:p>
    <w:p>
      <w:pPr>
        <w:ind w:left="840" w:hanging="292"/>
        <w:spacing w:after="0"/>
        <w:tabs>
          <w:tab w:leader="none" w:pos="8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155,707 shares credited to 401(k) and profit sharing stock accounts;</w:t>
      </w:r>
    </w:p>
    <w:p>
      <w:pPr>
        <w:spacing w:after="0" w:line="279" w:lineRule="exact"/>
        <w:rPr>
          <w:rFonts w:ascii="Arial" w:cs="Arial" w:eastAsia="Arial" w:hAnsi="Arial"/>
          <w:sz w:val="18"/>
          <w:szCs w:val="18"/>
          <w:color w:val="auto"/>
        </w:rPr>
      </w:pPr>
    </w:p>
    <w:p>
      <w:pPr>
        <w:ind w:left="840" w:right="340" w:hanging="292"/>
        <w:spacing w:after="0" w:line="370" w:lineRule="auto"/>
        <w:tabs>
          <w:tab w:leader="none" w:pos="840" w:val="left"/>
        </w:tabs>
        <w:numPr>
          <w:ilvl w:val="1"/>
          <w:numId w:val="28"/>
        </w:numPr>
        <w:rPr>
          <w:rFonts w:ascii="Arial" w:cs="Arial" w:eastAsia="Arial" w:hAnsi="Arial"/>
          <w:sz w:val="15"/>
          <w:szCs w:val="15"/>
          <w:color w:val="auto"/>
        </w:rPr>
      </w:pPr>
      <w:r>
        <w:rPr>
          <w:rFonts w:ascii="Arial" w:cs="Arial" w:eastAsia="Arial" w:hAnsi="Arial"/>
          <w:sz w:val="15"/>
          <w:szCs w:val="15"/>
          <w:color w:val="auto"/>
        </w:rPr>
        <w:t>1,525,268 shares subject to restricted stock unit awards; the non-employee directors’ restricted stock units are settled in TI stock upon a director’s termination of service provided he or she has served at least eight years or has reached the company’s retirement age for directors; and</w:t>
      </w:r>
    </w:p>
    <w:p>
      <w:pPr>
        <w:spacing w:after="0" w:line="143" w:lineRule="exact"/>
        <w:rPr>
          <w:rFonts w:ascii="Arial" w:cs="Arial" w:eastAsia="Arial" w:hAnsi="Arial"/>
          <w:sz w:val="15"/>
          <w:szCs w:val="15"/>
          <w:color w:val="auto"/>
        </w:rPr>
      </w:pPr>
    </w:p>
    <w:p>
      <w:pPr>
        <w:ind w:left="840" w:right="500" w:hanging="292"/>
        <w:spacing w:after="0" w:line="268" w:lineRule="auto"/>
        <w:tabs>
          <w:tab w:leader="none" w:pos="8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72,826 shares credited to certain non-employee directors’ deferred compensation accounts; shares in deferred compensation accounts are issued following a director’s termination of service.</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2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Excludes shares held by a family member if a director or executive officer has disclaimed beneficial ownership.</w:t>
      </w:r>
    </w:p>
    <w:p>
      <w:pPr>
        <w:sectPr>
          <w:pgSz w:w="11900" w:h="16838" w:orient="portrait"/>
          <w:cols w:equalWidth="0" w:num="1">
            <w:col w:w="11420"/>
          </w:cols>
          <w:pgMar w:left="240" w:top="125" w:right="239" w:bottom="0" w:gutter="0" w:footer="0" w:header="0"/>
          <w:type w:val="continuous"/>
        </w:sectPr>
      </w:pPr>
    </w:p>
    <w:bookmarkStart w:id="20" w:name="page21"/>
    <w:bookmarkEnd w:id="20"/>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Business Relationships</w:t>
      </w:r>
    </w:p>
    <w:p>
      <w:pPr>
        <w:spacing w:after="0" w:line="23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Joseph F. Hubach, senior vice president, secretary and general counsel of the company, is the brother of Francis P. Hubach, Jr., partner in charge of the Dallas office of the law firm of Jones Day. The company, whose relationship with Jones Day began before Mr. J. Hubach joined the company, engaged the services of Jones Day during 2005. Mr. F. Hubach provides no services to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Solicitation</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solicitation is made on behalf of the board of directors of the company. The company will pay the cost of soliciting these proxies. We will reimburse brokerage houses and other custodians, nominees and fiduciaries for reasonable expenses they incur in sending these proxy materials to you if you are a beneficial holder of our shares.</w:t>
      </w:r>
    </w:p>
    <w:p>
      <w:pPr>
        <w:spacing w:after="0" w:line="19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Without receiving additional compensation, officials and regular employees of the company may solicit proxies personally, by telephone, fax or e-mail from some stockholders if proxies are not promptly received. We have also hired Georgeson Shareholder Communications Inc. to assist in the solicitation of proxies at a cost of $12,000 plus out-of-pocket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of Stockholders</w:t>
      </w:r>
    </w:p>
    <w:p>
      <w:pPr>
        <w:spacing w:after="0" w:line="2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you wish to submit a proposal for possible inclusion in the company’s 2006 proxy material, we must receive your notice, in accordance with rules of the SEC, on or before November 9, 2006. Proposals are to be sent to: Texas Instruments Incorporated, 12500 TI Boulevard, MS 8658, Dallas, Texas, 75243, Attn: Secretary.</w:t>
      </w:r>
    </w:p>
    <w:p>
      <w:pPr>
        <w:spacing w:after="0" w:line="19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If you wish to submit a proposal at the 2007 annual meeting (but not seek inclusion of the proposal in the company’s proxy material), we must receive your notice, in accordance with the company’s by-laws, on or before January 20, 2007.</w:t>
      </w:r>
    </w:p>
    <w:p>
      <w:pPr>
        <w:spacing w:after="0" w:line="18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All suggestions from stockholders concerning the company’s business are welcome and will be carefully considered by the company’s management. To ensure that your suggestions receive appropriate review, the Governance and Stockholder Relations Committee from time to time reviews correspondence from stockholders and management’s responses. Stockholders are thereby given access at the board level without having to resort to formal stockholder proposals. Generally, the board prefers you present your views in this manner rather than through the process of formal stockholder proposals. Please see page 5 for information on contacting the board.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Requirement</w:t>
      </w:r>
    </w:p>
    <w:p>
      <w:pPr>
        <w:spacing w:after="0" w:line="23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 quorum of stockholders is necessary to hold a valid meeting. If at least a majority of the shares of TI stock issued and outstanding and entitled to vote are present in person or by proxy, a quorum will exist.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3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For all matters submitted at the meeting, including the election of directors, an affirmative vote of the majority of the shares present in person or by proxy and entitled to vote thereon is necessary for approval.</w:t>
      </w:r>
    </w:p>
    <w:p>
      <w:pPr>
        <w:spacing w:after="0" w:line="18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do not expect any matters to be presented for a vote at the annual meeting other than the election of directors and the proposal to ratify the appointment of the company’s independent registered public accounting firm for 2006. If you grant a proxy, the persons named in the proxy will have the discretion to vote your shares on any additional matters properly presented for a vote at the meeting.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Under Delaware law and the company’s Restated Certificate of Incorporation and by-laws, the aggregate number of votes entitled to be cast by all stockholders present in person or represented by proxy at the meeting, whether those stockholders vote FOR or AGAINST (including WITHHOLD AUTHORITY votes in the election of directors) or abstain from voting, will be counted for purposes of determining the minimum number of affirmative votes required for approval of such matters. The total number of votes cast FOR each of these matters will be counted for purposes of determining whether sufficient affirmative votes have been cast. An abstention from voting on a matter by a stockholder present in person or represented by proxy at the meeting has the same legal effect as a vote AGAINST the matter even though the stockholder or interested parties analyzing the results of the voting may interpret such a vote differently. TI has appointed independent inspectors of election to tabulate the voting for the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 Voting</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you are a participant in the TI Contribution and 401(k) Savings Plan, or the TI 401(k) Savings Plan, you are a “named fiduciary” under the plans and are entitled to direct the voting of shares allocable to your accounts under these plans. The trustee administering your plan will vote your shares in accordance with your instructions. If you wish to instruct the trustee on the voting of shares held for your accounts, you should do so by April 17, 2006, in the manner described in the notice of meeting.</w:t>
      </w:r>
    </w:p>
    <w:p>
      <w:pPr>
        <w:spacing w:after="0" w:line="19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Additionally, participants under the plans are designated as “named fiduciaries” for the purpose of voting TI stock held under the plans for which no voting direction is received. TI shares held by the TI 401(k) savings plans for which no voting instructions are received by April 17, 2006, will be voted in the same proportions as the shares in the plans for which voting instructions have been received by that date.</w:t>
      </w:r>
    </w:p>
    <w:p>
      <w:pPr>
        <w:sectPr>
          <w:pgSz w:w="11900" w:h="16838" w:orient="portrait"/>
          <w:cols w:equalWidth="0" w:num="1">
            <w:col w:w="11420"/>
          </w:cols>
          <w:pgMar w:left="240" w:top="590" w:right="239" w:bottom="0" w:gutter="0" w:footer="0" w:header="0"/>
        </w:sectPr>
      </w:pPr>
    </w:p>
    <w:bookmarkStart w:id="21" w:name="page22"/>
    <w:bookmarkEnd w:id="21"/>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Section 16(a) of the Securities Exchange Act of 1934 requires certain persons, including the company’s directors and executive officers, to file reports with the SEC regarding beneficial ownership of certain equity securities of the company. During 2005, all Section 16(a) reports were timely filed.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Telephone and Internet Voting</w:t>
      </w:r>
    </w:p>
    <w:p>
      <w:pPr>
        <w:spacing w:after="0" w:line="22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 xml:space="preserve">Registered Stockholders and Benefit Plan Participants. </w:t>
      </w:r>
      <w:r>
        <w:rPr>
          <w:rFonts w:ascii="Arial" w:cs="Arial" w:eastAsia="Arial" w:hAnsi="Arial"/>
          <w:sz w:val="18"/>
          <w:szCs w:val="18"/>
          <w:color w:val="auto"/>
        </w:rPr>
        <w:t>Stockholders with shares registered directly with Computershare (the company’s transfer agent) and</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who beneficially own shares in a company benefit plan may vote telephonically by calling (800) 690-6903 (within the U.S. and Canada only, toll-free) or via the Internet at www.proxyvote.com.</w:t>
      </w:r>
    </w:p>
    <w:p>
      <w:pPr>
        <w:spacing w:after="0" w:line="19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telephone and Internet voting procedures are designed to authenticate stockholders’ identities, to allow stockholders to give their voting instructions and to confirm that stockholders’ instructions have been recorded properly. The company has been advised by counsel that the telephone and Internet voting procedures, which have been made available through ADP Investor Communication Services, are consistent with the requirements of applicable law.</w:t>
      </w:r>
    </w:p>
    <w:p>
      <w:pPr>
        <w:spacing w:after="0" w:line="15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 xml:space="preserve">Stockholders with Shares Registered in the Name of a Brokerage Firm or Bank. </w:t>
      </w:r>
      <w:r>
        <w:rPr>
          <w:rFonts w:ascii="Arial" w:cs="Arial" w:eastAsia="Arial" w:hAnsi="Arial"/>
          <w:sz w:val="18"/>
          <w:szCs w:val="18"/>
          <w:color w:val="auto"/>
        </w:rPr>
        <w:t>A number of brokerage firms and banks offer telephone and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voting options. These programs may differ from the program provided to registered stockholders and benefit plan participants. Check the information forwarded by your bank, broker or other holder of record to see which options are available to you.</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Stockholders voting via the Internet should understand that there may be costs associated with electronic access, such as usage charges from telephone companies and Internet access providers, that must be borne by the stockholder.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Sharing the Same Address</w:t>
      </w:r>
    </w:p>
    <w:p>
      <w:pPr>
        <w:spacing w:after="0" w:line="2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To reduce the expenses of delivering duplicate proxy materials, we are taking advantage of the SEC’s “householding” rules that permit us to deliver only one set of proxy materials to stockholders who share an address unless otherwise requested. If you share an address with another stockholder and have received only one set of proxy materials, you may request a separate copy of these materials at no cost to you by calling Investor Relations at (972) 995-3773 or by writing to Texas Instruments Incorporated, P.O. Box 660199, MS 8657, Dallas, TX 75266-0199, Attn: Investor Relations. For future annual meetings, you may request separate voting materials, or request that we send only one set of proxy materials to you if you are receiving multiple copies, by calling (800) 542-1061 or writing to Investor Relations at the address given above.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 of Proxy Materials</w:t>
      </w: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an alternative to receiving printed copies of these materials in future years, we are pleased to offer stockholders the opportunity to receive proxy mailings electronically. To request electronic delivery, please vote via the Internet at www.proxyvote.com and, when prompted, enroll to receive or access proxy materials electronically in future years.</w:t>
      </w:r>
    </w:p>
    <w:p>
      <w:pPr>
        <w:spacing w:after="0" w:line="19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After the meeting date, stockholders holding shares through a broker or bank may request electronic delivery by visiting www.icsdelivery.com/ti and entering information for each account held by a bank or broker. If you are a registered stockholder and would like to enroll, please visit www.computershare.com/us/sc/txnb or call TI Investor Relations at (972) 995-3773 for more information. If you are a participant in a TI benefit plan and would like to enroll, please call TI Investor Relations for more information.</w:t>
      </w:r>
    </w:p>
    <w:p>
      <w:pPr>
        <w:spacing w:after="0" w:line="19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10795</wp:posOffset>
            </wp:positionV>
            <wp:extent cx="2521585" cy="4800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2158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Joseph F. Hubach</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Senior Vice President,</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Secretary and</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General Counsel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9, 2006</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DIRECTIONS AND OTHER ANNUAL MEETING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Directions</w:t>
      </w:r>
    </w:p>
    <w:p>
      <w:pPr>
        <w:spacing w:after="0" w:line="225" w:lineRule="exact"/>
        <w:rPr>
          <w:sz w:val="20"/>
          <w:szCs w:val="20"/>
          <w:color w:val="auto"/>
        </w:rPr>
      </w:pPr>
    </w:p>
    <w:p>
      <w:pPr>
        <w:ind w:left="280" w:right="280"/>
        <w:spacing w:after="0" w:line="339" w:lineRule="auto"/>
        <w:rPr>
          <w:sz w:val="20"/>
          <w:szCs w:val="20"/>
          <w:color w:val="auto"/>
        </w:rPr>
      </w:pPr>
      <w:r>
        <w:rPr>
          <w:rFonts w:ascii="Arial" w:cs="Arial" w:eastAsia="Arial" w:hAnsi="Arial"/>
          <w:sz w:val="16"/>
          <w:szCs w:val="16"/>
          <w:b w:val="1"/>
          <w:bCs w:val="1"/>
          <w:color w:val="auto"/>
        </w:rPr>
        <w:t xml:space="preserve">From DFW Airport: </w:t>
      </w:r>
      <w:r>
        <w:rPr>
          <w:rFonts w:ascii="Arial" w:cs="Arial" w:eastAsia="Arial" w:hAnsi="Arial"/>
          <w:sz w:val="16"/>
          <w:szCs w:val="16"/>
          <w:color w:val="auto"/>
        </w:rPr>
        <w:t>Take the North Airport exit to IH-635E. Take IH-635E to the Greenville Avenue exit. Turn right (South) on Greenville. Turn right</w:t>
      </w:r>
      <w:r>
        <w:rPr>
          <w:rFonts w:ascii="Arial" w:cs="Arial" w:eastAsia="Arial" w:hAnsi="Arial"/>
          <w:sz w:val="16"/>
          <w:szCs w:val="16"/>
          <w:b w:val="1"/>
          <w:bCs w:val="1"/>
          <w:color w:val="auto"/>
        </w:rPr>
        <w:t xml:space="preserve"> </w:t>
      </w:r>
      <w:r>
        <w:rPr>
          <w:rFonts w:ascii="Arial" w:cs="Arial" w:eastAsia="Arial" w:hAnsi="Arial"/>
          <w:sz w:val="16"/>
          <w:szCs w:val="16"/>
          <w:color w:val="auto"/>
        </w:rPr>
        <w:t>(West) on Forest Lane. Texas Instruments will be on your right at the second traffic light. Please use the North entrance to the building.</w:t>
      </w:r>
    </w:p>
    <w:p>
      <w:pPr>
        <w:spacing w:after="0" w:line="128" w:lineRule="exact"/>
        <w:rPr>
          <w:sz w:val="20"/>
          <w:szCs w:val="20"/>
          <w:color w:val="auto"/>
        </w:rPr>
      </w:pPr>
    </w:p>
    <w:p>
      <w:pPr>
        <w:jc w:val="both"/>
        <w:ind w:left="280" w:right="100"/>
        <w:spacing w:after="0" w:line="262" w:lineRule="auto"/>
        <w:rPr>
          <w:sz w:val="20"/>
          <w:szCs w:val="20"/>
          <w:color w:val="auto"/>
        </w:rPr>
      </w:pPr>
      <w:r>
        <w:rPr>
          <w:rFonts w:ascii="Arial" w:cs="Arial" w:eastAsia="Arial" w:hAnsi="Arial"/>
          <w:sz w:val="18"/>
          <w:szCs w:val="18"/>
          <w:b w:val="1"/>
          <w:bCs w:val="1"/>
          <w:color w:val="auto"/>
        </w:rPr>
        <w:t xml:space="preserve">From Love Field Airport: </w:t>
      </w:r>
      <w:r>
        <w:rPr>
          <w:rFonts w:ascii="Arial" w:cs="Arial" w:eastAsia="Arial" w:hAnsi="Arial"/>
          <w:sz w:val="18"/>
          <w:szCs w:val="18"/>
          <w:color w:val="auto"/>
        </w:rPr>
        <w:t>Take Mockingbird Lane East to US-75N (Central Expressway). Travel North on 75N to the Forest Lane exit. Turn right (East)</w:t>
      </w:r>
      <w:r>
        <w:rPr>
          <w:rFonts w:ascii="Arial" w:cs="Arial" w:eastAsia="Arial" w:hAnsi="Arial"/>
          <w:sz w:val="18"/>
          <w:szCs w:val="18"/>
          <w:b w:val="1"/>
          <w:bCs w:val="1"/>
          <w:color w:val="auto"/>
        </w:rPr>
        <w:t xml:space="preserve"> </w:t>
      </w:r>
      <w:r>
        <w:rPr>
          <w:rFonts w:ascii="Arial" w:cs="Arial" w:eastAsia="Arial" w:hAnsi="Arial"/>
          <w:sz w:val="18"/>
          <w:szCs w:val="18"/>
          <w:color w:val="auto"/>
        </w:rPr>
        <w:t>on Forest Lane. You will pass two traffic lights. At the third light, the entrance to Texas Instruments will be on your left. Please use the North entrance to the building.</w:t>
      </w:r>
    </w:p>
    <w:p>
      <w:pPr>
        <w:sectPr>
          <w:pgSz w:w="11900" w:h="16913" w:orient="portrait"/>
          <w:cols w:equalWidth="0" w:num="1">
            <w:col w:w="11380"/>
          </w:cols>
          <w:pgMar w:left="240" w:top="125" w:right="279" w:bottom="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Parking</w:t>
      </w:r>
    </w:p>
    <w:p>
      <w:pPr>
        <w:spacing w:after="0" w:line="23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There will be reserved parking for all visitors at the North Lobby. Visitors with special needs requiring assistance will be accommodated at the South Lobby entrance.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23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Please be advised that TI’s security policy forbids weapons, cameras and audio/video recording devices inside TI buildings. All bags will be subject to search upon entry into the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469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4699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501015</wp:posOffset>
            </wp:positionV>
            <wp:extent cx="1603375" cy="548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0337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APRIL 20, 2006</w:t>
      </w:r>
    </w:p>
    <w:p>
      <w:pPr>
        <w:spacing w:after="0" w:line="273"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You are cordially invited to attend the 2006 annual meeting of stockholders on Thursday, April 20, 2006, at the cafeteria on our property at 12500 TI Boulevard, Dallas, Texas, at 10:00 a.m. (Dallas time). At the meeting, we will consider the election of directors, the ratification of the appointment of Ernst &amp; Young LLP as the Company's independent registered public accounting firm for 2006 and such other matters as may properly come before the meeting.</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Electronic Delivery of Proxy Materials</w:t>
      </w:r>
    </w:p>
    <w:p>
      <w:pPr>
        <w:spacing w:after="0" w:line="28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We are pleased to offer stockholders the opportunity to receive future proxy mailings by e-mail. To request electronic delivery, please vote via the Internet at www.proxyvote.com and, when prompted, enroll to receive proxy materials electronically in future years.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PROXY FOR ANNUAL MEETING TO BE HELD APRIL 20, 2006</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3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The undersigned hereby appoints JAMES R. ADAMS, DAVID L. BOREN, THOMAS J. ENGIBOUS, WAYNE R. SANDERS, or any one or more of them, the true and lawful attorneys of the undersigned with power of substitution, to vote as proxies for the undersigned at the annual meeting of stockholders of Texas Instruments Incorporated to be held in Dallas, Texas, on April 20, 2006, at 10:00 a.m. (Dallas time) and at any or all adjournments thereof, according to the number of shares of common stock that the undersigned would be entitled to vote if then personally present, in the election of directors and upon the board proposal and other matters properly coming before the meeting. </w:t>
      </w:r>
      <w:r>
        <w:rPr>
          <w:rFonts w:ascii="Arial" w:cs="Arial" w:eastAsia="Arial" w:hAnsi="Arial"/>
          <w:sz w:val="16"/>
          <w:szCs w:val="16"/>
          <w:b w:val="1"/>
          <w:bCs w:val="1"/>
          <w:color w:val="auto"/>
        </w:rPr>
        <w:t>If no contrary indication is made, this proxy will be voted FOR the election of each director</w:t>
      </w:r>
      <w:r>
        <w:rPr>
          <w:rFonts w:ascii="Arial" w:cs="Arial" w:eastAsia="Arial" w:hAnsi="Arial"/>
          <w:sz w:val="16"/>
          <w:szCs w:val="16"/>
          <w:color w:val="auto"/>
        </w:rPr>
        <w:t xml:space="preserve"> </w:t>
      </w:r>
      <w:r>
        <w:rPr>
          <w:rFonts w:ascii="Arial" w:cs="Arial" w:eastAsia="Arial" w:hAnsi="Arial"/>
          <w:sz w:val="16"/>
          <w:szCs w:val="16"/>
          <w:b w:val="1"/>
          <w:bCs w:val="1"/>
          <w:color w:val="auto"/>
        </w:rPr>
        <w:t>nominee and the board proposal</w:t>
      </w:r>
      <w:r>
        <w:rPr>
          <w:rFonts w:ascii="Arial" w:cs="Arial" w:eastAsia="Arial" w:hAnsi="Arial"/>
          <w:sz w:val="16"/>
          <w:szCs w:val="16"/>
          <w:color w:val="auto"/>
        </w:rPr>
        <w:t>. If other matters come before the meeting, this proxy will be voted in the discretion of the named proxies.</w:t>
      </w:r>
    </w:p>
    <w:p>
      <w:pPr>
        <w:spacing w:after="0" w:line="13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Should you have an account in the TI Contribution and 401(k) Savings Plan or the TI 401(k) Savings Plan, this proxy represents the number of TI shares allocable to that plan account as well as other shares registered in your name. As a “named fiduciary” under the plans for TI shares allocable to that plan account and for shares for which no voting instructions are received, this proxy will serve as voting instructions for The Northern Trust Company, trustee for the TI 401(k) Plans, or its designee. The plans provide that the trustee will vote each participant's shares in accordance with the participant's instructions. If the trustee does not receive voting instructions for TI shares under the plans by April 17, 2006, those shares will be voted, in accordance with the terms of the plans, in the same proportion as the shares for which voting instructions have been received. If other matters come before the meeting, the named proxies will vote plan shares on those matters in their discretion.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 On the reverse side of this card are procedures on how to vote the shares.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Please consider voting by Internet or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469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469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1603375" cy="548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0337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ATTN: JANE NAHRA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7839 CHURCHILL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 3999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DALLAS, TX 75251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registered shares, your proxy must be received by 11:59 P.M. (Eastern Daylight Time) on </w:t>
      </w:r>
      <w:r>
        <w:rPr>
          <w:rFonts w:ascii="Arial" w:cs="Arial" w:eastAsia="Arial" w:hAnsi="Arial"/>
          <w:sz w:val="18"/>
          <w:szCs w:val="18"/>
          <w:b w:val="1"/>
          <w:bCs w:val="1"/>
          <w:i w:val="1"/>
          <w:iCs w:val="1"/>
          <w:color w:val="auto"/>
        </w:rPr>
        <w:t>April 19, 200</w:t>
      </w:r>
      <w:r>
        <w:rPr>
          <w:rFonts w:ascii="Arial" w:cs="Arial" w:eastAsia="Arial" w:hAnsi="Arial"/>
          <w:sz w:val="18"/>
          <w:szCs w:val="18"/>
          <w:b w:val="1"/>
          <w:bCs w:val="1"/>
          <w:color w:val="auto"/>
        </w:rPr>
        <w:t>6</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shares allocable to a benefit plan account, your proxy must be received by 11:59 P.M. (Eastern Daylight Time) on </w:t>
      </w:r>
      <w:r>
        <w:rPr>
          <w:rFonts w:ascii="Arial" w:cs="Arial" w:eastAsia="Arial" w:hAnsi="Arial"/>
          <w:sz w:val="18"/>
          <w:szCs w:val="18"/>
          <w:b w:val="1"/>
          <w:bCs w:val="1"/>
          <w:i w:val="1"/>
          <w:iCs w:val="1"/>
          <w:color w:val="auto"/>
        </w:rPr>
        <w:t>April 17, 2006</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INTERNET -</w:t>
      </w:r>
      <w:r>
        <w:rPr>
          <w:rFonts w:ascii="Arial" w:cs="Arial" w:eastAsia="Arial" w:hAnsi="Arial"/>
          <w:sz w:val="18"/>
          <w:szCs w:val="18"/>
          <w:b w:val="1"/>
          <w:bCs w:val="1"/>
          <w:u w:val="single" w:color="auto"/>
          <w:color w:val="auto"/>
        </w:rPr>
        <w:t>www.proxyvote.com</w:t>
      </w:r>
    </w:p>
    <w:p>
      <w:pPr>
        <w:sectPr>
          <w:pgSz w:w="11900" w:h="16838" w:orient="portrait"/>
          <w:cols w:equalWidth="0" w:num="1">
            <w:col w:w="11420"/>
          </w:cols>
          <w:pgMar w:left="240" w:top="125" w:right="239" w:bottom="158" w:gutter="0" w:footer="0" w:header="0"/>
        </w:sectPr>
      </w:pPr>
    </w:p>
    <w:bookmarkStart w:id="23" w:name="page24"/>
    <w:bookmarkEnd w:id="23"/>
    <w:p>
      <w:pPr>
        <w:spacing w:after="0" w:line="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Use the Internet to transmit your voting instructions and to view the proxy materials electronically. Have your proxy card in hand when you access the web site and follow the instructions to obtain your records and to create an electronic voting instruction form.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PHONE - 1-800-690-6903</w:t>
      </w:r>
    </w:p>
    <w:p>
      <w:pPr>
        <w:spacing w:after="0" w:line="202" w:lineRule="exact"/>
        <w:rPr>
          <w:sz w:val="20"/>
          <w:szCs w:val="20"/>
          <w:color w:val="auto"/>
        </w:rPr>
      </w:pPr>
    </w:p>
    <w:p>
      <w:pPr>
        <w:ind w:right="1020"/>
        <w:spacing w:after="0" w:line="454" w:lineRule="auto"/>
        <w:rPr>
          <w:sz w:val="20"/>
          <w:szCs w:val="20"/>
          <w:color w:val="auto"/>
        </w:rPr>
      </w:pPr>
      <w:r>
        <w:rPr>
          <w:rFonts w:ascii="Arial" w:cs="Arial" w:eastAsia="Arial" w:hAnsi="Arial"/>
          <w:sz w:val="18"/>
          <w:szCs w:val="18"/>
          <w:color w:val="auto"/>
        </w:rPr>
        <w:t xml:space="preserve">Use any touch-tone telephone to transmit your voting instructions. Have your proxy card in hand when you call and then follow the instructions. </w:t>
      </w:r>
      <w:r>
        <w:rPr>
          <w:rFonts w:ascii="Arial" w:cs="Arial" w:eastAsia="Arial" w:hAnsi="Arial"/>
          <w:sz w:val="18"/>
          <w:szCs w:val="18"/>
          <w:b w:val="1"/>
          <w:bCs w:val="1"/>
          <w:color w:val="auto"/>
        </w:rPr>
        <w:t>VOTE BY MAIL</w:t>
      </w:r>
    </w:p>
    <w:p>
      <w:pPr>
        <w:ind w:right="140"/>
        <w:spacing w:after="0" w:line="277" w:lineRule="auto"/>
        <w:rPr>
          <w:sz w:val="20"/>
          <w:szCs w:val="20"/>
          <w:color w:val="auto"/>
        </w:rPr>
      </w:pPr>
      <w:r>
        <w:rPr>
          <w:rFonts w:ascii="Arial" w:cs="Arial" w:eastAsia="Arial" w:hAnsi="Arial"/>
          <w:sz w:val="18"/>
          <w:szCs w:val="18"/>
          <w:color w:val="auto"/>
        </w:rPr>
        <w:t>Mark, sign and date your proxy card and return it in the postage-paid envelope we have provided or return it to Texas Instruments Incorporated, c/o ADP, 51 Mercedes Way, Edgewood, NY 11717.</w:t>
      </w:r>
    </w:p>
    <w:p>
      <w:pPr>
        <w:sectPr>
          <w:pgSz w:w="11900" w:h="16859"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TEXAS1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KEEP THIS PORTION FOR YOUR RECORDS</w:t>
      </w:r>
    </w:p>
    <w:p>
      <w:pPr>
        <w:spacing w:after="0" w:line="92" w:lineRule="exact"/>
        <w:rPr>
          <w:sz w:val="20"/>
          <w:szCs w:val="20"/>
          <w:color w:val="auto"/>
        </w:rPr>
      </w:pPr>
    </w:p>
    <w:p>
      <w:pPr>
        <w:sectPr>
          <w:pgSz w:w="11900" w:h="16859" w:orient="portrait"/>
          <w:cols w:equalWidth="0" w:num="3">
            <w:col w:w="5040" w:space="720"/>
            <w:col w:w="2080" w:space="720"/>
            <w:col w:w="2860"/>
          </w:cols>
          <w:pgMar w:left="240" w:top="125" w:right="239" w:bottom="0" w:gutter="0" w:footer="0" w:header="0"/>
          <w:type w:val="continuous"/>
        </w:sectPr>
      </w:pPr>
    </w:p>
    <w:p>
      <w:pPr>
        <w:spacing w:after="0"/>
        <w:rPr>
          <w:sz w:val="20"/>
          <w:szCs w:val="20"/>
          <w:color w:val="auto"/>
        </w:rPr>
      </w:pPr>
      <w:r>
        <w:rPr>
          <w:rFonts w:ascii="Arial" w:cs="Arial" w:eastAsia="Arial" w:hAnsi="Arial"/>
          <w:sz w:val="12"/>
          <w:szCs w:val="12"/>
          <w:color w:val="auto"/>
        </w:rPr>
        <w:t>BLUE OR BLACK INK AS FOLLOWS: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DETACH AND RETURN THIS PORTION ONLY</w:t>
      </w:r>
    </w:p>
    <w:p>
      <w:pPr>
        <w:spacing w:after="0" w:line="182" w:lineRule="exact"/>
        <w:rPr>
          <w:sz w:val="20"/>
          <w:szCs w:val="20"/>
          <w:color w:val="auto"/>
        </w:rPr>
      </w:pPr>
    </w:p>
    <w:p>
      <w:pPr>
        <w:sectPr>
          <w:pgSz w:w="11900" w:h="16859" w:orient="portrait"/>
          <w:cols w:equalWidth="0" w:num="2">
            <w:col w:w="7840" w:space="720"/>
            <w:col w:w="2860"/>
          </w:cols>
          <w:pgMar w:left="240" w:top="125"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THIS PROXY CARD IS VALID ONLY WHEN SIGNED AND DATED.</w:t>
      </w:r>
    </w:p>
    <w:p>
      <w:pPr>
        <w:sectPr>
          <w:pgSz w:w="11900" w:h="16859" w:orient="portrait"/>
          <w:cols w:equalWidth="0" w:num="1">
            <w:col w:w="11420"/>
          </w:cols>
          <w:pgMar w:left="240" w:top="125" w:right="239" w:bottom="0" w:gutter="0" w:footer="0" w:header="0"/>
          <w:type w:val="continuous"/>
        </w:sectPr>
      </w:pP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TEXAS INSTRUMENTS INCORPORATED</w:t>
      </w:r>
    </w:p>
    <w:p>
      <w:pPr>
        <w:spacing w:after="0" w:line="229" w:lineRule="exact"/>
        <w:rPr>
          <w:sz w:val="20"/>
          <w:szCs w:val="20"/>
          <w:color w:val="auto"/>
        </w:rPr>
      </w:pPr>
    </w:p>
    <w:p>
      <w:pPr>
        <w:ind w:right="1960"/>
        <w:spacing w:after="0" w:line="481" w:lineRule="auto"/>
        <w:rPr>
          <w:sz w:val="20"/>
          <w:szCs w:val="20"/>
          <w:color w:val="auto"/>
        </w:rPr>
      </w:pPr>
      <w:r>
        <w:rPr>
          <w:rFonts w:ascii="Arial" w:cs="Arial" w:eastAsia="Arial" w:hAnsi="Arial"/>
          <w:sz w:val="18"/>
          <w:szCs w:val="18"/>
          <w:color w:val="auto"/>
        </w:rPr>
        <w:t xml:space="preserve">The board of directors of Texas Instruments Incorporated recommends a vote FOR the election of directors and the board proposal. </w:t>
      </w:r>
      <w:r>
        <w:rPr>
          <w:rFonts w:ascii="Arial" w:cs="Arial" w:eastAsia="Arial" w:hAnsi="Arial"/>
          <w:sz w:val="18"/>
          <w:szCs w:val="18"/>
          <w:b w:val="1"/>
          <w:bCs w:val="1"/>
          <w:color w:val="auto"/>
        </w:rPr>
        <w:t>Election of Directors</w:t>
      </w:r>
    </w:p>
    <w:p>
      <w:pPr>
        <w:spacing w:after="0" w:line="183"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Election of Directors - </w:t>
      </w:r>
      <w:r>
        <w:rPr>
          <w:rFonts w:ascii="Arial" w:cs="Arial" w:eastAsia="Arial" w:hAnsi="Arial"/>
          <w:sz w:val="18"/>
          <w:szCs w:val="18"/>
          <w:i w:val="1"/>
          <w:iCs w:val="1"/>
          <w:color w:val="auto"/>
        </w:rPr>
        <w:t>Nominees:</w:t>
      </w:r>
    </w:p>
    <w:p>
      <w:pPr>
        <w:spacing w:after="0" w:line="2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01) J.R. Adams, 02) D.L. Boren, 03) D.A. Carp, 04) C.S. Cox, 05) T.J. Engibous, 06) G.W. Fronterhouse,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07) D.R. Goode, 08) P.H. Patsley, 09) W.R. Sanders, 10) R.J. Simmons, 11) R.K. Templeton, 12) C.T. Whitman</w:t>
      </w:r>
    </w:p>
    <w:p>
      <w:pPr>
        <w:spacing w:after="0" w:line="207" w:lineRule="exact"/>
        <w:rPr>
          <w:sz w:val="20"/>
          <w:szCs w:val="20"/>
          <w:color w:val="auto"/>
        </w:rPr>
      </w:pPr>
    </w:p>
    <w:tbl>
      <w:tblPr>
        <w:tblLayout w:type="fixed"/>
        <w:tblInd w:w="4340" w:type="dxa"/>
        <w:tblCellMar>
          <w:top w:w="0" w:type="dxa"/>
          <w:left w:w="0" w:type="dxa"/>
          <w:bottom w:w="0" w:type="dxa"/>
          <w:right w:w="0" w:type="dxa"/>
        </w:tblCellMar>
      </w:tblPr>
      <w:tr>
        <w:trPr>
          <w:trHeight w:val="216"/>
        </w:trPr>
        <w:tc>
          <w:tcPr>
            <w:tcW w:w="600" w:type="dxa"/>
            <w:vAlign w:val="bottom"/>
          </w:tcPr>
          <w:p>
            <w:pPr>
              <w:jc w:val="center"/>
              <w:ind w:right="230"/>
              <w:spacing w:after="0"/>
              <w:rPr>
                <w:sz w:val="20"/>
                <w:szCs w:val="20"/>
                <w:color w:val="auto"/>
              </w:rPr>
            </w:pPr>
            <w:r>
              <w:rPr>
                <w:rFonts w:ascii="Arial" w:cs="Arial" w:eastAsia="Arial" w:hAnsi="Arial"/>
                <w:sz w:val="18"/>
                <w:szCs w:val="18"/>
                <w:b w:val="1"/>
                <w:bCs w:val="1"/>
                <w:color w:val="auto"/>
                <w:w w:val="96"/>
              </w:rPr>
              <w:t>For</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Withhold</w:t>
            </w:r>
          </w:p>
        </w:tc>
        <w:tc>
          <w:tcPr>
            <w:tcW w:w="800" w:type="dxa"/>
            <w:vAlign w:val="bottom"/>
          </w:tcPr>
          <w:p>
            <w:pPr>
              <w:jc w:val="center"/>
              <w:ind w:left="150"/>
              <w:spacing w:after="0"/>
              <w:rPr>
                <w:sz w:val="20"/>
                <w:szCs w:val="20"/>
                <w:color w:val="auto"/>
              </w:rPr>
            </w:pPr>
            <w:r>
              <w:rPr>
                <w:rFonts w:ascii="Arial" w:cs="Arial" w:eastAsia="Arial" w:hAnsi="Arial"/>
                <w:sz w:val="18"/>
                <w:szCs w:val="18"/>
                <w:b w:val="1"/>
                <w:bCs w:val="1"/>
                <w:color w:val="auto"/>
                <w:w w:val="98"/>
              </w:rPr>
              <w:t>For All</w:t>
            </w:r>
          </w:p>
        </w:tc>
      </w:tr>
      <w:tr>
        <w:trPr>
          <w:trHeight w:val="187"/>
        </w:trPr>
        <w:tc>
          <w:tcPr>
            <w:tcW w:w="600" w:type="dxa"/>
            <w:vAlign w:val="bottom"/>
          </w:tcPr>
          <w:p>
            <w:pPr>
              <w:jc w:val="center"/>
              <w:ind w:right="230"/>
              <w:spacing w:after="0" w:line="188" w:lineRule="exact"/>
              <w:rPr>
                <w:sz w:val="20"/>
                <w:szCs w:val="20"/>
                <w:color w:val="auto"/>
              </w:rPr>
            </w:pPr>
            <w:r>
              <w:rPr>
                <w:rFonts w:ascii="Arial" w:cs="Arial" w:eastAsia="Arial" w:hAnsi="Arial"/>
                <w:sz w:val="18"/>
                <w:szCs w:val="18"/>
                <w:b w:val="1"/>
                <w:bCs w:val="1"/>
                <w:color w:val="auto"/>
              </w:rPr>
              <w:t>All</w:t>
            </w:r>
          </w:p>
        </w:tc>
        <w:tc>
          <w:tcPr>
            <w:tcW w:w="1280" w:type="dxa"/>
            <w:vAlign w:val="bottom"/>
          </w:tcPr>
          <w:p>
            <w:pPr>
              <w:jc w:val="center"/>
              <w:spacing w:after="0" w:line="188" w:lineRule="exact"/>
              <w:rPr>
                <w:sz w:val="20"/>
                <w:szCs w:val="20"/>
                <w:color w:val="auto"/>
              </w:rPr>
            </w:pPr>
            <w:r>
              <w:rPr>
                <w:rFonts w:ascii="Arial" w:cs="Arial" w:eastAsia="Arial" w:hAnsi="Arial"/>
                <w:sz w:val="18"/>
                <w:szCs w:val="18"/>
                <w:b w:val="1"/>
                <w:bCs w:val="1"/>
                <w:color w:val="auto"/>
                <w:w w:val="95"/>
              </w:rPr>
              <w:t>All</w:t>
            </w:r>
          </w:p>
        </w:tc>
        <w:tc>
          <w:tcPr>
            <w:tcW w:w="800" w:type="dxa"/>
            <w:vAlign w:val="bottom"/>
          </w:tcPr>
          <w:p>
            <w:pPr>
              <w:jc w:val="center"/>
              <w:ind w:left="170"/>
              <w:spacing w:after="0" w:line="188" w:lineRule="exact"/>
              <w:rPr>
                <w:sz w:val="20"/>
                <w:szCs w:val="20"/>
                <w:color w:val="auto"/>
              </w:rPr>
            </w:pPr>
            <w:r>
              <w:rPr>
                <w:rFonts w:ascii="Arial" w:cs="Arial" w:eastAsia="Arial" w:hAnsi="Arial"/>
                <w:sz w:val="18"/>
                <w:szCs w:val="18"/>
                <w:b w:val="1"/>
                <w:bCs w:val="1"/>
                <w:color w:val="auto"/>
                <w:w w:val="91"/>
              </w:rPr>
              <w:t>Except</w:t>
            </w:r>
          </w:p>
        </w:tc>
      </w:tr>
      <w:tr>
        <w:trPr>
          <w:trHeight w:val="283"/>
        </w:trPr>
        <w:tc>
          <w:tcPr>
            <w:tcW w:w="600" w:type="dxa"/>
            <w:vAlign w:val="bottom"/>
          </w:tcPr>
          <w:p>
            <w:pPr>
              <w:jc w:val="center"/>
              <w:ind w:right="230"/>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00" w:type="dxa"/>
            <w:vAlign w:val="bottom"/>
          </w:tcPr>
          <w:p>
            <w:pPr>
              <w:jc w:val="center"/>
              <w:ind w:left="15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4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 vote against all nominees, mark “Withhold All”. To vote against any individual nominee(s), mark “For All Except” and write the nominee’s number on the line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69037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on Proposal</w:t>
      </w:r>
    </w:p>
    <w:p>
      <w:pPr>
        <w:spacing w:after="0" w:line="200" w:lineRule="exact"/>
        <w:rPr>
          <w:sz w:val="20"/>
          <w:szCs w:val="20"/>
          <w:color w:val="auto"/>
        </w:rPr>
      </w:pPr>
    </w:p>
    <w:p>
      <w:pPr>
        <w:spacing w:after="0" w:line="205"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Board proposal to ratify the appointment of Ernst &amp;Young LLP as the Company’s independent registered public accounting firm for 2006.</w:t>
      </w:r>
    </w:p>
    <w:p>
      <w:pPr>
        <w:spacing w:after="0" w:line="221" w:lineRule="exact"/>
        <w:rPr>
          <w:sz w:val="20"/>
          <w:szCs w:val="20"/>
          <w:color w:val="auto"/>
        </w:rPr>
      </w:pPr>
    </w:p>
    <w:p>
      <w:pPr>
        <w:ind w:left="4340"/>
        <w:spacing w:after="0"/>
        <w:tabs>
          <w:tab w:leader="none" w:pos="5300" w:val="left"/>
          <w:tab w:leader="none" w:pos="642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6"/>
          <w:szCs w:val="16"/>
          <w:b w:val="1"/>
          <w:bCs w:val="1"/>
          <w:color w:val="auto"/>
        </w:rPr>
        <w:t>Abstain</w:t>
      </w:r>
    </w:p>
    <w:p>
      <w:pPr>
        <w:spacing w:after="0" w:line="22" w:lineRule="exact"/>
        <w:rPr>
          <w:sz w:val="20"/>
          <w:szCs w:val="20"/>
          <w:color w:val="auto"/>
        </w:rPr>
      </w:pPr>
    </w:p>
    <w:p>
      <w:pPr>
        <w:ind w:left="4400"/>
        <w:spacing w:after="0" w:line="181" w:lineRule="exact"/>
        <w:tabs>
          <w:tab w:leader="none" w:pos="5500" w:val="left"/>
          <w:tab w:leader="none" w:pos="66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69037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4000" w:val="left"/>
          <w:tab w:leader="none" w:pos="5720" w:val="left"/>
          <w:tab w:leader="none" w:pos="9700" w:val="left"/>
        </w:tabs>
        <w:rPr>
          <w:sz w:val="20"/>
          <w:szCs w:val="20"/>
          <w:color w:val="auto"/>
        </w:rPr>
      </w:pPr>
      <w:r>
        <w:rPr>
          <w:rFonts w:ascii="Arial" w:cs="Arial" w:eastAsia="Arial" w:hAnsi="Arial"/>
          <w:sz w:val="18"/>
          <w:szCs w:val="18"/>
          <w:color w:val="auto"/>
        </w:rPr>
        <w:t>Signature [PLEASE SIGN WITHIN BOX]</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 (Joint Owners)</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NOTICE OF ANNUAL MEETING OF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April 20, 2006</w:t>
      </w:r>
    </w:p>
    <w:p>
      <w:pPr>
        <w:spacing w:after="0" w:line="18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You are cordially invited to attend the 2006 annual meeting of stockholders on Thursday, April 20, 2006, at the cafeteria on our property at 12500 TI Boulevard, Dallas, Texas, at 10:00 a.m. (Dallas time). At the meeting, we will consider the election of directors, a board proposal to ratify the appointment of Ernst &amp; Young LLP as the Company’s independent registered public accounting firm for 2006 and such other matters as may properly come before the meeting.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You are enrolled to receive stockholder communications on the Internet.</w:t>
      </w:r>
    </w:p>
    <w:p>
      <w:pPr>
        <w:spacing w:after="0" w:line="1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This e-mail contains instructions for accessing TI’s 2006 Proxy Statement and Annual Report for 2005 and for voting your shares. Please read the instructions carefully before proceeding.</w:t>
      </w:r>
    </w:p>
    <w:p>
      <w:pPr>
        <w:spacing w:after="0" w:line="15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VOTING YOUR SHARES AND VIEWING THE PROXY MATERIALS- Please review the Proxy Statement and Annual Report before voting. The Proxy Statement discusses the proposal to be voted on.</w:t>
      </w:r>
    </w:p>
    <w:p>
      <w:pPr>
        <w:spacing w:after="0" w:line="14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You can enter your voting instructions and view the shareholder material at the following Internet site. If your browser supports secure transactions you will be automatically directed to a secure site.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http://www.proxyvote.com/0012345678901</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Registered shares must be voted by 11:59 p.m. (Eastern Daylight Time) on April 19, 2006. Shares allocable to a TI benefit plan must be voted by 11:59 p.m.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(Eastern Daylight Time) on April 17, 2006.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To enter your vote you will need the following: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CONTROL NUMBER: 012345678901</w:t>
      </w:r>
    </w:p>
    <w:p>
      <w:pPr>
        <w:sectPr>
          <w:pgSz w:w="11900" w:h="16859" w:orient="portrait"/>
          <w:cols w:equalWidth="0" w:num="1">
            <w:col w:w="11420"/>
          </w:cols>
          <w:pgMar w:left="240" w:top="125" w:right="239" w:bottom="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color w:val="auto"/>
        </w:rPr>
        <w:t>YOUR 4-DIGIT PIN NUMBER</w:t>
      </w:r>
    </w:p>
    <w:p>
      <w:pPr>
        <w:spacing w:after="0" w:line="18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If you are a TI employee-stockholder, your PIN is the last 4 digits of your Social Security Number (unless you have taken steps to change your PIN). For other stockholders, your PIN is the 4-digit PIN you enrolled with at the time you elected to receive electronic delivery (unless you have taken steps to change your PIN).</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If you would like to cancel your enrollment, or change your e-mail address or PIN, please go to </w:t>
      </w:r>
      <w:r>
        <w:rPr>
          <w:rFonts w:ascii="Arial" w:cs="Arial" w:eastAsia="Arial" w:hAnsi="Arial"/>
          <w:sz w:val="18"/>
          <w:szCs w:val="18"/>
          <w:u w:val="single" w:color="auto"/>
          <w:color w:val="auto"/>
        </w:rPr>
        <w:t>http://www.InvestorDelivery.com</w:t>
      </w:r>
      <w:r>
        <w:rPr>
          <w:rFonts w:ascii="Arial" w:cs="Arial" w:eastAsia="Arial" w:hAnsi="Arial"/>
          <w:sz w:val="18"/>
          <w:szCs w:val="18"/>
          <w:color w:val="auto"/>
        </w:rPr>
        <w:t xml:space="preserve">. You will need the enrollment number below, and your four-digit PIN. If you have forgotten your PIN, you can have it sent to your enrolled e-mail address by going to </w:t>
      </w:r>
      <w:r>
        <w:rPr>
          <w:rFonts w:ascii="Arial" w:cs="Arial" w:eastAsia="Arial" w:hAnsi="Arial"/>
          <w:sz w:val="18"/>
          <w:szCs w:val="18"/>
          <w:u w:val="single" w:color="auto"/>
          <w:color w:val="auto"/>
        </w:rPr>
        <w:t>http://www.InvestorDelivery.com</w:t>
      </w:r>
    </w:p>
    <w:p>
      <w:pPr>
        <w:spacing w:after="0" w:line="154" w:lineRule="exact"/>
        <w:rPr>
          <w:sz w:val="20"/>
          <w:szCs w:val="20"/>
          <w:color w:val="auto"/>
        </w:rPr>
      </w:pPr>
    </w:p>
    <w:p>
      <w:pPr>
        <w:spacing w:after="0"/>
        <w:tabs>
          <w:tab w:leader="none" w:pos="3440" w:val="left"/>
        </w:tabs>
        <w:rPr>
          <w:sz w:val="20"/>
          <w:szCs w:val="20"/>
          <w:color w:val="auto"/>
        </w:rPr>
      </w:pPr>
      <w:r>
        <w:rPr>
          <w:rFonts w:ascii="Arial" w:cs="Arial" w:eastAsia="Arial" w:hAnsi="Arial"/>
          <w:sz w:val="18"/>
          <w:szCs w:val="18"/>
          <w:color w:val="auto"/>
        </w:rPr>
        <w:t>Your InvestorDelivery Enrollment Number is:</w:t>
      </w:r>
      <w:r>
        <w:rPr>
          <w:sz w:val="20"/>
          <w:szCs w:val="20"/>
          <w:color w:val="auto"/>
        </w:rPr>
        <w:tab/>
      </w:r>
      <w:r>
        <w:rPr>
          <w:rFonts w:ascii="Arial" w:cs="Arial" w:eastAsia="Arial" w:hAnsi="Arial"/>
          <w:sz w:val="16"/>
          <w:szCs w:val="16"/>
          <w:color w:val="auto"/>
        </w:rPr>
        <w:t>M012345678901</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e-mail covers TI shares registered directly in your name and TI shares allocable to employee benefit plan(s). If you receive more than one e-mail or a proxy card in addition to this e-mail, it generally means that your holdings include other names or different spellings of your name, and you must vote under all e-mails and any proxy cards to vote all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50430" cy="469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You may also view the proxy materials 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http://www.ti.com/corp/docs/investor/reportsproxiesfilings.shtml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To view the proxy materials, you may need Adobe Acrobat Reader, which is available at the following Internet site: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http://www.adobe.com/products/acrobat/readstep2.html</w:t>
      </w:r>
    </w:p>
    <w:p>
      <w:pPr>
        <w:spacing w:after="0" w:line="17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There are no charges for any of the services referenced herein. There may be costs associated with electronic access, such as usage charges from Internet access providers and telephone companies, that must be borne by the stockholder.</w:t>
      </w:r>
    </w:p>
    <w:p>
      <w:pPr>
        <w:spacing w:after="0" w:line="14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PAPER COPIES — You may receive paper copies of the Proxy Statement and Annual Report by calling Investor Relations at (972) 995-3773 or by writing to Texas Instruments Incorporated, P.O. Box 660199, MS 8657, Dallas, TX 75266-0199, Attn: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6188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361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Dear Texas Instruments Stockholder:</w:t>
      </w:r>
    </w:p>
    <w:p>
      <w:pPr>
        <w:spacing w:after="0" w:line="252" w:lineRule="exact"/>
        <w:rPr>
          <w:sz w:val="20"/>
          <w:szCs w:val="20"/>
          <w:color w:val="auto"/>
        </w:rPr>
      </w:pPr>
    </w:p>
    <w:p>
      <w:pPr>
        <w:ind w:left="360" w:right="680"/>
        <w:spacing w:after="0" w:line="370" w:lineRule="auto"/>
        <w:rPr>
          <w:sz w:val="20"/>
          <w:szCs w:val="20"/>
          <w:color w:val="auto"/>
        </w:rPr>
      </w:pPr>
      <w:r>
        <w:rPr>
          <w:rFonts w:ascii="Arial" w:cs="Arial" w:eastAsia="Arial" w:hAnsi="Arial"/>
          <w:sz w:val="15"/>
          <w:szCs w:val="15"/>
          <w:color w:val="auto"/>
        </w:rPr>
        <w:t>You are enrolled to view the Texas Instruments 2006 Proxy Statement and the 2005 Annual Report (which includes the 2005 audited financial statements) over the Internet instead of receiving copies in the mail. You can now access these materials over the Internet at the following address:</w:t>
      </w: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http://www.ti.com/corp/docs/investor/arprox06.shtml</w:t>
      </w:r>
    </w:p>
    <w:p>
      <w:pPr>
        <w:spacing w:after="0" w:line="185" w:lineRule="exact"/>
        <w:rPr>
          <w:sz w:val="20"/>
          <w:szCs w:val="20"/>
          <w:color w:val="auto"/>
        </w:rPr>
      </w:pPr>
    </w:p>
    <w:p>
      <w:pPr>
        <w:ind w:left="360" w:right="480"/>
        <w:spacing w:after="0" w:line="268" w:lineRule="auto"/>
        <w:rPr>
          <w:sz w:val="20"/>
          <w:szCs w:val="20"/>
          <w:color w:val="auto"/>
        </w:rPr>
      </w:pPr>
      <w:r>
        <w:rPr>
          <w:rFonts w:ascii="Arial" w:cs="Arial" w:eastAsia="Arial" w:hAnsi="Arial"/>
          <w:sz w:val="18"/>
          <w:szCs w:val="18"/>
          <w:color w:val="auto"/>
        </w:rPr>
        <w:t>You can also view the Proxy Statement and Annual Report, vote your shares and enroll to receive these materials electronically in future years, at the following address:</w:t>
      </w: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http://www.proxyvote.com</w:t>
      </w:r>
    </w:p>
    <w:p>
      <w:pPr>
        <w:spacing w:after="0" w:line="185" w:lineRule="exact"/>
        <w:rPr>
          <w:sz w:val="20"/>
          <w:szCs w:val="20"/>
          <w:color w:val="auto"/>
        </w:rPr>
      </w:pPr>
    </w:p>
    <w:p>
      <w:pPr>
        <w:ind w:left="360" w:right="400"/>
        <w:spacing w:after="0" w:line="268" w:lineRule="auto"/>
        <w:rPr>
          <w:sz w:val="20"/>
          <w:szCs w:val="20"/>
          <w:color w:val="auto"/>
        </w:rPr>
      </w:pPr>
      <w:r>
        <w:rPr>
          <w:rFonts w:ascii="Arial" w:cs="Arial" w:eastAsia="Arial" w:hAnsi="Arial"/>
          <w:sz w:val="18"/>
          <w:szCs w:val="18"/>
          <w:color w:val="auto"/>
        </w:rPr>
        <w:t>You may vote over the Internet, by telephone or by returning a properly executed proxy card. See the Proxy Statement and the enclosed proxy card for additional information about the voting procedures.</w:t>
      </w:r>
    </w:p>
    <w:p>
      <w:pPr>
        <w:spacing w:after="0" w:line="186" w:lineRule="exact"/>
        <w:rPr>
          <w:sz w:val="20"/>
          <w:szCs w:val="20"/>
          <w:color w:val="auto"/>
        </w:rPr>
      </w:pPr>
    </w:p>
    <w:p>
      <w:pPr>
        <w:ind w:left="360" w:right="680"/>
        <w:spacing w:after="0" w:line="332" w:lineRule="auto"/>
        <w:rPr>
          <w:sz w:val="20"/>
          <w:szCs w:val="20"/>
          <w:color w:val="auto"/>
        </w:rPr>
      </w:pPr>
      <w:r>
        <w:rPr>
          <w:rFonts w:ascii="Arial" w:cs="Arial" w:eastAsia="Arial" w:hAnsi="Arial"/>
          <w:sz w:val="16"/>
          <w:szCs w:val="16"/>
          <w:color w:val="auto"/>
        </w:rPr>
        <w:t>You may receive paper copies of the 2006 Proxy Statement and 2005 Annual Report by calling Texas Instruments Investor Relations at (972) 995-3773 or by writing to Texas Instruments Investor Relations, P.O. Box 660199, MS 8657, Dallas, TX 75266-0199.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250430" cy="469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366"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6720" w:type="dxa"/>
            <w:vAlign w:val="bottom"/>
            <w:vMerge w:val="restart"/>
          </w:tcPr>
          <w:p>
            <w:pPr>
              <w:spacing w:after="0"/>
              <w:rPr>
                <w:sz w:val="20"/>
                <w:szCs w:val="20"/>
                <w:color w:val="auto"/>
              </w:rPr>
            </w:pPr>
            <w:r>
              <w:rPr>
                <w:rFonts w:ascii="Arial" w:cs="Arial" w:eastAsia="Arial" w:hAnsi="Arial"/>
                <w:sz w:val="43"/>
                <w:szCs w:val="43"/>
                <w:color w:val="auto"/>
              </w:rPr>
              <w:t>ProxyVote</w:t>
            </w:r>
            <w:r>
              <w:rPr>
                <w:rFonts w:ascii="Arial" w:cs="Arial" w:eastAsia="Arial" w:hAnsi="Arial"/>
                <w:sz w:val="14"/>
                <w:szCs w:val="14"/>
                <w:color w:val="auto"/>
              </w:rPr>
              <w:t>®</w:t>
            </w:r>
          </w:p>
        </w:tc>
        <w:tc>
          <w:tcPr>
            <w:tcW w:w="3540" w:type="dxa"/>
            <w:vAlign w:val="bottom"/>
          </w:tcPr>
          <w:p>
            <w:pPr>
              <w:ind w:left="2280"/>
              <w:spacing w:after="0"/>
              <w:rPr>
                <w:sz w:val="20"/>
                <w:szCs w:val="20"/>
                <w:color w:val="auto"/>
              </w:rPr>
            </w:pPr>
            <w:r>
              <w:rPr>
                <w:rFonts w:ascii="Arial" w:cs="Arial" w:eastAsia="Arial" w:hAnsi="Arial"/>
                <w:sz w:val="18"/>
                <w:szCs w:val="18"/>
                <w:color w:val="auto"/>
              </w:rPr>
              <w:t>March 9, 2006</w:t>
            </w:r>
          </w:p>
        </w:tc>
        <w:tc>
          <w:tcPr>
            <w:tcW w:w="0" w:type="dxa"/>
            <w:vAlign w:val="bottom"/>
          </w:tcPr>
          <w:p>
            <w:pPr>
              <w:spacing w:after="0"/>
              <w:rPr>
                <w:sz w:val="1"/>
                <w:szCs w:val="1"/>
                <w:color w:val="auto"/>
              </w:rPr>
            </w:pPr>
          </w:p>
        </w:tc>
      </w:tr>
      <w:tr>
        <w:trPr>
          <w:trHeight w:val="333"/>
        </w:trPr>
        <w:tc>
          <w:tcPr>
            <w:tcW w:w="6720" w:type="dxa"/>
            <w:vAlign w:val="bottom"/>
            <w:vMerge w:val="continue"/>
          </w:tcPr>
          <w:p>
            <w:pPr>
              <w:spacing w:after="0"/>
              <w:rPr>
                <w:sz w:val="24"/>
                <w:szCs w:val="24"/>
                <w:color w:val="auto"/>
              </w:rPr>
            </w:pPr>
          </w:p>
        </w:tc>
        <w:tc>
          <w:tcPr>
            <w:tcW w:w="3540" w:type="dxa"/>
            <w:vAlign w:val="bottom"/>
          </w:tcPr>
          <w:p>
            <w:pPr>
              <w:ind w:left="1840"/>
              <w:spacing w:after="0"/>
              <w:rPr>
                <w:sz w:val="20"/>
                <w:szCs w:val="20"/>
                <w:color w:val="auto"/>
              </w:rPr>
            </w:pPr>
            <w:r>
              <w:rPr>
                <w:rFonts w:ascii="Arial" w:cs="Arial" w:eastAsia="Arial" w:hAnsi="Arial"/>
                <w:sz w:val="22"/>
                <w:szCs w:val="22"/>
                <w:b w:val="1"/>
                <w:bCs w:val="1"/>
                <w:color w:val="auto"/>
                <w:w w:val="90"/>
              </w:rPr>
              <w:t>Meeting Materials</w:t>
            </w:r>
          </w:p>
        </w:tc>
        <w:tc>
          <w:tcPr>
            <w:tcW w:w="0" w:type="dxa"/>
            <w:vAlign w:val="bottom"/>
          </w:tcPr>
          <w:p>
            <w:pPr>
              <w:spacing w:after="0"/>
              <w:rPr>
                <w:sz w:val="1"/>
                <w:szCs w:val="1"/>
                <w:color w:val="auto"/>
              </w:rPr>
            </w:pPr>
          </w:p>
        </w:tc>
      </w:tr>
      <w:tr>
        <w:trPr>
          <w:trHeight w:val="343"/>
        </w:trPr>
        <w:tc>
          <w:tcPr>
            <w:tcW w:w="6720" w:type="dxa"/>
            <w:vAlign w:val="bottom"/>
          </w:tcPr>
          <w:p>
            <w:pPr>
              <w:spacing w:after="0"/>
              <w:rPr>
                <w:sz w:val="20"/>
                <w:szCs w:val="20"/>
                <w:color w:val="auto"/>
              </w:rPr>
            </w:pPr>
            <w:r>
              <w:rPr>
                <w:rFonts w:ascii="Arial" w:cs="Arial" w:eastAsia="Arial" w:hAnsi="Arial"/>
                <w:sz w:val="24"/>
                <w:szCs w:val="24"/>
                <w:b w:val="1"/>
                <w:bCs w:val="1"/>
                <w:color w:val="auto"/>
              </w:rPr>
              <w:t>TEXAS INSTRUMENTS INCORPORATED</w:t>
            </w:r>
          </w:p>
        </w:tc>
        <w:tc>
          <w:tcPr>
            <w:tcW w:w="3540" w:type="dxa"/>
            <w:vAlign w:val="bottom"/>
          </w:tcPr>
          <w:p>
            <w:pPr>
              <w:ind w:left="1840"/>
              <w:spacing w:after="0"/>
              <w:rPr>
                <w:sz w:val="20"/>
                <w:szCs w:val="20"/>
                <w:color w:val="auto"/>
              </w:rPr>
            </w:pPr>
            <w:r>
              <w:rPr>
                <w:rFonts w:ascii="Arial" w:cs="Arial" w:eastAsia="Arial" w:hAnsi="Arial"/>
                <w:sz w:val="18"/>
                <w:szCs w:val="18"/>
                <w:color w:val="auto"/>
              </w:rPr>
              <w:t>ANNUAL REPORT</w:t>
            </w:r>
          </w:p>
        </w:tc>
        <w:tc>
          <w:tcPr>
            <w:tcW w:w="0" w:type="dxa"/>
            <w:vAlign w:val="bottom"/>
          </w:tcPr>
          <w:p>
            <w:pPr>
              <w:spacing w:after="0"/>
              <w:rPr>
                <w:sz w:val="1"/>
                <w:szCs w:val="1"/>
                <w:color w:val="auto"/>
              </w:rPr>
            </w:pPr>
          </w:p>
        </w:tc>
      </w:tr>
      <w:tr>
        <w:trPr>
          <w:trHeight w:val="222"/>
        </w:trPr>
        <w:tc>
          <w:tcPr>
            <w:tcW w:w="6720" w:type="dxa"/>
            <w:vAlign w:val="bottom"/>
            <w:vMerge w:val="restart"/>
          </w:tcPr>
          <w:p>
            <w:pPr>
              <w:spacing w:after="0"/>
              <w:rPr>
                <w:sz w:val="20"/>
                <w:szCs w:val="20"/>
                <w:color w:val="auto"/>
              </w:rPr>
            </w:pPr>
            <w:r>
              <w:rPr>
                <w:rFonts w:ascii="Arial" w:cs="Arial" w:eastAsia="Arial" w:hAnsi="Arial"/>
                <w:sz w:val="24"/>
                <w:szCs w:val="24"/>
                <w:b w:val="1"/>
                <w:bCs w:val="1"/>
                <w:color w:val="auto"/>
              </w:rPr>
              <w:t>Annual Meeting</w:t>
            </w:r>
          </w:p>
        </w:tc>
        <w:tc>
          <w:tcPr>
            <w:tcW w:w="3540" w:type="dxa"/>
            <w:vAlign w:val="bottom"/>
          </w:tcPr>
          <w:p>
            <w:pPr>
              <w:ind w:left="1840"/>
              <w:spacing w:after="0"/>
              <w:rPr>
                <w:sz w:val="20"/>
                <w:szCs w:val="20"/>
                <w:color w:val="auto"/>
              </w:rPr>
            </w:pPr>
            <w:r>
              <w:rPr>
                <w:rFonts w:ascii="Arial" w:cs="Arial" w:eastAsia="Arial" w:hAnsi="Arial"/>
                <w:sz w:val="18"/>
                <w:szCs w:val="18"/>
                <w:color w:val="auto"/>
                <w:w w:val="94"/>
              </w:rPr>
              <w:t>PROXY STATEMENT</w:t>
            </w:r>
          </w:p>
        </w:tc>
        <w:tc>
          <w:tcPr>
            <w:tcW w:w="0" w:type="dxa"/>
            <w:vAlign w:val="bottom"/>
          </w:tcPr>
          <w:p>
            <w:pPr>
              <w:spacing w:after="0"/>
              <w:rPr>
                <w:sz w:val="1"/>
                <w:szCs w:val="1"/>
                <w:color w:val="auto"/>
              </w:rPr>
            </w:pPr>
          </w:p>
        </w:tc>
      </w:tr>
      <w:tr>
        <w:trPr>
          <w:trHeight w:val="133"/>
        </w:trPr>
        <w:tc>
          <w:tcPr>
            <w:tcW w:w="6720" w:type="dxa"/>
            <w:vAlign w:val="bottom"/>
            <w:vMerge w:val="continue"/>
          </w:tcPr>
          <w:p>
            <w:pPr>
              <w:spacing w:after="0"/>
              <w:rPr>
                <w:sz w:val="11"/>
                <w:szCs w:val="11"/>
                <w:color w:val="auto"/>
              </w:rPr>
            </w:pPr>
          </w:p>
        </w:tc>
        <w:tc>
          <w:tcPr>
            <w:tcW w:w="3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7"/>
        </w:trPr>
        <w:tc>
          <w:tcPr>
            <w:tcW w:w="6720" w:type="dxa"/>
            <w:vAlign w:val="bottom"/>
          </w:tcPr>
          <w:p>
            <w:pPr>
              <w:spacing w:after="0"/>
              <w:rPr>
                <w:sz w:val="20"/>
                <w:szCs w:val="20"/>
                <w:color w:val="auto"/>
              </w:rPr>
            </w:pPr>
            <w:r>
              <w:rPr>
                <w:rFonts w:ascii="Arial" w:cs="Arial" w:eastAsia="Arial" w:hAnsi="Arial"/>
                <w:sz w:val="22"/>
                <w:szCs w:val="22"/>
                <w:b w:val="1"/>
                <w:bCs w:val="1"/>
                <w:color w:val="auto"/>
              </w:rPr>
              <w:t xml:space="preserve">Meeting Date </w:t>
            </w:r>
            <w:r>
              <w:rPr>
                <w:rFonts w:ascii="Arial" w:cs="Arial" w:eastAsia="Arial" w:hAnsi="Arial"/>
                <w:sz w:val="22"/>
                <w:szCs w:val="22"/>
                <w:color w:val="auto"/>
              </w:rPr>
              <w:t>: 04/20/2006 for holders as of 02/21/2006</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CUSIP</w:t>
      </w:r>
      <w:r>
        <w:rPr>
          <w:rFonts w:ascii="Arial" w:cs="Arial" w:eastAsia="Arial" w:hAnsi="Arial"/>
          <w:sz w:val="22"/>
          <w:szCs w:val="22"/>
          <w:color w:val="auto"/>
        </w:rPr>
        <w:t>: 882508-104</w:t>
      </w:r>
      <w:r>
        <w:rPr>
          <w:rFonts w:ascii="Arial" w:cs="Arial" w:eastAsia="Arial" w:hAnsi="Arial"/>
          <w:sz w:val="22"/>
          <w:szCs w:val="22"/>
          <w:b w:val="1"/>
          <w:bCs w:val="1"/>
          <w:color w:val="auto"/>
        </w:rPr>
        <w:t xml:space="preserve"> Your Control Number : </w:t>
      </w:r>
      <w:r>
        <w:rPr>
          <w:rFonts w:ascii="Arial" w:cs="Arial" w:eastAsia="Arial" w:hAnsi="Arial"/>
          <w:sz w:val="22"/>
          <w:szCs w:val="22"/>
          <w:color w:val="auto"/>
        </w:rPr>
        <w:t>0000 0000 0000</w:t>
      </w:r>
    </w:p>
    <w:p>
      <w:pPr>
        <w:spacing w:after="0" w:line="14" w:lineRule="exact"/>
        <w:rPr>
          <w:sz w:val="20"/>
          <w:szCs w:val="20"/>
          <w:color w:val="auto"/>
        </w:rPr>
      </w:pPr>
    </w:p>
    <w:p>
      <w:pPr>
        <w:ind w:left="1720" w:right="340"/>
        <w:spacing w:after="0" w:line="230" w:lineRule="auto"/>
        <w:rPr>
          <w:sz w:val="20"/>
          <w:szCs w:val="20"/>
          <w:color w:val="auto"/>
        </w:rPr>
      </w:pPr>
      <w:r>
        <w:rPr>
          <w:rFonts w:ascii="Arial" w:cs="Arial" w:eastAsia="Arial" w:hAnsi="Arial"/>
          <w:sz w:val="22"/>
          <w:szCs w:val="22"/>
          <w:b w:val="1"/>
          <w:bCs w:val="1"/>
          <w:color w:val="auto"/>
        </w:rPr>
        <w:t>As your vote is very important, we recommend that all voting instructions be received at least one business day prior to the voting cut-off time stated in the information circular. Scroll down for proxy instructions and voting.</w:t>
      </w:r>
    </w:p>
    <w:p>
      <w:pPr>
        <w:spacing w:after="0" w:line="2" w:lineRule="exact"/>
        <w:rPr>
          <w:sz w:val="20"/>
          <w:szCs w:val="20"/>
          <w:color w:val="auto"/>
        </w:rPr>
      </w:pPr>
    </w:p>
    <w:p>
      <w:pPr>
        <w:ind w:left="1780" w:hanging="644"/>
        <w:spacing w:after="0"/>
        <w:tabs>
          <w:tab w:leader="none" w:pos="178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Scroll down for proxy instructions and voting.</w:t>
      </w:r>
    </w:p>
    <w:p>
      <w:pPr>
        <w:spacing w:after="0" w:line="12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The undersigned hereby appoints JAMES R. ADAMS, DAVID L. BOREN, THOMAS J. ENGIBOUS, WAYNE R. SANDERS, or any one or more of them, the true and lawful attorneys of the undersigned with power of substitution, to vote as proxies for the undersigned at the annual meeting of stockholders of Texas Instruments Incorporated to be held in Dallas, Texas, on April 20, 2006, at 10:00 a.m. (Dallas time) and at any or all adjournments thereof, according to the number of shares of common stock that the undersigned would be entitled to vote if then personally present, in the election of directors and upon the board proposal and other matters properly coming before the meeting. </w:t>
      </w:r>
      <w:r>
        <w:rPr>
          <w:rFonts w:ascii="Arial" w:cs="Arial" w:eastAsia="Arial" w:hAnsi="Arial"/>
          <w:sz w:val="16"/>
          <w:szCs w:val="16"/>
          <w:b w:val="1"/>
          <w:bCs w:val="1"/>
          <w:color w:val="auto"/>
        </w:rPr>
        <w:t>If no contrary indication is made, this proxy and will be voted FOR the election of each</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director nominee and the board proposal. </w:t>
      </w:r>
      <w:r>
        <w:rPr>
          <w:rFonts w:ascii="Arial" w:cs="Arial" w:eastAsia="Arial" w:hAnsi="Arial"/>
          <w:sz w:val="16"/>
          <w:szCs w:val="16"/>
          <w:color w:val="auto"/>
        </w:rPr>
        <w:t>If other matters come before the meeting, this proxy will be voted in the discretion of the named proxies.</w:t>
      </w:r>
    </w:p>
    <w:p>
      <w:pPr>
        <w:sectPr>
          <w:pgSz w:w="11900" w:h="16838" w:orient="portrait"/>
          <w:cols w:equalWidth="0" w:num="1">
            <w:col w:w="11320"/>
          </w:cols>
          <w:pgMar w:left="240" w:top="131" w:right="339" w:bottom="0" w:gutter="0" w:footer="0" w:header="0"/>
        </w:sectPr>
      </w:pPr>
    </w:p>
    <w:bookmarkStart w:id="25" w:name="page26"/>
    <w:bookmarkEnd w:id="25"/>
    <w:p>
      <w:pPr>
        <w:spacing w:after="0" w:line="253" w:lineRule="auto"/>
        <w:rPr>
          <w:sz w:val="20"/>
          <w:szCs w:val="20"/>
          <w:color w:val="auto"/>
        </w:rPr>
      </w:pPr>
      <w:r>
        <w:rPr>
          <w:rFonts w:ascii="Arial" w:cs="Arial" w:eastAsia="Arial" w:hAnsi="Arial"/>
          <w:sz w:val="18"/>
          <w:szCs w:val="18"/>
          <w:color w:val="auto"/>
        </w:rPr>
        <w:t>Should you have an account in the TI Contribution and 401(k) Savings Plan or the TI 401(k) Savings Plan, this proxy represents the number of TI shares allocable to that plan account as well as other shares registered in your name. As a "named fiduciary" under the plans for TI shares allocable to that plan account and for shares for which no voting instructions are received, this proxy will serve as voting instructions for The Northern Trust Company, trustee for the TI 401(k) Plans, or its designee. The plans provide that the trustee will vote each participant's shares in accordance with the participant's instructions. If the trustee does not receive voting instructions for TI shares under the plans by April 17, 2006, those shares will be voted, in accordance with the terms of the plans, in the same proportion as the shares for which voting instructions have been received. If other matters come before the meeting, the named proxies will vote plan shares on those matters in their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246620" cy="12090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Directors’ Recommendations:</w:t>
      </w:r>
    </w:p>
    <w:p>
      <w:pPr>
        <w:spacing w:after="0" w:line="33" w:lineRule="exact"/>
        <w:rPr>
          <w:sz w:val="20"/>
          <w:szCs w:val="20"/>
          <w:color w:val="auto"/>
        </w:rPr>
      </w:pPr>
    </w:p>
    <w:p>
      <w:pPr>
        <w:jc w:val="center"/>
        <w:spacing w:after="0" w:line="234" w:lineRule="auto"/>
        <w:rPr>
          <w:sz w:val="20"/>
          <w:szCs w:val="20"/>
          <w:color w:val="auto"/>
        </w:rPr>
      </w:pPr>
      <w:r>
        <w:rPr>
          <w:rFonts w:ascii="Arial" w:cs="Arial" w:eastAsia="Arial" w:hAnsi="Arial"/>
          <w:sz w:val="22"/>
          <w:szCs w:val="22"/>
          <w:color w:val="auto"/>
        </w:rPr>
        <w:t>Choose this if you would like to vote your shares following directors’ recommendations. See below or refer to the proxy statement for the detailed recommendations. Please read them carefully.</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Vote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Proxy Ballot: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24"/>
          <w:szCs w:val="24"/>
          <w:b w:val="1"/>
          <w:bCs w:val="1"/>
          <w:color w:val="auto"/>
        </w:rPr>
        <w:t>01  DIRECTOR(S):</w:t>
      </w:r>
    </w:p>
    <w:p>
      <w:pPr>
        <w:spacing w:after="0" w:line="252" w:lineRule="exact"/>
        <w:rPr>
          <w:sz w:val="20"/>
          <w:szCs w:val="20"/>
          <w:color w:val="auto"/>
        </w:rPr>
      </w:pPr>
    </w:p>
    <w:p>
      <w:pPr>
        <w:ind w:left="1140" w:right="4040" w:hanging="443"/>
        <w:spacing w:after="0" w:line="374" w:lineRule="auto"/>
        <w:tabs>
          <w:tab w:leader="none" w:pos="1140" w:val="left"/>
        </w:tabs>
        <w:numPr>
          <w:ilvl w:val="0"/>
          <w:numId w:val="32"/>
        </w:numPr>
        <w:rPr>
          <w:rFonts w:ascii="Arial" w:cs="Arial" w:eastAsia="Arial" w:hAnsi="Arial"/>
          <w:sz w:val="22"/>
          <w:szCs w:val="22"/>
          <w:color w:val="auto"/>
        </w:rPr>
      </w:pPr>
      <w:r>
        <w:rPr>
          <w:rFonts w:ascii="Arial" w:cs="Arial" w:eastAsia="Arial" w:hAnsi="Arial"/>
          <w:sz w:val="22"/>
          <w:szCs w:val="22"/>
          <w:color w:val="auto"/>
        </w:rPr>
        <w:t xml:space="preserve">Directors recommend a vote </w:t>
      </w:r>
      <w:r>
        <w:rPr>
          <w:rFonts w:ascii="Arial" w:cs="Arial" w:eastAsia="Arial" w:hAnsi="Arial"/>
          <w:sz w:val="22"/>
          <w:szCs w:val="22"/>
          <w:b w:val="1"/>
          <w:bCs w:val="1"/>
          <w:color w:val="auto"/>
        </w:rPr>
        <w:t>FOR</w:t>
      </w:r>
      <w:r>
        <w:rPr>
          <w:rFonts w:ascii="Arial" w:cs="Arial" w:eastAsia="Arial" w:hAnsi="Arial"/>
          <w:sz w:val="22"/>
          <w:szCs w:val="22"/>
          <w:color w:val="auto"/>
        </w:rPr>
        <w:t xml:space="preserve"> election of the following nominee(s): J.R. ADAMS ; D.L. BOREN ; D.A. CARP ;</w:t>
      </w:r>
    </w:p>
    <w:p>
      <w:pPr>
        <w:ind w:left="1140" w:right="5280"/>
        <w:spacing w:after="0" w:line="430" w:lineRule="auto"/>
        <w:rPr>
          <w:rFonts w:ascii="Arial" w:cs="Arial" w:eastAsia="Arial" w:hAnsi="Arial"/>
          <w:sz w:val="22"/>
          <w:szCs w:val="22"/>
          <w:color w:val="auto"/>
        </w:rPr>
      </w:pPr>
      <w:r>
        <w:rPr>
          <w:rFonts w:ascii="Arial" w:cs="Arial" w:eastAsia="Arial" w:hAnsi="Arial"/>
          <w:sz w:val="19"/>
          <w:szCs w:val="19"/>
          <w:color w:val="auto"/>
        </w:rPr>
        <w:t>C.S. COX ; T.J. ENGIBOUS ; G.W. FRONTERHOUSE ; D.R. GOODE ; P.H. PATSLEY ; W.R. SANDERS ; R.J. SIMMONS ; R.K. TEMPLETON ; C.T. WHITMAN</w:t>
      </w:r>
    </w:p>
    <w:p>
      <w:pPr>
        <w:spacing w:after="0" w:line="1" w:lineRule="exact"/>
        <w:rPr>
          <w:sz w:val="20"/>
          <w:szCs w:val="20"/>
          <w:color w:val="auto"/>
        </w:rPr>
      </w:pPr>
    </w:p>
    <w:p>
      <w:pPr>
        <w:ind w:left="1220"/>
        <w:spacing w:after="0"/>
        <w:tabs>
          <w:tab w:leader="none" w:pos="1640" w:val="left"/>
          <w:tab w:leader="none" w:pos="3600" w:val="left"/>
          <w:tab w:leader="none" w:pos="6280" w:val="left"/>
        </w:tabs>
        <w:rPr>
          <w:sz w:val="20"/>
          <w:szCs w:val="20"/>
          <w:color w:val="auto"/>
        </w:rPr>
      </w:pPr>
      <w:r>
        <w:rPr>
          <w:rFonts w:ascii="Arial" w:cs="Arial" w:eastAsia="Arial" w:hAnsi="Arial"/>
          <w:sz w:val="22"/>
          <w:szCs w:val="22"/>
          <w:color w:val="auto"/>
        </w:rPr>
        <w:t>™</w:t>
        <w:tab/>
        <w:t>For all nominees</w:t>
      </w:r>
      <w:r>
        <w:rPr>
          <w:sz w:val="20"/>
          <w:szCs w:val="20"/>
          <w:color w:val="auto"/>
        </w:rPr>
        <w:tab/>
      </w:r>
      <w:r>
        <w:rPr>
          <w:rFonts w:ascii="Arial" w:cs="Arial" w:eastAsia="Arial" w:hAnsi="Arial"/>
          <w:sz w:val="22"/>
          <w:szCs w:val="22"/>
          <w:color w:val="auto"/>
        </w:rPr>
        <w:t>™  Withhold all nominees</w:t>
      </w:r>
      <w:r>
        <w:rPr>
          <w:sz w:val="20"/>
          <w:szCs w:val="20"/>
          <w:color w:val="auto"/>
        </w:rPr>
        <w:tab/>
      </w:r>
      <w:r>
        <w:rPr>
          <w:rFonts w:ascii="Arial" w:cs="Arial" w:eastAsia="Arial" w:hAnsi="Arial"/>
          <w:sz w:val="19"/>
          <w:szCs w:val="19"/>
          <w:color w:val="auto"/>
        </w:rPr>
        <w:t>™  For all EXCEPT those selected below:</w:t>
      </w:r>
    </w:p>
    <w:p>
      <w:pPr>
        <w:spacing w:after="0" w:line="355"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J.R.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231775" cy="1803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31775" cy="180340"/>
                    </a:xfrm>
                    <a:prstGeom prst="rect">
                      <a:avLst/>
                    </a:prstGeom>
                    <a:noFill/>
                  </pic:spPr>
                </pic:pic>
              </a:graphicData>
            </a:graphic>
          </wp:anchor>
        </w:drawing>
      </w:r>
    </w:p>
    <w:p>
      <w:pPr>
        <w:spacing w:after="0" w:line="159"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D.L. BOREN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231775" cy="180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31775" cy="180340"/>
                    </a:xfrm>
                    <a:prstGeom prst="rect">
                      <a:avLst/>
                    </a:prstGeom>
                    <a:noFill/>
                  </pic:spPr>
                </pic:pic>
              </a:graphicData>
            </a:graphic>
          </wp:anchor>
        </w:drawing>
      </w:r>
    </w:p>
    <w:p>
      <w:pPr>
        <w:spacing w:after="0" w:line="159"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D.A. CARP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231775" cy="1803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31775" cy="180340"/>
                    </a:xfrm>
                    <a:prstGeom prst="rect">
                      <a:avLst/>
                    </a:prstGeom>
                    <a:noFill/>
                  </pic:spPr>
                </pic:pic>
              </a:graphicData>
            </a:graphic>
          </wp:anchor>
        </w:drawing>
      </w:r>
    </w:p>
    <w:p>
      <w:pPr>
        <w:spacing w:after="0" w:line="159"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C.S.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231775" cy="1803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31775" cy="180340"/>
                    </a:xfrm>
                    <a:prstGeom prst="rect">
                      <a:avLst/>
                    </a:prstGeom>
                    <a:noFill/>
                  </pic:spPr>
                </pic:pic>
              </a:graphicData>
            </a:graphic>
          </wp:anchor>
        </w:drawing>
      </w:r>
    </w:p>
    <w:p>
      <w:pPr>
        <w:spacing w:after="0" w:line="159"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T.J. ENGIBOUS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231775" cy="1803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1775" cy="180340"/>
                    </a:xfrm>
                    <a:prstGeom prst="rect">
                      <a:avLst/>
                    </a:prstGeom>
                    <a:noFill/>
                  </pic:spPr>
                </pic:pic>
              </a:graphicData>
            </a:graphic>
          </wp:anchor>
        </w:drawing>
      </w:r>
    </w:p>
    <w:p>
      <w:pPr>
        <w:spacing w:after="0" w:line="159"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G.W. FRONTERHOUSE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231775" cy="1803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31775" cy="180340"/>
                    </a:xfrm>
                    <a:prstGeom prst="rect">
                      <a:avLst/>
                    </a:prstGeom>
                    <a:noFill/>
                  </pic:spPr>
                </pic:pic>
              </a:graphicData>
            </a:graphic>
          </wp:anchor>
        </w:drawing>
      </w:r>
    </w:p>
    <w:p>
      <w:pPr>
        <w:spacing w:after="0" w:line="159"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D.R. GOODE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231775" cy="1803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31775" cy="180340"/>
                    </a:xfrm>
                    <a:prstGeom prst="rect">
                      <a:avLst/>
                    </a:prstGeom>
                    <a:noFill/>
                  </pic:spPr>
                </pic:pic>
              </a:graphicData>
            </a:graphic>
          </wp:anchor>
        </w:drawing>
      </w:r>
    </w:p>
    <w:p>
      <w:pPr>
        <w:spacing w:after="0" w:line="159"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P.H. PATSLEY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231775" cy="1803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31775" cy="180340"/>
                    </a:xfrm>
                    <a:prstGeom prst="rect">
                      <a:avLst/>
                    </a:prstGeom>
                    <a:noFill/>
                  </pic:spPr>
                </pic:pic>
              </a:graphicData>
            </a:graphic>
          </wp:anchor>
        </w:drawing>
      </w:r>
    </w:p>
    <w:p>
      <w:pPr>
        <w:spacing w:after="0" w:line="159"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W.R.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231775" cy="180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31775" cy="180340"/>
                    </a:xfrm>
                    <a:prstGeom prst="rect">
                      <a:avLst/>
                    </a:prstGeom>
                    <a:noFill/>
                  </pic:spPr>
                </pic:pic>
              </a:graphicData>
            </a:graphic>
          </wp:anchor>
        </w:drawing>
      </w:r>
    </w:p>
    <w:p>
      <w:pPr>
        <w:spacing w:after="0" w:line="159"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R.J.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231775" cy="1803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31775" cy="180340"/>
                    </a:xfrm>
                    <a:prstGeom prst="rect">
                      <a:avLst/>
                    </a:prstGeom>
                    <a:noFill/>
                  </pic:spPr>
                </pic:pic>
              </a:graphicData>
            </a:graphic>
          </wp:anchor>
        </w:drawing>
      </w:r>
    </w:p>
    <w:p>
      <w:pPr>
        <w:spacing w:after="0" w:line="159"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R.K.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231775" cy="1803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1775" cy="180340"/>
                    </a:xfrm>
                    <a:prstGeom prst="rect">
                      <a:avLst/>
                    </a:prstGeom>
                    <a:noFill/>
                  </pic:spPr>
                </pic:pic>
              </a:graphicData>
            </a:graphic>
          </wp:anchor>
        </w:drawing>
      </w:r>
    </w:p>
    <w:p>
      <w:pPr>
        <w:spacing w:after="0" w:line="159"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C.T. WHITMAN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231775" cy="1803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31775" cy="1803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63" w:lineRule="exact"/>
        <w:rPr>
          <w:sz w:val="20"/>
          <w:szCs w:val="20"/>
          <w:color w:val="auto"/>
        </w:rPr>
      </w:pPr>
    </w:p>
    <w:p>
      <w:pPr>
        <w:spacing w:after="0"/>
        <w:tabs>
          <w:tab w:leader="none" w:pos="10300" w:val="left"/>
        </w:tabs>
        <w:rPr>
          <w:sz w:val="20"/>
          <w:szCs w:val="20"/>
          <w:color w:val="auto"/>
        </w:rPr>
      </w:pPr>
      <w:r>
        <w:rPr>
          <w:rFonts w:ascii="Arial" w:cs="Arial" w:eastAsia="Arial" w:hAnsi="Arial"/>
          <w:sz w:val="24"/>
          <w:szCs w:val="24"/>
          <w:color w:val="auto"/>
        </w:rPr>
        <w:t>Proxy Vote.com</w:t>
      </w:r>
      <w:r>
        <w:rPr>
          <w:sz w:val="20"/>
          <w:szCs w:val="20"/>
          <w:color w:val="auto"/>
        </w:rPr>
        <w:tab/>
      </w:r>
      <w:r>
        <w:rPr>
          <w:rFonts w:ascii="Arial" w:cs="Arial" w:eastAsia="Arial" w:hAnsi="Arial"/>
          <w:sz w:val="21"/>
          <w:szCs w:val="21"/>
          <w:color w:val="auto"/>
        </w:rPr>
        <w:t>Page 2 of 2</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40" w:right="1980" w:hanging="426"/>
        <w:spacing w:after="0" w:line="328" w:lineRule="auto"/>
        <w:tabs>
          <w:tab w:leader="none" w:pos="940" w:val="left"/>
        </w:tabs>
        <w:numPr>
          <w:ilvl w:val="0"/>
          <w:numId w:val="33"/>
        </w:numPr>
        <w:rPr>
          <w:rFonts w:ascii="Arial" w:cs="Arial" w:eastAsia="Arial" w:hAnsi="Arial"/>
          <w:sz w:val="19"/>
          <w:szCs w:val="19"/>
          <w:b w:val="1"/>
          <w:bCs w:val="1"/>
          <w:color w:val="auto"/>
        </w:rPr>
      </w:pPr>
      <w:r>
        <w:rPr>
          <w:rFonts w:ascii="Arial" w:cs="Arial" w:eastAsia="Arial" w:hAnsi="Arial"/>
          <w:sz w:val="19"/>
          <w:szCs w:val="19"/>
          <w:color w:val="auto"/>
        </w:rPr>
        <w:t>BOARD PROPOSAL TO RATIFY THE APPOINTMENT OF ERNST &amp; YOUNG LLP AS THE COMPANY’S INDEPENDENT REGISTERED PUBLIC ACCOUNTING FIRM FOR 2006.</w:t>
      </w:r>
    </w:p>
    <w:p>
      <w:pPr>
        <w:spacing w:after="0" w:line="32" w:lineRule="exact"/>
        <w:rPr>
          <w:sz w:val="20"/>
          <w:szCs w:val="20"/>
          <w:color w:val="auto"/>
        </w:rPr>
      </w:pPr>
    </w:p>
    <w:p>
      <w:pPr>
        <w:ind w:left="940" w:hanging="426"/>
        <w:spacing w:after="0"/>
        <w:tabs>
          <w:tab w:leader="none" w:pos="940"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Directors Recommend : </w:t>
      </w:r>
      <w:r>
        <w:rPr>
          <w:rFonts w:ascii="Arial" w:cs="Arial" w:eastAsia="Arial" w:hAnsi="Arial"/>
          <w:sz w:val="22"/>
          <w:szCs w:val="22"/>
          <w:b w:val="1"/>
          <w:bCs w:val="1"/>
          <w:color w:val="auto"/>
        </w:rPr>
        <w:t>FOR</w:t>
      </w:r>
    </w:p>
    <w:p>
      <w:pPr>
        <w:spacing w:after="0" w:line="144" w:lineRule="exact"/>
        <w:rPr>
          <w:rFonts w:ascii="Arial" w:cs="Arial" w:eastAsia="Arial" w:hAnsi="Arial"/>
          <w:sz w:val="22"/>
          <w:szCs w:val="22"/>
          <w:color w:val="auto"/>
        </w:rPr>
      </w:pPr>
    </w:p>
    <w:p>
      <w:pPr>
        <w:ind w:left="1340" w:hanging="366"/>
        <w:spacing w:after="0"/>
        <w:tabs>
          <w:tab w:leader="none" w:pos="1340" w:val="left"/>
        </w:tabs>
        <w:numPr>
          <w:ilvl w:val="1"/>
          <w:numId w:val="34"/>
        </w:numPr>
        <w:rPr>
          <w:rFonts w:ascii="Arial" w:cs="Arial" w:eastAsia="Arial" w:hAnsi="Arial"/>
          <w:sz w:val="22"/>
          <w:szCs w:val="22"/>
          <w:color w:val="auto"/>
        </w:rPr>
      </w:pPr>
      <w:r>
        <w:rPr>
          <w:rFonts w:ascii="Arial" w:cs="Arial" w:eastAsia="Arial" w:hAnsi="Arial"/>
          <w:sz w:val="22"/>
          <w:szCs w:val="22"/>
          <w:color w:val="auto"/>
        </w:rPr>
        <w:t>FOR   ™  Against   ™  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320675</wp:posOffset>
            </wp:positionV>
            <wp:extent cx="4373245" cy="2482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73245" cy="24828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Vote my shares per the above selections</w:t>
      </w:r>
    </w:p>
    <w:p>
      <w:pPr>
        <w:sectPr>
          <w:pgSz w:w="11900" w:h="16838" w:orient="portrait"/>
          <w:cols w:equalWidth="0" w:num="1">
            <w:col w:w="11420"/>
          </w:cols>
          <w:pgMar w:left="240" w:top="131" w:right="239" w:bottom="0" w:gutter="0" w:footer="0" w:header="0"/>
        </w:sectPr>
      </w:pPr>
    </w:p>
    <w:bookmarkStart w:id="26" w:name="page27"/>
    <w:bookmarkEnd w:id="26"/>
    <w:p>
      <w:pPr>
        <w:spacing w:after="0"/>
        <w:rPr>
          <w:sz w:val="20"/>
          <w:szCs w:val="20"/>
          <w:color w:val="auto"/>
        </w:rPr>
      </w:pPr>
      <w:r>
        <w:rPr>
          <w:rFonts w:ascii="Arial" w:cs="Arial" w:eastAsia="Arial" w:hAnsi="Arial"/>
          <w:sz w:val="22"/>
          <w:szCs w:val="22"/>
          <w:color w:val="auto"/>
        </w:rPr>
        <w:t>Click to see: “Letter to our clients regarding voting authority”</w:t>
      </w:r>
    </w:p>
    <w:p>
      <w:pPr>
        <w:spacing w:after="0" w:line="200" w:lineRule="exact"/>
        <w:rPr>
          <w:sz w:val="20"/>
          <w:szCs w:val="20"/>
          <w:color w:val="auto"/>
        </w:rPr>
      </w:pPr>
    </w:p>
    <w:p>
      <w:pPr>
        <w:spacing w:after="0" w:line="317" w:lineRule="exact"/>
        <w:rPr>
          <w:sz w:val="20"/>
          <w:szCs w:val="20"/>
          <w:color w:val="auto"/>
        </w:rPr>
      </w:pPr>
    </w:p>
    <w:p>
      <w:pPr>
        <w:ind w:left="60"/>
        <w:spacing w:after="0"/>
        <w:rPr>
          <w:sz w:val="20"/>
          <w:szCs w:val="20"/>
          <w:color w:val="auto"/>
        </w:rPr>
      </w:pPr>
      <w:r>
        <w:rPr>
          <w:rFonts w:ascii="Arial" w:cs="Arial" w:eastAsia="Arial" w:hAnsi="Arial"/>
          <w:sz w:val="22"/>
          <w:szCs w:val="22"/>
          <w:color w:val="auto"/>
        </w:rPr>
        <w:t>Back to top</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2359"/>
        <w:spacing w:after="0"/>
        <w:rPr>
          <w:sz w:val="20"/>
          <w:szCs w:val="20"/>
          <w:color w:val="auto"/>
        </w:rPr>
      </w:pPr>
      <w:r>
        <w:rPr>
          <w:rFonts w:ascii="Arial" w:cs="Arial" w:eastAsia="Arial" w:hAnsi="Arial"/>
          <w:sz w:val="22"/>
          <w:szCs w:val="22"/>
          <w:color w:val="auto"/>
        </w:rPr>
        <w:t>Download Adobe® Reader® | Privacy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0219"/>
      </w:cols>
      <w:pgMar w:left="2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o"/>
      <w:numFmt w:val="bullet"/>
      <w:start w:val="1"/>
    </w:lvl>
  </w:abstractNum>
  <w:abstractNum w:abstractNumId="1">
    <w:nsid w:val="431BD7B7"/>
    <w:multiLevelType w:val="hybridMultilevel"/>
    <w:lvl w:ilvl="0">
      <w:lvlJc w:val="left"/>
      <w:lvlText w:val="x"/>
      <w:numFmt w:val="bullet"/>
      <w:start w:val="1"/>
    </w:lvl>
  </w:abstractNum>
  <w:abstractNum w:abstractNumId="2">
    <w:nsid w:val="3F2DBA31"/>
    <w:multiLevelType w:val="hybridMultilevel"/>
    <w:lvl w:ilvl="0">
      <w:lvlJc w:val="left"/>
      <w:lvlText w:val="o"/>
      <w:numFmt w:val="bullet"/>
      <w:start w:val="1"/>
    </w:lvl>
  </w:abstractNum>
  <w:abstractNum w:abstractNumId="3">
    <w:nsid w:val="7C83E458"/>
    <w:multiLevelType w:val="hybridMultilevel"/>
    <w:lvl w:ilvl="0">
      <w:lvlJc w:val="left"/>
      <w:lvlText w:val="x"/>
      <w:numFmt w:val="bullet"/>
      <w:start w:val="1"/>
    </w:lvl>
  </w:abstractNum>
  <w:abstractNum w:abstractNumId="4">
    <w:nsid w:val="257130A3"/>
    <w:multiLevelType w:val="hybridMultilevel"/>
    <w:lvl w:ilvl="0">
      <w:lvlJc w:val="left"/>
      <w:lvlText w:val="o"/>
      <w:numFmt w:val="bullet"/>
      <w:start w:val="1"/>
    </w:lvl>
    <w:lvl w:ilvl="1">
      <w:lvlJc w:val="left"/>
      <w:lvlText w:val="%2."/>
      <w:numFmt w:val="decimal"/>
      <w:start w:val="1"/>
    </w:lvl>
  </w:abstractNum>
  <w:abstractNum w:abstractNumId="5">
    <w:nsid w:val="62BBD95A"/>
    <w:multiLevelType w:val="hybridMultilevel"/>
    <w:lvl w:ilvl="0">
      <w:lvlJc w:val="left"/>
      <w:lvlText w:val="%1."/>
      <w:numFmt w:val="decimal"/>
      <w:start w:val="2"/>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upperLetter"/>
      <w:start w:val="1"/>
    </w:lvl>
    <w:lvl w:ilvl="1">
      <w:lvlJc w:val="left"/>
      <w:lvlText w:val="%2."/>
      <w:numFmt w:val="decimal"/>
      <w:start w:val="1"/>
    </w:lvl>
  </w:abstractNum>
  <w:abstractNum w:abstractNumId="9">
    <w:nsid w:val="721DA317"/>
    <w:multiLevelType w:val="hybridMultilevel"/>
    <w:lvl w:ilvl="0">
      <w:lvlJc w:val="left"/>
      <w:lvlText w:val="%1"/>
      <w:numFmt w:val="upperLetter"/>
      <w:start w:val="1"/>
    </w:lvl>
    <w:lvl w:ilvl="1">
      <w:lvlJc w:val="left"/>
      <w:lvlText w:val="%2."/>
      <w:numFmt w:val="decimal"/>
      <w:start w:val="2"/>
    </w:lvl>
  </w:abstractNum>
  <w:abstractNum w:abstractNumId="10">
    <w:nsid w:val="2443A858"/>
    <w:multiLevelType w:val="hybridMultilevel"/>
    <w:lvl w:ilvl="0">
      <w:lvlJc w:val="left"/>
      <w:lvlText w:val="%1."/>
      <w:numFmt w:val="upperLetter"/>
      <w:start w:val="2"/>
    </w:lvl>
    <w:lvl w:ilvl="1">
      <w:lvlJc w:val="left"/>
      <w:lvlText w:val="%2."/>
      <w:numFmt w:val="decimal"/>
      <w:start w:val="1"/>
    </w:lvl>
  </w:abstractNum>
  <w:abstractNum w:abstractNumId="11">
    <w:nsid w:val="2D1D5AE9"/>
    <w:multiLevelType w:val="hybridMultilevel"/>
    <w:lvl w:ilvl="0">
      <w:lvlJc w:val="left"/>
      <w:lvlText w:val="%1."/>
      <w:numFmt w:val="upperLetter"/>
      <w:start w:val="3"/>
    </w:lvl>
    <w:lvl w:ilvl="1">
      <w:lvlJc w:val="left"/>
      <w:lvlText w:val="%2."/>
      <w:numFmt w:val="decimal"/>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lvl w:ilvl="1">
      <w:lvlJc w:val="left"/>
      <w:lvlText w:val="•"/>
      <w:numFmt w:val="bullet"/>
      <w:start w:val="1"/>
    </w:lvl>
  </w:abstractNum>
  <w:abstractNum w:abstractNumId="15">
    <w:nsid w:val="79838CB2"/>
    <w:multiLevelType w:val="hybridMultilevel"/>
    <w:lvl w:ilvl="0">
      <w:lvlJc w:val="left"/>
      <w:lvlText w:val="•"/>
      <w:numFmt w:val="bullet"/>
      <w:start w:val="1"/>
    </w:lvl>
    <w:lvl w:ilvl="1">
      <w:lvlJc w:val="left"/>
      <w:lvlText w:val="•"/>
      <w:numFmt w:val="bullet"/>
      <w:start w:val="1"/>
    </w:lvl>
  </w:abstractNum>
  <w:abstractNum w:abstractNumId="16">
    <w:nsid w:val="4353D0CD"/>
    <w:multiLevelType w:val="hybridMultilevel"/>
    <w:lvl w:ilvl="0">
      <w:lvlJc w:val="left"/>
      <w:lvlText w:val="•"/>
      <w:numFmt w:val="bullet"/>
      <w:start w:val="1"/>
    </w:lvl>
    <w:lvl w:ilvl="1">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3"/>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2"/>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3"/>
    </w:lvl>
    <w:lvl w:ilvl="1">
      <w:lvlJc w:val="left"/>
      <w:lvlText w:val="(%2)"/>
      <w:numFmt w:val="lowerLetter"/>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2"/>
    </w:lvl>
  </w:abstractNum>
  <w:abstractNum w:abstractNumId="30">
    <w:nsid w:val="22221A70"/>
    <w:multiLevelType w:val="hybridMultilevel"/>
    <w:lvl w:ilvl="0">
      <w:lvlJc w:val="left"/>
      <w:lvlText w:val="6"/>
      <w:numFmt w:val="bullet"/>
      <w:start w:val="1"/>
    </w:lvl>
  </w:abstractNum>
  <w:abstractNum w:abstractNumId="31">
    <w:nsid w:val="4516DDE9"/>
    <w:multiLevelType w:val="hybridMultilevel"/>
    <w:lvl w:ilvl="0">
      <w:lvlJc w:val="left"/>
      <w:lvlText w:val="4"/>
      <w:numFmt w:val="bullet"/>
      <w:start w:val="1"/>
    </w:lvl>
  </w:abstractNum>
  <w:abstractNum w:abstractNumId="32">
    <w:nsid w:val="3006C83E"/>
    <w:multiLevelType w:val="hybridMultilevel"/>
    <w:lvl w:ilvl="0">
      <w:lvlJc w:val="left"/>
      <w:lvlText w:val="%1."/>
      <w:numFmt w:val="decimal"/>
      <w:start w:val="2"/>
    </w:lvl>
  </w:abstractNum>
  <w:abstractNum w:abstractNumId="33">
    <w:nsid w:val="614FD4A1"/>
    <w:multiLevelType w:val="hybridMultilevel"/>
    <w:lvl w:ilvl="0">
      <w:lvlJc w:val="left"/>
      <w:lvlText w:val="4"/>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2019-12-13T07:44:48Z</dcterms:created>
  <dcterms:modified xsi:type="dcterms:W3CDTF">2019-12-13T07:44:48Z</dcterms:modified>
</cp:coreProperties>
</file>