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333-165045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July 30, 2012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July 30, 2012</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50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378"/>
        </w:trPr>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9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87"/>
              </w:rPr>
              <w:t>Pricing Term Sheet</w:t>
            </w:r>
          </w:p>
        </w:tc>
      </w:tr>
      <w:tr>
        <w:trPr>
          <w:trHeight w:val="340"/>
        </w:trPr>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w:t>
            </w:r>
            <w:r>
              <w:rPr>
                <w:rFonts w:ascii="Arial" w:cs="Arial" w:eastAsia="Arial" w:hAnsi="Arial"/>
                <w:sz w:val="18"/>
                <w:szCs w:val="18"/>
                <w:u w:val="single" w:color="auto"/>
                <w:color w:val="auto"/>
                <w:w w:val="86"/>
              </w:rPr>
              <w:t>450%</w:t>
            </w:r>
            <w:r>
              <w:rPr>
                <w:rFonts w:ascii="Arial" w:cs="Arial" w:eastAsia="Arial" w:hAnsi="Arial"/>
                <w:sz w:val="18"/>
                <w:szCs w:val="18"/>
                <w:color w:val="auto"/>
                <w:w w:val="86"/>
              </w:rPr>
              <w:t xml:space="preserve"> Notes due 2015</w:t>
            </w:r>
          </w:p>
        </w:tc>
        <w:tc>
          <w:tcPr>
            <w:tcW w:w="4280" w:type="dxa"/>
            <w:vAlign w:val="bottom"/>
          </w:tcPr>
          <w:p>
            <w:pPr>
              <w:spacing w:after="0"/>
              <w:rPr>
                <w:sz w:val="24"/>
                <w:szCs w:val="24"/>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$750,000,000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3, 2015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0.450%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99.547% of principal amount</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87"/>
              </w:rPr>
              <w:t>February 3 and August 3 beginning on February 3, 2013, and on the</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20" w:type="dxa"/>
            <w:vAlign w:val="bottom"/>
            <w:gridSpan w:val="2"/>
          </w:tcPr>
          <w:p>
            <w:pPr>
              <w:ind w:left="2720"/>
              <w:spacing w:after="0"/>
              <w:rPr>
                <w:sz w:val="20"/>
                <w:szCs w:val="20"/>
                <w:color w:val="auto"/>
              </w:rPr>
            </w:pPr>
            <w:r>
              <w:rPr>
                <w:rFonts w:ascii="Arial" w:cs="Arial" w:eastAsia="Arial" w:hAnsi="Arial"/>
                <w:sz w:val="18"/>
                <w:szCs w:val="18"/>
                <w:color w:val="auto"/>
                <w:w w:val="87"/>
              </w:rPr>
              <w:t>30/360</w:t>
            </w:r>
          </w:p>
        </w:tc>
        <w:tc>
          <w:tcPr>
            <w:tcW w:w="428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$744,727,500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0.250% due July 15, 2015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30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0.603%</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99-27; 0.303%</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98"/>
              </w:rPr>
              <w:t>At any time at a discount rate of Treasury plus 5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July 30, 2012</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6, 2012 (T+5)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882508AT1 / US882508AT13</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331"/>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650%</w:t>
            </w:r>
            <w:r>
              <w:rPr>
                <w:rFonts w:ascii="Arial" w:cs="Arial" w:eastAsia="Arial" w:hAnsi="Arial"/>
                <w:sz w:val="18"/>
                <w:szCs w:val="18"/>
                <w:color w:val="auto"/>
                <w:w w:val="85"/>
              </w:rPr>
              <w:t xml:space="preserve"> Notes due 2019</w:t>
            </w:r>
          </w:p>
        </w:tc>
        <w:tc>
          <w:tcPr>
            <w:tcW w:w="4280" w:type="dxa"/>
            <w:vAlign w:val="bottom"/>
          </w:tcPr>
          <w:p>
            <w:pPr>
              <w:spacing w:after="0"/>
              <w:rPr>
                <w:sz w:val="17"/>
                <w:szCs w:val="17"/>
                <w:color w:val="auto"/>
              </w:rPr>
            </w:pPr>
          </w:p>
        </w:tc>
      </w:tr>
      <w:tr>
        <w:trPr>
          <w:trHeight w:val="437"/>
        </w:trPr>
        <w:tc>
          <w:tcPr>
            <w:tcW w:w="4880" w:type="dxa"/>
            <w:vAlign w:val="bottom"/>
          </w:tcPr>
          <w:p>
            <w:pPr>
              <w:spacing w:after="0"/>
              <w:rPr>
                <w:sz w:val="20"/>
                <w:szCs w:val="20"/>
                <w:color w:val="auto"/>
              </w:rPr>
            </w:pPr>
            <w:r>
              <w:rPr>
                <w:rFonts w:ascii="Arial" w:cs="Arial" w:eastAsia="Arial" w:hAnsi="Arial"/>
                <w:sz w:val="18"/>
                <w:szCs w:val="18"/>
                <w:color w:val="auto"/>
              </w:rPr>
              <w:t>Issuer:</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Principal Amount:</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$750,000,000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Maturity: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3, 2019</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Coupon:</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1.650%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Price to Public:</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99.390% of principal amount</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87"/>
              </w:rPr>
              <w:t>February 3 and August 3 beginning on February 3, 2013, and on the</w:t>
            </w:r>
          </w:p>
        </w:tc>
      </w:tr>
      <w:tr>
        <w:trPr>
          <w:trHeight w:val="222"/>
        </w:trPr>
        <w:tc>
          <w:tcPr>
            <w:tcW w:w="488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Day Count Convention:</w:t>
            </w:r>
          </w:p>
        </w:tc>
        <w:tc>
          <w:tcPr>
            <w:tcW w:w="1680" w:type="dxa"/>
            <w:vAlign w:val="bottom"/>
          </w:tcPr>
          <w:p>
            <w:pPr>
              <w:ind w:left="1180"/>
              <w:spacing w:after="0"/>
              <w:rPr>
                <w:sz w:val="20"/>
                <w:szCs w:val="20"/>
                <w:color w:val="auto"/>
              </w:rPr>
            </w:pPr>
            <w:r>
              <w:rPr>
                <w:rFonts w:ascii="Arial" w:cs="Arial" w:eastAsia="Arial" w:hAnsi="Arial"/>
                <w:sz w:val="18"/>
                <w:szCs w:val="18"/>
                <w:color w:val="auto"/>
                <w:w w:val="87"/>
              </w:rPr>
              <w:t>30/360</w:t>
            </w:r>
          </w:p>
        </w:tc>
        <w:tc>
          <w:tcPr>
            <w:tcW w:w="4280" w:type="dxa"/>
            <w:vAlign w:val="bottom"/>
          </w:tcPr>
          <w:p>
            <w:pPr>
              <w:spacing w:after="0"/>
              <w:rPr>
                <w:sz w:val="24"/>
                <w:szCs w:val="24"/>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$742,425,000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Benchmark Treasury: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0.875% due July 31, 2019</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75 basis points</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Yield to Maturity: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1.743%</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99-06+; 0.993%</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Make-Whole Call:</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93"/>
              </w:rPr>
              <w:t>At any time at a discount rate of Treasury plus 12.5 basis points</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Trade Date:</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July 30, 2012</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Settlement Date:</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6, 2012 (T+5)</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Denominations: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CUSIP/ISIN:</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882508AU8 / US882508AU85</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Ratings: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488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331"/>
        </w:trPr>
        <w:tc>
          <w:tcPr>
            <w:tcW w:w="48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22"/>
        </w:trPr>
        <w:tc>
          <w:tcPr>
            <w:tcW w:w="488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bl>
    <w:p>
      <w:pPr>
        <w:sectPr>
          <w:pgSz w:w="11900" w:h="16838" w:orient="portrait"/>
          <w:cols w:equalWidth="0" w:num="1">
            <w:col w:w="10840"/>
          </w:cols>
          <w:pgMar w:left="240" w:top="257" w:right="8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August 6</w:t>
      </w:r>
      <w:r>
        <w:rPr>
          <w:rFonts w:ascii="Arial" w:cs="Arial" w:eastAsia="Arial" w:hAnsi="Arial"/>
          <w:sz w:val="16"/>
          <w:szCs w:val="16"/>
          <w:color w:val="auto"/>
        </w:rPr>
        <w:t>,</w:t>
      </w:r>
      <w:r>
        <w:rPr>
          <w:rFonts w:ascii="Arial" w:cs="Arial" w:eastAsia="Arial" w:hAnsi="Arial"/>
          <w:sz w:val="16"/>
          <w:szCs w:val="16"/>
          <w:b w:val="1"/>
          <w:bCs w:val="1"/>
          <w:color w:val="auto"/>
        </w:rPr>
        <w:t xml:space="preserve"> 2012,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11"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1-877-858-5407, J.P. Morgan Securities LLC at 1-212-834-4533 or Morgan Stanley &amp; Co. LLC at 1-866-718-1649.</w:t>
      </w:r>
    </w:p>
    <w:p>
      <w:pPr>
        <w:spacing w:after="0" w:line="96"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2019-12-09T08:23:50Z</dcterms:created>
  <dcterms:modified xsi:type="dcterms:W3CDTF">2019-12-09T08:23:50Z</dcterms:modified>
</cp:coreProperties>
</file>