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3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315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10/30/2013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10/30/2013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00"/>
              <w:spacing w:after="0"/>
              <w:rPr>
                <w:sz w:val="20"/>
                <w:szCs w:val="20"/>
                <w:color w:val="auto"/>
              </w:rPr>
            </w:pPr>
            <w:r>
              <w:rPr>
                <w:rFonts w:ascii="Arial" w:cs="Arial" w:eastAsia="Arial" w:hAnsi="Arial"/>
                <w:sz w:val="17"/>
                <w:szCs w:val="17"/>
                <w:color w:val="0000FF"/>
                <w:w w:val="99"/>
              </w:rPr>
              <w:t>30,000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28.32</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92,500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10/30/2013</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9"/>
              </w:rPr>
              <w:t>30,000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41.9342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62,500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2,938.8</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10/30/2013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30,000</w:t>
            </w: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3"/>
                <w:szCs w:val="13"/>
                <w:color w:val="0000FF"/>
              </w:rPr>
              <w:t>01/18/2017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$41.9300 to $41.9420.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9-30-13. (Interests in this account are denominated in units. Consequently, share amount shown is an estimate.) This statement does not include changes in beneficial ownership of shares held in such account occurring after 9-30-13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10/30/2013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2019-12-17T01:33:39Z</dcterms:created>
  <dcterms:modified xsi:type="dcterms:W3CDTF">2019-12-17T01:33:39Z</dcterms:modified>
</cp:coreProperties>
</file>