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___________</w:t>
      </w:r>
    </w:p>
    <w:p>
      <w:pPr>
        <w:spacing w:after="0" w:line="232" w:lineRule="exact"/>
        <w:rPr>
          <w:sz w:val="24"/>
          <w:szCs w:val="24"/>
          <w:color w:val="auto"/>
        </w:rPr>
      </w:pPr>
    </w:p>
    <w:p>
      <w:pPr>
        <w:ind w:left="500" w:right="2520" w:hanging="492"/>
        <w:spacing w:after="0" w:line="532"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September 30, 2010</w:t>
      </w:r>
    </w:p>
    <w:p>
      <w:pPr>
        <w:spacing w:after="0" w:line="1"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306" w:right="239" w:bottom="1440" w:gutter="0" w:footer="0" w:header="0"/>
        </w:sectPr>
      </w:pPr>
    </w:p>
    <w:p>
      <w:pPr>
        <w:spacing w:after="0" w:line="264"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2820" w:space="720"/>
            <w:col w:w="7880"/>
          </w:cols>
          <w:pgMar w:left="240" w:top="306"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001-03761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___________</w:t>
      </w:r>
    </w:p>
    <w:p>
      <w:pPr>
        <w:sectPr>
          <w:pgSz w:w="11900" w:h="16838" w:orient="portrait"/>
          <w:cols w:equalWidth="0" w:num="1">
            <w:col w:w="11420"/>
          </w:cols>
          <w:pgMar w:left="240" w:top="306" w:right="2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___________</w:t>
      </w:r>
    </w:p>
    <w:p>
      <w:pPr>
        <w:spacing w:after="0" w:line="234"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4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34"/>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7"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___________</w:t>
      </w:r>
    </w:p>
    <w:p>
      <w:pPr>
        <w:spacing w:after="0" w:line="238" w:lineRule="exact"/>
        <w:rPr>
          <w:sz w:val="24"/>
          <w:szCs w:val="24"/>
          <w:color w:val="auto"/>
        </w:rPr>
      </w:pPr>
    </w:p>
    <w:p>
      <w:pPr>
        <w:ind w:right="42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29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Yes T  No £</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T No £</w:t>
      </w:r>
    </w:p>
    <w:p>
      <w:pPr>
        <w:spacing w:after="0" w:line="2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80" w:type="dxa"/>
            <w:vAlign w:val="bottom"/>
          </w:tcPr>
          <w:p>
            <w:pPr>
              <w:ind w:left="340"/>
              <w:spacing w:after="0"/>
              <w:rPr>
                <w:sz w:val="20"/>
                <w:szCs w:val="20"/>
                <w:color w:val="auto"/>
              </w:rPr>
            </w:pPr>
            <w:r>
              <w:rPr>
                <w:rFonts w:ascii="Arial" w:cs="Arial" w:eastAsia="Arial" w:hAnsi="Arial"/>
                <w:sz w:val="18"/>
                <w:szCs w:val="18"/>
                <w:color w:val="auto"/>
              </w:rPr>
              <w:t>T</w:t>
            </w:r>
          </w:p>
        </w:tc>
        <w:tc>
          <w:tcPr>
            <w:tcW w:w="4580" w:type="dxa"/>
            <w:vAlign w:val="bottom"/>
          </w:tcPr>
          <w:p>
            <w:pPr>
              <w:spacing w:after="0"/>
              <w:rPr>
                <w:sz w:val="20"/>
                <w:szCs w:val="20"/>
                <w:color w:val="auto"/>
              </w:rPr>
            </w:pPr>
          </w:p>
        </w:tc>
        <w:tc>
          <w:tcPr>
            <w:tcW w:w="2900" w:type="dxa"/>
            <w:vAlign w:val="bottom"/>
            <w:gridSpan w:val="2"/>
          </w:tcPr>
          <w:p>
            <w:pPr>
              <w:ind w:left="780"/>
              <w:spacing w:after="0"/>
              <w:rPr>
                <w:sz w:val="20"/>
                <w:szCs w:val="20"/>
                <w:color w:val="auto"/>
              </w:rPr>
            </w:pPr>
            <w:r>
              <w:rPr>
                <w:rFonts w:ascii="Arial" w:cs="Arial" w:eastAsia="Arial" w:hAnsi="Arial"/>
                <w:sz w:val="18"/>
                <w:szCs w:val="18"/>
                <w:color w:val="auto"/>
              </w:rPr>
              <w:t>Accelerated filer</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rPr>
              <w: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680" w:type="dxa"/>
            <w:vAlign w:val="bottom"/>
          </w:tcPr>
          <w:p>
            <w:pPr>
              <w:ind w:left="340"/>
              <w:spacing w:after="0"/>
              <w:rPr>
                <w:sz w:val="20"/>
                <w:szCs w:val="20"/>
                <w:color w:val="auto"/>
              </w:rPr>
            </w:pPr>
            <w:r>
              <w:rPr>
                <w:rFonts w:ascii="Arial" w:cs="Arial" w:eastAsia="Arial" w:hAnsi="Arial"/>
                <w:sz w:val="18"/>
                <w:szCs w:val="18"/>
                <w:color w:val="auto"/>
              </w:rPr>
              <w:t>£</w:t>
            </w:r>
          </w:p>
        </w:tc>
        <w:tc>
          <w:tcPr>
            <w:tcW w:w="4580" w:type="dxa"/>
            <w:vAlign w:val="bottom"/>
          </w:tcPr>
          <w:p>
            <w:pPr>
              <w:ind w:left="240"/>
              <w:spacing w:after="0"/>
              <w:rPr>
                <w:sz w:val="20"/>
                <w:szCs w:val="20"/>
                <w:color w:val="auto"/>
              </w:rPr>
            </w:pPr>
            <w:r>
              <w:rPr>
                <w:rFonts w:ascii="Arial" w:cs="Arial" w:eastAsia="Arial" w:hAnsi="Arial"/>
                <w:sz w:val="18"/>
                <w:szCs w:val="18"/>
                <w:color w:val="auto"/>
              </w:rPr>
              <w:t>(Do not check if a smaller reporting company)</w:t>
            </w:r>
          </w:p>
        </w:tc>
        <w:tc>
          <w:tcPr>
            <w:tcW w:w="2900" w:type="dxa"/>
            <w:vAlign w:val="bottom"/>
            <w:gridSpan w:val="2"/>
          </w:tcPr>
          <w:p>
            <w:pPr>
              <w:ind w:left="780"/>
              <w:spacing w:after="0"/>
              <w:rPr>
                <w:sz w:val="20"/>
                <w:szCs w:val="20"/>
                <w:color w:val="auto"/>
              </w:rPr>
            </w:pPr>
            <w:r>
              <w:rPr>
                <w:rFonts w:ascii="Arial" w:cs="Arial" w:eastAsia="Arial" w:hAnsi="Arial"/>
                <w:sz w:val="18"/>
                <w:szCs w:val="18"/>
                <w:color w:val="auto"/>
                <w:w w:val="97"/>
              </w:rPr>
              <w:t>Smaller reporting company</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rPr>
              <w:t>£</w:t>
            </w:r>
          </w:p>
        </w:tc>
      </w:tr>
      <w:tr>
        <w:trPr>
          <w:trHeight w:val="459"/>
        </w:trPr>
        <w:tc>
          <w:tcPr>
            <w:tcW w:w="8340" w:type="dxa"/>
            <w:vAlign w:val="bottom"/>
            <w:gridSpan w:val="4"/>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w:t>
            </w:r>
          </w:p>
        </w:tc>
        <w:tc>
          <w:tcPr>
            <w:tcW w:w="1780" w:type="dxa"/>
            <w:vAlign w:val="bottom"/>
          </w:tcPr>
          <w:p>
            <w:pPr>
              <w:ind w:left="160"/>
              <w:spacing w:after="0"/>
              <w:rPr>
                <w:sz w:val="20"/>
                <w:szCs w:val="20"/>
                <w:color w:val="auto"/>
              </w:rPr>
            </w:pPr>
            <w:r>
              <w:rPr>
                <w:rFonts w:ascii="Arial" w:cs="Arial" w:eastAsia="Arial" w:hAnsi="Arial"/>
                <w:sz w:val="18"/>
                <w:szCs w:val="18"/>
                <w:color w:val="auto"/>
              </w:rPr>
              <w:t>Yes £  No T</w:t>
            </w:r>
          </w:p>
        </w:tc>
        <w:tc>
          <w:tcPr>
            <w:tcW w:w="1300" w:type="dxa"/>
            <w:vAlign w:val="bottom"/>
          </w:tcPr>
          <w:p>
            <w:pPr>
              <w:spacing w:after="0"/>
              <w:rPr>
                <w:sz w:val="24"/>
                <w:szCs w:val="24"/>
                <w:color w:val="auto"/>
              </w:rPr>
            </w:pPr>
          </w:p>
        </w:tc>
      </w:tr>
      <w:tr>
        <w:trPr>
          <w:trHeight w:val="418"/>
        </w:trPr>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80" w:type="dxa"/>
            <w:vAlign w:val="bottom"/>
          </w:tcPr>
          <w:p>
            <w:pPr>
              <w:jc w:val="center"/>
              <w:ind w:left="1490"/>
              <w:spacing w:after="0"/>
              <w:rPr>
                <w:sz w:val="20"/>
                <w:szCs w:val="20"/>
                <w:color w:val="auto"/>
              </w:rPr>
            </w:pPr>
            <w:r>
              <w:rPr>
                <w:rFonts w:ascii="Arial" w:cs="Arial" w:eastAsia="Arial" w:hAnsi="Arial"/>
                <w:sz w:val="18"/>
                <w:szCs w:val="18"/>
                <w:color w:val="auto"/>
                <w:w w:val="90"/>
              </w:rPr>
              <w:t>1,174,157,492</w:t>
            </w: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0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80" w:type="dxa"/>
            <w:vAlign w:val="bottom"/>
          </w:tcPr>
          <w:p>
            <w:pPr>
              <w:jc w:val="center"/>
              <w:ind w:left="1490"/>
              <w:spacing w:after="0"/>
              <w:rPr>
                <w:sz w:val="20"/>
                <w:szCs w:val="20"/>
                <w:color w:val="auto"/>
              </w:rPr>
            </w:pPr>
            <w:r>
              <w:rPr>
                <w:rFonts w:ascii="Arial" w:cs="Arial" w:eastAsia="Arial" w:hAnsi="Arial"/>
                <w:sz w:val="18"/>
                <w:szCs w:val="18"/>
                <w:color w:val="auto"/>
                <w:w w:val="88"/>
              </w:rPr>
              <w:t>September 30, 2010</w:t>
            </w:r>
          </w:p>
        </w:tc>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18"/>
        </w:trPr>
        <w:tc>
          <w:tcPr>
            <w:tcW w:w="1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71"/>
        </w:trPr>
        <w:tc>
          <w:tcPr>
            <w:tcW w:w="196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4580" w:type="dxa"/>
            <w:vAlign w:val="bottom"/>
            <w:shd w:val="clear" w:color="auto" w:fill="808080"/>
          </w:tcPr>
          <w:p>
            <w:pPr>
              <w:spacing w:after="0"/>
              <w:rPr>
                <w:sz w:val="6"/>
                <w:szCs w:val="6"/>
                <w:color w:val="auto"/>
              </w:rPr>
            </w:pPr>
          </w:p>
        </w:tc>
        <w:tc>
          <w:tcPr>
            <w:tcW w:w="112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1300" w:type="dxa"/>
            <w:vAlign w:val="bottom"/>
            <w:shd w:val="clear" w:color="auto" w:fill="808080"/>
          </w:tcPr>
          <w:p>
            <w:pPr>
              <w:spacing w:after="0"/>
              <w:rPr>
                <w:sz w:val="6"/>
                <w:szCs w:val="6"/>
                <w:color w:val="auto"/>
              </w:rPr>
            </w:pPr>
          </w:p>
        </w:tc>
      </w:tr>
      <w:tr>
        <w:trPr>
          <w:trHeight w:val="510"/>
        </w:trPr>
        <w:tc>
          <w:tcPr>
            <w:tcW w:w="19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For Three Months Ended Sept. 30,</w:t>
            </w: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2"/>
              </w:rPr>
              <w:t>For 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gridSpan w:val="2"/>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3,740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1,701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4,819</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2,039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1,178</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1,227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3,284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1,235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376</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1,017</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980" w:type="dxa"/>
            <w:vAlign w:val="bottom"/>
            <w:gridSpan w:val="2"/>
          </w:tcPr>
          <w:p>
            <w:pPr>
              <w:ind w:left="11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80" w:type="dxa"/>
            <w:vAlign w:val="bottom"/>
            <w:gridSpan w:val="2"/>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1,184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1,208</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1,196</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1,221</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See accompanying notes.</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tcPr>
          <w:p>
            <w:pPr>
              <w:jc w:val="right"/>
              <w:ind w:right="74"/>
              <w:spacing w:after="0"/>
              <w:rPr>
                <w:sz w:val="20"/>
                <w:szCs w:val="20"/>
                <w:color w:val="auto"/>
              </w:rPr>
            </w:pPr>
            <w:r>
              <w:rPr>
                <w:rFonts w:ascii="Arial" w:cs="Arial" w:eastAsia="Arial" w:hAnsi="Arial"/>
                <w:sz w:val="14"/>
                <w:szCs w:val="14"/>
                <w:color w:val="auto"/>
              </w:rPr>
              <w:t>2</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For Three Months Ended Sept. 30,</w:t>
            </w: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2"/>
              </w:rPr>
              <w:t>For 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Unrealized gains (losses), net of taxes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 net of taxes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Adjustment, net of taxes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7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869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Sept.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($20) and ($23)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12,649</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w w:val="95"/>
              </w:rPr>
              <w:t>Preferred stock, $25 par value. Authorized – 10,000,000 shares. Participating cumulative preferred. None issued.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$1 par value. Authorized – 2,400,000,000 shares. Shares issued: September 30, 2010 --</w:t>
            </w:r>
          </w:p>
        </w:tc>
        <w:tc>
          <w:tcPr>
            <w:tcW w:w="1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1,739,932,695; December 31, 2009 -- 1,739,811,721</w:t>
            </w:r>
          </w:p>
        </w:tc>
        <w:tc>
          <w:tcPr>
            <w:tcW w:w="1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Less treasury common stock at cost.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September 30, 2010 -- 565,775,203; December 31, 2009 -- 499,693,704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(16,169)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12,649</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2"/>
              </w:rPr>
              <w:t>For 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(468)</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2,590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(898)</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Sales, redemptions and maturities of short-term investments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2,175</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(509)</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share-based payments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(1,854)</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(2,170)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designs and makes semiconductors that we sell to electronics designers and manufacturers; about 80,000 customers all over the world buy our products.</w:t>
      </w:r>
    </w:p>
    <w:p>
      <w:pPr>
        <w:spacing w:after="0" w:line="197" w:lineRule="exact"/>
        <w:rPr>
          <w:rFonts w:ascii="Arial" w:cs="Arial" w:eastAsia="Arial" w:hAnsi="Arial"/>
          <w:sz w:val="18"/>
          <w:szCs w:val="18"/>
          <w:color w:val="auto"/>
        </w:rPr>
      </w:pPr>
    </w:p>
    <w:p>
      <w:pPr>
        <w:ind w:left="340" w:right="2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on the same basis as the audited financial statements included in our annual report on Form 10-K for the year ended December 31, 2009. The consolidated statements of income, statements of comprehensive income and statements of cash flows for the periods ended September 30, 2010 and 2009, and the balance sheet as of September 30, 2010, are not audited but reflect all adjustments that are of a normal recurring nature and are necessary for a fair statement of the results of the periods shown. The consolidated balance sheet as of December 31, 2009,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2009. The results for the three-month and nine-month periods are not necessarily indicative of a full year’s results.</w:t>
      </w:r>
    </w:p>
    <w:p>
      <w:pPr>
        <w:spacing w:after="0" w:line="199" w:lineRule="exact"/>
        <w:rPr>
          <w:rFonts w:ascii="Arial" w:cs="Arial" w:eastAsia="Arial" w:hAnsi="Arial"/>
          <w:sz w:val="18"/>
          <w:szCs w:val="18"/>
          <w:color w:val="auto"/>
        </w:rPr>
      </w:pPr>
    </w:p>
    <w:p>
      <w:pPr>
        <w:ind w:left="340" w:right="52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w:t>
      </w:r>
    </w:p>
    <w:p>
      <w:pPr>
        <w:spacing w:after="0" w:line="197" w:lineRule="exact"/>
        <w:rPr>
          <w:rFonts w:ascii="Arial" w:cs="Arial" w:eastAsia="Arial" w:hAnsi="Arial"/>
          <w:sz w:val="18"/>
          <w:szCs w:val="18"/>
          <w:color w:val="auto"/>
        </w:rPr>
      </w:pPr>
    </w:p>
    <w:p>
      <w:pPr>
        <w:ind w:left="340" w:right="320"/>
        <w:spacing w:after="0" w:line="277" w:lineRule="auto"/>
        <w:rPr>
          <w:rFonts w:ascii="Arial" w:cs="Arial" w:eastAsia="Arial" w:hAnsi="Arial"/>
          <w:sz w:val="18"/>
          <w:szCs w:val="18"/>
          <w:color w:val="auto"/>
        </w:rPr>
      </w:pPr>
      <w:r>
        <w:rPr>
          <w:rFonts w:ascii="Arial" w:cs="Arial" w:eastAsia="Arial" w:hAnsi="Arial"/>
          <w:sz w:val="18"/>
          <w:szCs w:val="18"/>
          <w:color w:val="auto"/>
        </w:rPr>
        <w:t>All dollar amounts in the financial statements and tables in the notes, except share and per-share amounts, are stated in millions of U.S. dollars unless otherwise indicated.</w:t>
      </w:r>
    </w:p>
    <w:p>
      <w:pPr>
        <w:spacing w:after="0" w:line="197" w:lineRule="exact"/>
        <w:rPr>
          <w:rFonts w:ascii="Arial" w:cs="Arial" w:eastAsia="Arial" w:hAnsi="Arial"/>
          <w:sz w:val="18"/>
          <w:szCs w:val="18"/>
          <w:color w:val="auto"/>
        </w:rPr>
      </w:pPr>
    </w:p>
    <w:p>
      <w:pPr>
        <w:ind w:left="340" w:right="4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Use of Derivatives and Hedging </w:t>
      </w:r>
      <w:r>
        <w:rPr>
          <w:rFonts w:ascii="Arial" w:cs="Arial" w:eastAsia="Arial" w:hAnsi="Arial"/>
          <w:sz w:val="17"/>
          <w:szCs w:val="17"/>
          <w:color w:val="auto"/>
        </w:rPr>
        <w:t>– We use derivative financial instruments to manage exposure to foreign exchange risk. These instruments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use derivatives for speculative or trading purposes. We do not apply hedge accounting to our foreign currency derivative instruments.</w:t>
      </w:r>
    </w:p>
    <w:p>
      <w:pPr>
        <w:spacing w:after="0" w:line="199"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 The fair values of our derivative financial instruments were not significant at September 30, 2010.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cash equivalents, short-term investments and certain long-term investments are carried at fair value and are discussed in Note 6. The carrying values for other current financial assets and liabilities, such as accounts receivable and accounts payable, approximate fair value due to the short maturity of such instruments.</w:t>
      </w:r>
    </w:p>
    <w:p>
      <w:pPr>
        <w:spacing w:after="0" w:line="213" w:lineRule="exact"/>
        <w:rPr>
          <w:rFonts w:ascii="Arial" w:cs="Arial" w:eastAsia="Arial" w:hAnsi="Arial"/>
          <w:sz w:val="18"/>
          <w:szCs w:val="18"/>
          <w:color w:val="auto"/>
        </w:rPr>
      </w:pPr>
    </w:p>
    <w:p>
      <w:pPr>
        <w:ind w:left="340" w:right="20"/>
        <w:spacing w:after="0" w:line="271" w:lineRule="auto"/>
        <w:rPr>
          <w:rFonts w:ascii="Arial" w:cs="Arial" w:eastAsia="Arial" w:hAnsi="Arial"/>
          <w:sz w:val="18"/>
          <w:szCs w:val="18"/>
          <w:color w:val="auto"/>
        </w:rPr>
      </w:pPr>
      <w:r>
        <w:rPr>
          <w:rFonts w:ascii="Arial" w:cs="Arial" w:eastAsia="Arial" w:hAnsi="Arial"/>
          <w:sz w:val="17"/>
          <w:szCs w:val="17"/>
          <w:i w:val="1"/>
          <w:iCs w:val="1"/>
          <w:color w:val="auto"/>
        </w:rPr>
        <w:t xml:space="preserve">Changes in Accounting Standards </w:t>
      </w:r>
      <w:r>
        <w:rPr>
          <w:rFonts w:ascii="Arial" w:cs="Arial" w:eastAsia="Arial" w:hAnsi="Arial"/>
          <w:sz w:val="17"/>
          <w:szCs w:val="17"/>
          <w:color w:val="auto"/>
        </w:rPr>
        <w:t>– In January 2010, the Financial Accounting Standards Board (FASB) issued Accounting Standards Update (ASU)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2010 - 06 – </w:t>
      </w:r>
      <w:r>
        <w:rPr>
          <w:rFonts w:ascii="Arial" w:cs="Arial" w:eastAsia="Arial" w:hAnsi="Arial"/>
          <w:sz w:val="17"/>
          <w:szCs w:val="17"/>
          <w:i w:val="1"/>
          <w:iCs w:val="1"/>
          <w:color w:val="auto"/>
        </w:rPr>
        <w:t>Fair Value Measurements and Disclosures (Topic 820): Improving Disclosures about Fair Value Measurements</w:t>
      </w:r>
      <w:r>
        <w:rPr>
          <w:rFonts w:ascii="Arial" w:cs="Arial" w:eastAsia="Arial" w:hAnsi="Arial"/>
          <w:sz w:val="17"/>
          <w:szCs w:val="17"/>
          <w:color w:val="auto"/>
        </w:rPr>
        <w:t>. This standard amends the disclosure guidance with respect to fair value measurements for both interim and annual reporting periods. 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Except for the detailed disclosures of changes in Level 3 items, which will be effective for us as of January 1, 2011, the remaining new disclosure requirements were effective for us as of January 1, 2010. We have included these new disclosures, as applicable, in Note 6.</w:t>
      </w:r>
    </w:p>
    <w:p>
      <w:pPr>
        <w:spacing w:after="0" w:line="205" w:lineRule="exact"/>
        <w:rPr>
          <w:rFonts w:ascii="Arial" w:cs="Arial" w:eastAsia="Arial" w:hAnsi="Arial"/>
          <w:sz w:val="18"/>
          <w:szCs w:val="18"/>
          <w:color w:val="auto"/>
        </w:rPr>
      </w:pPr>
    </w:p>
    <w:p>
      <w:pPr>
        <w:ind w:left="340" w:right="14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In April 2010, the FASB issued ASU No. 2010 - 17 – </w:t>
      </w:r>
      <w:r>
        <w:rPr>
          <w:rFonts w:ascii="Arial" w:cs="Arial" w:eastAsia="Arial" w:hAnsi="Arial"/>
          <w:sz w:val="17"/>
          <w:szCs w:val="17"/>
          <w:i w:val="1"/>
          <w:iCs w:val="1"/>
          <w:color w:val="auto"/>
        </w:rPr>
        <w:t>Revenue Recognition - Milestone Method (Topic 605): Milestone Method of Revenue Recognition</w:t>
      </w:r>
      <w:r>
        <w:rPr>
          <w:rFonts w:ascii="Arial" w:cs="Arial" w:eastAsia="Arial" w:hAnsi="Arial"/>
          <w:sz w:val="17"/>
          <w:szCs w:val="17"/>
          <w:color w:val="auto"/>
        </w:rPr>
        <w:t>. This standard provides guidance on defining a milestone and determining when it may be appropriate to apply the milestone method of revenue recognition for certain research and development transactions. Under this new standard, a company can recognize as revenue consideration that is contingent upon achievement of a milestone in the period in which it is achieved, only if the milestone meets all criteria to be considered substantive. This standard will be effective for us on a prospective basis as of January 1, 2011. We have evaluated the potential impact of this standard and expect it will have no significant im pact on our financial position or results of operations.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 w:name="page7"/>
    <w:bookmarkEnd w:id="6"/>
    <w:p>
      <w:pPr>
        <w:jc w:val="both"/>
        <w:ind w:left="332" w:hanging="332"/>
        <w:spacing w:after="0" w:line="264"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 On August 31, 2010, we completed the acquisition of two wafer fabrication facilities and equipment in Aizu-Wakamatsu, Japan for net cash of $130 million. These assets were previously operated by Spansion Japan Limited (SJL) and were acquired under a court-approved plan of reorganization.</w:t>
      </w:r>
    </w:p>
    <w:p>
      <w:pPr>
        <w:spacing w:after="0" w:line="208" w:lineRule="exact"/>
        <w:rPr>
          <w:rFonts w:ascii="Arial" w:cs="Arial" w:eastAsia="Arial" w:hAnsi="Arial"/>
          <w:sz w:val="18"/>
          <w:szCs w:val="18"/>
          <w:color w:val="auto"/>
        </w:rPr>
      </w:pPr>
    </w:p>
    <w:p>
      <w:pPr>
        <w:jc w:val="both"/>
        <w:ind w:left="332"/>
        <w:spacing w:after="0" w:line="273" w:lineRule="auto"/>
        <w:rPr>
          <w:rFonts w:ascii="Arial" w:cs="Arial" w:eastAsia="Arial" w:hAnsi="Arial"/>
          <w:sz w:val="18"/>
          <w:szCs w:val="18"/>
          <w:color w:val="auto"/>
        </w:rPr>
      </w:pPr>
      <w:r>
        <w:rPr>
          <w:rFonts w:ascii="Arial" w:cs="Arial" w:eastAsia="Arial" w:hAnsi="Arial"/>
          <w:sz w:val="17"/>
          <w:szCs w:val="17"/>
          <w:color w:val="auto"/>
        </w:rPr>
        <w:t>The acquisition of the two wafer fabrication facilities and related 200-millimeter equipment was recorded as a business combination for net cash of $59 million. This agreement includes an operational 200-millimeter wafer fabrication facility as well as a non-operating wafer fabrication facility capable of either 200 or 300-millimeter production that will be preserved for future capacity expansion. Additionally, we offered employment to all of the SJL employees in Aizu. We will provide transitional supply services to Spansion LLC through June 2012, while also installing our analog production processes. We recorded $42 million of property, plant and equipment, $9 million of inventory and $8 million of expenses, which were charged to cost of revenue. Operating results for the transitional supply services provided to Spansion LLC will be included in our Other segment.</w:t>
      </w:r>
    </w:p>
    <w:p>
      <w:pPr>
        <w:spacing w:after="0" w:line="205" w:lineRule="exact"/>
        <w:rPr>
          <w:rFonts w:ascii="Arial" w:cs="Arial" w:eastAsia="Arial" w:hAnsi="Arial"/>
          <w:sz w:val="18"/>
          <w:szCs w:val="18"/>
          <w:color w:val="auto"/>
        </w:rPr>
      </w:pPr>
    </w:p>
    <w:p>
      <w:pPr>
        <w:jc w:val="both"/>
        <w:ind w:left="332"/>
        <w:spacing w:after="0" w:line="264" w:lineRule="auto"/>
        <w:rPr>
          <w:rFonts w:ascii="Arial" w:cs="Arial" w:eastAsia="Arial" w:hAnsi="Arial"/>
          <w:sz w:val="18"/>
          <w:szCs w:val="18"/>
          <w:color w:val="auto"/>
        </w:rPr>
      </w:pPr>
      <w:r>
        <w:rPr>
          <w:rFonts w:ascii="Arial" w:cs="Arial" w:eastAsia="Arial" w:hAnsi="Arial"/>
          <w:sz w:val="18"/>
          <w:szCs w:val="18"/>
          <w:color w:val="auto"/>
        </w:rPr>
        <w:t>The acquisition also included 300-millimeter production tools which we recorded as a capital purchase for net cash of $58 million. Of this amount, $36 million was for tools to be used primarily in our 300-millimeter analog wafer factory in Richardson, Texas and the remaining $22 million will be held for sale.</w:t>
      </w:r>
    </w:p>
    <w:p>
      <w:pPr>
        <w:spacing w:after="0" w:line="208" w:lineRule="exact"/>
        <w:rPr>
          <w:rFonts w:ascii="Arial" w:cs="Arial" w:eastAsia="Arial" w:hAnsi="Arial"/>
          <w:sz w:val="18"/>
          <w:szCs w:val="18"/>
          <w:color w:val="auto"/>
        </w:rPr>
      </w:pPr>
    </w:p>
    <w:p>
      <w:pPr>
        <w:jc w:val="both"/>
        <w:ind w:left="332"/>
        <w:spacing w:after="0" w:line="264" w:lineRule="auto"/>
        <w:rPr>
          <w:rFonts w:ascii="Arial" w:cs="Arial" w:eastAsia="Arial" w:hAnsi="Arial"/>
          <w:sz w:val="18"/>
          <w:szCs w:val="18"/>
          <w:color w:val="auto"/>
        </w:rPr>
      </w:pPr>
      <w:r>
        <w:rPr>
          <w:rFonts w:ascii="Arial" w:cs="Arial" w:eastAsia="Arial" w:hAnsi="Arial"/>
          <w:sz w:val="18"/>
          <w:szCs w:val="18"/>
          <w:color w:val="auto"/>
        </w:rPr>
        <w:t>In connection with this acquisition, we also settled a contractual arrangement with a third party for our benefit for net cash of $12 million which was recorded as a charge in cost of revenue in our Other segment. Additionally, we incurred acquisition-related costs of $1 million which was recorded in selling, general and administrative expense.</w:t>
      </w:r>
    </w:p>
    <w:p>
      <w:pPr>
        <w:spacing w:after="0" w:line="208" w:lineRule="exact"/>
        <w:rPr>
          <w:rFonts w:ascii="Arial" w:cs="Arial" w:eastAsia="Arial" w:hAnsi="Arial"/>
          <w:sz w:val="18"/>
          <w:szCs w:val="18"/>
          <w:color w:val="auto"/>
        </w:rPr>
      </w:pPr>
    </w:p>
    <w:p>
      <w:pPr>
        <w:ind w:left="332" w:right="340"/>
        <w:spacing w:after="0" w:line="277" w:lineRule="auto"/>
        <w:rPr>
          <w:rFonts w:ascii="Arial" w:cs="Arial" w:eastAsia="Arial" w:hAnsi="Arial"/>
          <w:sz w:val="18"/>
          <w:szCs w:val="18"/>
          <w:color w:val="auto"/>
        </w:rPr>
      </w:pPr>
      <w:r>
        <w:rPr>
          <w:rFonts w:ascii="Arial" w:cs="Arial" w:eastAsia="Arial" w:hAnsi="Arial"/>
          <w:sz w:val="18"/>
          <w:szCs w:val="18"/>
          <w:color w:val="auto"/>
        </w:rPr>
        <w:t>In the second quarter of 2009, we acquired Luminary Micro for net cash of $51 million and other consideration of $7 million. These operations were integrated into our Embedded Processing segment.</w:t>
      </w:r>
    </w:p>
    <w:p>
      <w:pPr>
        <w:spacing w:after="0" w:line="197" w:lineRule="exact"/>
        <w:rPr>
          <w:rFonts w:ascii="Arial" w:cs="Arial" w:eastAsia="Arial" w:hAnsi="Arial"/>
          <w:sz w:val="18"/>
          <w:szCs w:val="18"/>
          <w:color w:val="auto"/>
        </w:rPr>
      </w:pPr>
    </w:p>
    <w:p>
      <w:pPr>
        <w:ind w:left="332" w:right="70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2009, we acquired CICLON Semiconductor Device Corporation for net cash of $104 million and other consideration of $7 million. These operations were integrated into our Analog segment.</w:t>
      </w:r>
    </w:p>
    <w:p>
      <w:pPr>
        <w:spacing w:after="0" w:line="197" w:lineRule="exact"/>
        <w:rPr>
          <w:rFonts w:ascii="Arial" w:cs="Arial" w:eastAsia="Arial" w:hAnsi="Arial"/>
          <w:sz w:val="18"/>
          <w:szCs w:val="18"/>
          <w:color w:val="auto"/>
        </w:rPr>
      </w:pPr>
    </w:p>
    <w:p>
      <w:pPr>
        <w:ind w:left="332"/>
        <w:spacing w:after="0" w:line="342" w:lineRule="auto"/>
        <w:rPr>
          <w:rFonts w:ascii="Arial" w:cs="Arial" w:eastAsia="Arial" w:hAnsi="Arial"/>
          <w:sz w:val="18"/>
          <w:szCs w:val="18"/>
          <w:color w:val="auto"/>
        </w:rPr>
      </w:pPr>
      <w:r>
        <w:rPr>
          <w:rFonts w:ascii="Arial" w:cs="Arial" w:eastAsia="Arial" w:hAnsi="Arial"/>
          <w:sz w:val="16"/>
          <w:szCs w:val="16"/>
          <w:color w:val="auto"/>
        </w:rPr>
        <w:t>The results of operations of these business combinations have been included in our financial statements from their respective acquisition dates. Pro forma financial information for the comparable prior period of 2009 to reflect the latest acquisition would not be materially different from amounts reported.</w:t>
      </w:r>
    </w:p>
    <w:p>
      <w:pPr>
        <w:spacing w:after="0" w:line="150"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Restructuring activities</w:t>
      </w:r>
      <w:r>
        <w:rPr>
          <w:rFonts w:ascii="Arial" w:cs="Arial" w:eastAsia="Arial" w:hAnsi="Arial"/>
          <w:sz w:val="18"/>
          <w:szCs w:val="18"/>
          <w:color w:val="auto"/>
        </w:rPr>
        <w:t>. In October 2008, we announced actions to reduce expenses in our Wireless segment, especially our baseband operation. In January 2009, we announced actions that included broad-based employment reductions to align our spending with weakened demand. Combined, these actions eliminated about 3,900 jobs; they were completed in 2009.</w:t>
      </w:r>
    </w:p>
    <w:p>
      <w:pPr>
        <w:spacing w:after="0" w:line="208"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table below reflects the changes in accrued restructuring balances associated with these actions:</w:t>
      </w:r>
    </w:p>
    <w:p>
      <w:pPr>
        <w:spacing w:after="0" w:line="248"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Impairments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Severance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and 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Benefits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Remaining accrual at December 31, 2009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Remaining accrual at September 30, 2010</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Reflects postretirement benefit plan settlement charges.</w:t>
      </w:r>
    </w:p>
    <w:p>
      <w:pPr>
        <w:spacing w:after="0" w:line="252" w:lineRule="exact"/>
        <w:rPr>
          <w:sz w:val="20"/>
          <w:szCs w:val="20"/>
          <w:color w:val="auto"/>
        </w:rPr>
      </w:pPr>
    </w:p>
    <w:p>
      <w:pPr>
        <w:ind w:left="332" w:right="420"/>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balance sheets, depending on the expected timing of payment.</w:t>
      </w: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color w:val="auto"/>
        </w:rPr>
        <w:t>Restructuring expense recognized by segment from the actions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For Three Months Ended Sept. 30,</w:t>
            </w: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2"/>
              </w:rPr>
              <w:t>For 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3100" w:type="dxa"/>
            <w:vAlign w:val="bottom"/>
            <w:gridSpan w:val="2"/>
            <w:shd w:val="clear" w:color="auto" w:fill="CCEEFF"/>
          </w:tcPr>
          <w:p>
            <w:pPr>
              <w:ind w:left="21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Embedded Processing</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12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The rate is based on current tax law and for 2010 does not assume reinstatement of the federal research tax credit, which expired at the end of 2009. As of September 30, 2010, the estimated annual effective tax rate for 2010 is about 31 percent, which differs from the 35 percent statutory corporate tax rate primarily due to the effects of non-U.S. tax rates.</w:t>
      </w:r>
    </w:p>
    <w:p>
      <w:pPr>
        <w:spacing w:after="0" w:line="213"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Computation and reconciliation of earnings per common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9"/>
              </w:rPr>
              <w:t>September 30, 2010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 2009</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Income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Basic EPS:</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859</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538</w:t>
            </w: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(13)</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Income allocated to common stock for basic</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24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1,184</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18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380" w:type="dxa"/>
            <w:vAlign w:val="bottom"/>
            <w:gridSpan w:val="2"/>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532</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Diluted EPS: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859</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538</w:t>
            </w: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(13)</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24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1,196</w:t>
            </w:r>
          </w:p>
        </w:tc>
        <w:tc>
          <w:tcPr>
            <w:tcW w:w="22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EPS calculation</w:t>
            </w:r>
          </w:p>
        </w:tc>
        <w:tc>
          <w:tcPr>
            <w:tcW w:w="1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532</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2"/>
              </w:rPr>
              <w:t>For Nine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Nine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9"/>
              </w:rPr>
              <w:t>September 30, 2010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 2009</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Income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Basic EPS:</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2,286</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815</w:t>
            </w: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Income allocated to common stock for basic</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2,254</w:t>
            </w:r>
          </w:p>
        </w:tc>
        <w:tc>
          <w:tcPr>
            <w:tcW w:w="24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1,208</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18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380" w:type="dxa"/>
            <w:vAlign w:val="bottom"/>
            <w:gridSpan w:val="2"/>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807</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Diluted EPS: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2,286</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815</w:t>
            </w: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2,255</w:t>
            </w:r>
          </w:p>
        </w:tc>
        <w:tc>
          <w:tcPr>
            <w:tcW w:w="24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22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EPS calculation</w:t>
            </w:r>
          </w:p>
        </w:tc>
        <w:tc>
          <w:tcPr>
            <w:tcW w:w="18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160" w:type="dxa"/>
            <w:vAlign w:val="bottom"/>
            <w:vMerge w:val="continue"/>
            <w:shd w:val="clear" w:color="auto" w:fill="CCEEFF"/>
          </w:tcPr>
          <w:p>
            <w:pPr>
              <w:spacing w:after="0"/>
              <w:rPr>
                <w:sz w:val="23"/>
                <w:szCs w:val="23"/>
                <w:color w:val="auto"/>
              </w:rPr>
            </w:pPr>
          </w:p>
        </w:tc>
        <w:tc>
          <w:tcPr>
            <w:tcW w:w="220" w:type="dxa"/>
            <w:vAlign w:val="bottom"/>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807</w:t>
            </w: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8</w:t>
            </w: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126" w:gutter="0" w:footer="0" w:header="0"/>
        </w:sectPr>
      </w:pPr>
    </w:p>
    <w:bookmarkStart w:id="8" w:name="page9"/>
    <w:bookmarkEnd w:id="8"/>
    <w:p>
      <w:pPr>
        <w:ind w:left="332" w:right="40"/>
        <w:spacing w:after="0" w:line="312" w:lineRule="auto"/>
        <w:rPr>
          <w:sz w:val="20"/>
          <w:szCs w:val="20"/>
          <w:color w:val="auto"/>
        </w:rPr>
      </w:pPr>
      <w:r>
        <w:rPr>
          <w:rFonts w:ascii="Arial" w:cs="Arial" w:eastAsia="Arial" w:hAnsi="Arial"/>
          <w:sz w:val="16"/>
          <w:szCs w:val="16"/>
          <w:color w:val="auto"/>
        </w:rPr>
        <w:t>Options to purchase 96 million and 121 million shares of common stock that were outstanding during the third quarters of 2010 and 2009, and 96 million and 137 million shares outstanding during the nine months of 2010 and 2009, respectively, were not included in the computation of diluted earnings per share because their exercise price was greater than the average market price of the common shares and, therefore, the effect would be anti-dilutive.</w:t>
      </w:r>
    </w:p>
    <w:p>
      <w:pPr>
        <w:spacing w:after="0" w:line="174" w:lineRule="exact"/>
        <w:rPr>
          <w:sz w:val="20"/>
          <w:szCs w:val="20"/>
          <w:color w:val="auto"/>
        </w:rPr>
      </w:pPr>
    </w:p>
    <w:p>
      <w:pPr>
        <w:ind w:left="332" w:right="6540" w:hanging="332"/>
        <w:spacing w:after="0" w:line="532"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investments</w:t>
      </w:r>
    </w:p>
    <w:p>
      <w:pPr>
        <w:ind w:left="332"/>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w:t>
      </w:r>
    </w:p>
    <w:p>
      <w:pPr>
        <w:spacing w:after="0" w:line="275" w:lineRule="exact"/>
        <w:rPr>
          <w:rFonts w:ascii="Arial" w:cs="Arial" w:eastAsia="Arial" w:hAnsi="Arial"/>
          <w:sz w:val="18"/>
          <w:szCs w:val="18"/>
          <w:color w:val="auto"/>
        </w:rPr>
      </w:pPr>
    </w:p>
    <w:p>
      <w:pPr>
        <w:jc w:val="both"/>
        <w:ind w:left="332"/>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securities consist primarily of money market funds and debt securities. Available-for-sale securities are stated at fair value, which is generally based on market prices, broker quotes or, when necessary, financial models (see fair value discussion below). We record other-than-temporary losses (impairments) on these securities in OI&amp;E, and all other unrealized gains and losses as an increase or decrease, net of taxes, in accumulated other comprehensive income (AOCI).</w:t>
      </w:r>
    </w:p>
    <w:p>
      <w:pPr>
        <w:spacing w:after="0" w:line="213" w:lineRule="exact"/>
        <w:rPr>
          <w:rFonts w:ascii="Arial" w:cs="Arial" w:eastAsia="Arial" w:hAnsi="Arial"/>
          <w:sz w:val="18"/>
          <w:szCs w:val="18"/>
          <w:color w:val="auto"/>
        </w:rPr>
      </w:pPr>
    </w:p>
    <w:p>
      <w:pPr>
        <w:ind w:left="332" w:right="180"/>
        <w:spacing w:after="0" w:line="286" w:lineRule="auto"/>
        <w:rPr>
          <w:rFonts w:ascii="Arial" w:cs="Arial" w:eastAsia="Arial" w:hAnsi="Arial"/>
          <w:sz w:val="18"/>
          <w:szCs w:val="18"/>
          <w:color w:val="auto"/>
        </w:rPr>
      </w:pPr>
      <w:r>
        <w:rPr>
          <w:rFonts w:ascii="Arial" w:cs="Arial" w:eastAsia="Arial" w:hAnsi="Arial"/>
          <w:sz w:val="17"/>
          <w:szCs w:val="17"/>
          <w:color w:val="auto"/>
        </w:rPr>
        <w:t>Trading securities are stated at fair value based on market prices. Our trading securities consist exclusively of mutual funds that hold a variety of debt and equity investments intended to generate returns that offset changes in certain deferred compensation liabilities. We record changes in the fair value of our trading securities and the related deferred compensation liabilities in selling, general and administrative expense.</w:t>
      </w:r>
    </w:p>
    <w:p>
      <w:pPr>
        <w:spacing w:after="0" w:line="192" w:lineRule="exact"/>
        <w:rPr>
          <w:rFonts w:ascii="Arial" w:cs="Arial" w:eastAsia="Arial" w:hAnsi="Arial"/>
          <w:sz w:val="18"/>
          <w:szCs w:val="18"/>
          <w:color w:val="auto"/>
        </w:rPr>
      </w:pPr>
    </w:p>
    <w:p>
      <w:pPr>
        <w:jc w:val="both"/>
        <w:ind w:left="332"/>
        <w:spacing w:after="0" w:line="257" w:lineRule="auto"/>
        <w:rPr>
          <w:rFonts w:ascii="Arial" w:cs="Arial" w:eastAsia="Arial" w:hAnsi="Arial"/>
          <w:sz w:val="18"/>
          <w:szCs w:val="18"/>
          <w:color w:val="auto"/>
        </w:rPr>
      </w:pPr>
      <w:r>
        <w:rPr>
          <w:rFonts w:ascii="Arial" w:cs="Arial" w:eastAsia="Arial" w:hAnsi="Arial"/>
          <w:sz w:val="18"/>
          <w:szCs w:val="18"/>
          <w:color w:val="auto"/>
        </w:rPr>
        <w:t>Our other investments are not measured at fair value but are accounted for using either the equity method or cost method. These investments consist of interests in venture capital funds and other non-marketable equity securities. Gains or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 We determine cost or amortized cost, as appropriate, on a specific identification basis.</w:t>
      </w:r>
    </w:p>
    <w:p>
      <w:pPr>
        <w:spacing w:after="0" w:line="215" w:lineRule="exact"/>
        <w:rPr>
          <w:rFonts w:ascii="Arial" w:cs="Arial" w:eastAsia="Arial" w:hAnsi="Arial"/>
          <w:sz w:val="18"/>
          <w:szCs w:val="18"/>
          <w:color w:val="auto"/>
        </w:rPr>
      </w:pPr>
    </w:p>
    <w:p>
      <w:pPr>
        <w:jc w:val="both"/>
        <w:ind w:left="332"/>
        <w:spacing w:after="0" w:line="264" w:lineRule="auto"/>
        <w:rPr>
          <w:rFonts w:ascii="Arial" w:cs="Arial" w:eastAsia="Arial" w:hAnsi="Arial"/>
          <w:sz w:val="18"/>
          <w:szCs w:val="18"/>
          <w:color w:val="auto"/>
        </w:rPr>
      </w:pPr>
      <w:r>
        <w:rPr>
          <w:rFonts w:ascii="Arial" w:cs="Arial" w:eastAsia="Arial" w:hAnsi="Arial"/>
          <w:sz w:val="18"/>
          <w:szCs w:val="18"/>
          <w:color w:val="auto"/>
        </w:rPr>
        <w:t>In the quarter ending September 30, 2010, $35 million of auction-rate securities were redeemed and $29 million of auction-rate securities were called for redemption in October 2010. The auction-rate securities that have been called have been reclassified from long-term to short-term investments on the balance sheet.</w:t>
      </w:r>
    </w:p>
    <w:p>
      <w:pPr>
        <w:spacing w:after="0" w:line="35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Details of our investments by class and related unrealized gains and losses included in AOCI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2010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2009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Cash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86"/>
              </w:rPr>
              <w:t>Cash and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Long-Term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Long-Term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Equivalents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Equivalents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0" w:type="dxa"/>
            <w:vAlign w:val="bottom"/>
          </w:tcPr>
          <w:p>
            <w:pPr>
              <w:spacing w:after="0"/>
              <w:rPr>
                <w:sz w:val="1"/>
                <w:szCs w:val="1"/>
                <w:color w:val="auto"/>
              </w:rPr>
            </w:pPr>
          </w:p>
        </w:tc>
      </w:tr>
      <w:tr>
        <w:trPr>
          <w:trHeight w:val="41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Measured at fair value:</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Treasury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Auction-rate securities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Other measurement basis: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on hand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Amounts included in AOCI from</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available-for-sale securities: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Unrealized gains (pre-tax)</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(pre-tax)</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As of September 30, 2010, about 66 percent of our investments in the corporate obligations shown above are insured by either the Federal Deposit Insurance Corporation (FDIC) or the U.K. government.</w:t>
      </w:r>
    </w:p>
    <w:p>
      <w:pPr>
        <w:spacing w:after="0" w:line="197" w:lineRule="exact"/>
        <w:rPr>
          <w:sz w:val="20"/>
          <w:szCs w:val="20"/>
          <w:color w:val="auto"/>
        </w:rPr>
      </w:pPr>
    </w:p>
    <w:p>
      <w:pPr>
        <w:ind w:left="340"/>
        <w:spacing w:after="0" w:line="302" w:lineRule="auto"/>
        <w:rPr>
          <w:sz w:val="20"/>
          <w:szCs w:val="20"/>
          <w:color w:val="auto"/>
        </w:rPr>
      </w:pPr>
      <w:r>
        <w:rPr>
          <w:rFonts w:ascii="Arial" w:cs="Arial" w:eastAsia="Arial" w:hAnsi="Arial"/>
          <w:sz w:val="16"/>
          <w:szCs w:val="16"/>
          <w:color w:val="auto"/>
        </w:rPr>
        <w:t>As of September 30, 2010 and December 31, 2009, unrealized losses included in AOCI were associated with auction-rate securities. We have determined that our available-for-sale investments with unrealized losses are not other-than-temporarily impaired. We expect to recover the entire cost basis of these securities. We do not intend to sell these investments, nor do we expect to be required to sell these investments before a recovery of the cost basis. For the nine months ended September 30, 2010 and 2009, we did not recognize in earnings any credit losses related to these investments.</w:t>
      </w:r>
    </w:p>
    <w:p>
      <w:pPr>
        <w:spacing w:after="0" w:line="181"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For the nine months ended September 30, 2010 and 2009, the proceeds from sales of available-for-sale securities prior to their scheduled maturities were $3.94 billion and $837 million, respectively. Gross realized gains and losses from these sales were not significant.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maturities of investments in money market funds and other debt securities classified as available-for-sale at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840" w:type="dxa"/>
            <w:vAlign w:val="bottom"/>
          </w:tcPr>
          <w:p>
            <w:pPr>
              <w:ind w:left="4300"/>
              <w:spacing w:after="0"/>
              <w:rPr>
                <w:sz w:val="20"/>
                <w:szCs w:val="20"/>
                <w:color w:val="auto"/>
              </w:rPr>
            </w:pPr>
            <w:r>
              <w:rPr>
                <w:rFonts w:ascii="Arial" w:cs="Arial" w:eastAsia="Arial" w:hAnsi="Arial"/>
                <w:sz w:val="18"/>
                <w:szCs w:val="18"/>
                <w:b w:val="1"/>
                <w:bCs w:val="1"/>
                <w:color w:val="auto"/>
              </w:rPr>
              <w:t>Due</w:t>
            </w: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8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4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One to three years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Greater than three years (auction-rate securities)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80" w:type="dxa"/>
            <w:vAlign w:val="bottom"/>
          </w:tcPr>
          <w:p>
            <w:pPr>
              <w:jc w:val="right"/>
              <w:ind w:right="363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Fair value</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measure and report our financial assets and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52"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9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Our Level 2 assets consist of corporate obligations, some U.S. government agency securities and auction-rate securities that have been called for redemption. We use a market approach to determine the fair value, primarily utilizing unadjusted quotes obtained from brokers or dealers based on observable prices for similar assets in active markets.</w:t>
      </w:r>
    </w:p>
    <w:p>
      <w:pPr>
        <w:spacing w:after="0" w:line="20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own auction-rate securities that are primarily classified as Level 3 assets. Auction-rate securities are debt instruments with variable interest rates that historically would periodically reset through an auction process. There is currently no active market for auction-rate securities, so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 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w:t>
      </w: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12 to 37 years. All of our auction-rate securities are backed by pools of student loans substantially guaranteed by the U.S. Department of Education and we continue to believe that the credit quality of these securities is high based on this guarantee. As of September 30, 2010, all of these securities were rated AAA or Aaa by at least one of the major rating agencies. Although most of these securities are dual rated AAA/Aaa, one ($25 million par value) is rated AAA/B3 and one ($12 million par value) is rated AAA/Baa1.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338"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580" w:top="517" w:right="299" w:bottom="1440" w:gutter="0" w:footer="0" w:header="0"/>
        </w:sectPr>
      </w:pPr>
    </w:p>
    <w:bookmarkStart w:id="11" w:name="page12"/>
    <w:bookmarkEnd w:id="11"/>
    <w:p>
      <w:pPr>
        <w:ind w:left="340"/>
        <w:spacing w:after="0"/>
        <w:rPr>
          <w:sz w:val="20"/>
          <w:szCs w:val="20"/>
          <w:color w:val="auto"/>
        </w:rPr>
      </w:pPr>
      <w:r>
        <w:rPr>
          <w:rFonts w:ascii="Arial" w:cs="Arial" w:eastAsia="Arial" w:hAnsi="Arial"/>
          <w:sz w:val="17"/>
          <w:szCs w:val="17"/>
          <w:color w:val="auto"/>
        </w:rPr>
        <w:t>The following are our assets and liabilities that were accounted for at fair value on a recurring basis as of September 30, 2010 and December 31,</w:t>
      </w:r>
    </w:p>
    <w:p>
      <w:pPr>
        <w:spacing w:after="0" w:line="35"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color w:val="auto"/>
        </w:rPr>
        <w:t>2009. These tables do not include cash on hand, assets held by our postretirement plans or assets and liabilities that are measured at historical cost or any basis other than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2,756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1,188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49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liabilities in the tables above are a component of Accrued expenses and other liabilities or Deferred credits and other liabilities on our balance sheets, depending on the expected timing of payment.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180"/>
        <w:spacing w:after="0" w:line="264" w:lineRule="auto"/>
        <w:rPr>
          <w:sz w:val="20"/>
          <w:szCs w:val="20"/>
          <w:color w:val="auto"/>
        </w:rPr>
      </w:pPr>
      <w:r>
        <w:rPr>
          <w:rFonts w:ascii="Arial" w:cs="Arial" w:eastAsia="Arial" w:hAnsi="Arial"/>
          <w:sz w:val="18"/>
          <w:szCs w:val="18"/>
          <w:color w:val="auto"/>
        </w:rPr>
        <w:t>The following table provides a reconciliation of changes in the fair values for Level 3 assets and liabilities. In the quarter ending September 30, 2010, we were notified that $29 million of our auction-rate securities were called for redemption in the fourth quarter of 2010. As a result, we transferred these assets from Level 3 to Level 2 as of the end of the third quarter. These securities were redeemed in October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8"/>
              </w:rPr>
              <w:t>Auction-rate</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2"/>
              </w:rPr>
              <w:t>Contingent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securities</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consideration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 December 31, 2008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New contingent consideration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Reduction in unrealized loss - included in AOCI</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September 30, 2009</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Reduction in unrealized loss - included in AOCI</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December 31, 2009</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 in unrealized loss - included in AOCI</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Redemptions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into Level 2</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September 30, 2010</w:t>
            </w: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700" w:type="dxa"/>
            <w:vAlign w:val="bottom"/>
            <w:vMerge w:val="restart"/>
          </w:tcPr>
          <w:p>
            <w:pPr>
              <w:ind w:left="4480"/>
              <w:spacing w:after="0"/>
              <w:rPr>
                <w:sz w:val="20"/>
                <w:szCs w:val="20"/>
                <w:color w:val="auto"/>
              </w:rPr>
            </w:pPr>
            <w:r>
              <w:rPr>
                <w:rFonts w:ascii="Arial" w:cs="Arial" w:eastAsia="Arial" w:hAnsi="Arial"/>
                <w:sz w:val="14"/>
                <w:szCs w:val="14"/>
                <w:color w:val="auto"/>
              </w:rPr>
              <w:t>13</w:t>
            </w: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116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67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r>
        <w:rPr>
          <w:rFonts w:ascii="Arial" w:cs="Arial" w:eastAsia="Arial" w:hAnsi="Arial"/>
          <w:sz w:val="18"/>
          <w:szCs w:val="18"/>
          <w:color w:val="auto"/>
        </w:rPr>
        <w:t>. Components of net periodic employee benefit cost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U.S. Defined Benefit</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U.S. Retiree Health Care</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Non-U.S. Defined Benefit</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7"/>
              </w:rPr>
              <w:t>For Three Months Ended September 30,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9"/>
                <w:szCs w:val="19"/>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9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 *</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U.S. Defined Benefit</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U.S. Retiree Health Care</w:t>
            </w: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Non-U.S. Defined Benefit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Nine Months Ended September 30,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w:t>
            </w: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w:t>
            </w: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(21)</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9"/>
                <w:szCs w:val="19"/>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w:t>
            </w:r>
          </w:p>
        </w:tc>
        <w:tc>
          <w:tcPr>
            <w:tcW w:w="9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 *</w:t>
            </w: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charges (gains)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Special termination benefit charges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 and (gains)</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w:t>
            </w: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restructuring and non-restructuring related settlement charges.</w:t>
      </w:r>
    </w:p>
    <w:p>
      <w:pPr>
        <w:spacing w:after="0" w:line="252" w:lineRule="exact"/>
        <w:rPr>
          <w:sz w:val="20"/>
          <w:szCs w:val="20"/>
          <w:color w:val="auto"/>
        </w:rPr>
      </w:pPr>
    </w:p>
    <w:p>
      <w:pPr>
        <w:ind w:left="340" w:right="20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208" w:lineRule="exact"/>
        <w:rPr>
          <w:rFonts w:ascii="Arial" w:cs="Arial" w:eastAsia="Arial" w:hAnsi="Arial"/>
          <w:sz w:val="18"/>
          <w:szCs w:val="18"/>
          <w:color w:val="auto"/>
        </w:rPr>
      </w:pPr>
    </w:p>
    <w:p>
      <w:pPr>
        <w:ind w:left="340" w:right="20"/>
        <w:spacing w:after="0" w:line="254"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 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219" w:lineRule="exact"/>
        <w:rPr>
          <w:rFonts w:ascii="Arial" w:cs="Arial" w:eastAsia="Arial" w:hAnsi="Arial"/>
          <w:sz w:val="18"/>
          <w:szCs w:val="18"/>
          <w:color w:val="auto"/>
        </w:rPr>
      </w:pPr>
    </w:p>
    <w:p>
      <w:pPr>
        <w:ind w:left="340" w:right="28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73" w:lineRule="exact"/>
        <w:rPr>
          <w:rFonts w:ascii="Arial" w:cs="Arial" w:eastAsia="Arial" w:hAnsi="Arial"/>
          <w:sz w:val="18"/>
          <w:szCs w:val="18"/>
          <w:color w:val="auto"/>
        </w:rPr>
      </w:pPr>
    </w:p>
    <w:p>
      <w:pPr>
        <w:ind w:left="340" w:right="2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Discontinued Operations Indemnity – </w:t>
      </w:r>
      <w:r>
        <w:rPr>
          <w:rFonts w:ascii="Arial" w:cs="Arial" w:eastAsia="Arial" w:hAnsi="Arial"/>
          <w:sz w:val="18"/>
          <w:szCs w:val="18"/>
          <w:color w:val="auto"/>
        </w:rPr>
        <w:t>In connection with the 2006 sale of the former Sensors &amp; Controls business, we have agreed to indemnify Sensata</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We have not made any indemnity payments related to this matter and do not expect that any potential payments related to this indemnity obligation would have a material adverse effect on our financial condition, results of operations or liquidity in future pe riods.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left="340" w:right="46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In the first quarter of 2010, we transferred a low-power wireless product line from the Analog segment to the Wireless segment. All segment results for prior periods have been restated to conform to this new presentation.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For Three Months Ended Sept. 30,</w:t>
            </w: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2"/>
              </w:rPr>
              <w:t>For 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4"/>
              </w:rPr>
              <w:t>2010</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Segment Revenue</w:t>
            </w: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740" w:type="dxa"/>
            <w:vAlign w:val="bottom"/>
            <w:gridSpan w:val="2"/>
            <w:shd w:val="clear" w:color="auto" w:fill="CCEEFF"/>
          </w:tcPr>
          <w:p>
            <w:pPr>
              <w:ind w:left="19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1,581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Embedded Processing</w:t>
            </w: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579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1,535</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813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3,740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For Three Months Ended Sept. 30,</w:t>
            </w:r>
          </w:p>
        </w:tc>
        <w:tc>
          <w:tcPr>
            <w:tcW w:w="2620" w:type="dxa"/>
            <w:vAlign w:val="bottom"/>
            <w:gridSpan w:val="6"/>
          </w:tcPr>
          <w:p>
            <w:pPr>
              <w:spacing w:after="0"/>
              <w:rPr>
                <w:sz w:val="20"/>
                <w:szCs w:val="20"/>
                <w:color w:val="auto"/>
              </w:rPr>
            </w:pPr>
            <w:r>
              <w:rPr>
                <w:rFonts w:ascii="Arial" w:cs="Arial" w:eastAsia="Arial" w:hAnsi="Arial"/>
                <w:sz w:val="18"/>
                <w:szCs w:val="18"/>
                <w:b w:val="1"/>
                <w:bCs w:val="1"/>
                <w:color w:val="auto"/>
                <w:w w:val="92"/>
              </w:rPr>
              <w:t>For Nine Months Ended Sept.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4"/>
              </w:rPr>
              <w:t>2010</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Profit</w:t>
            </w: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74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740" w:type="dxa"/>
            <w:vAlign w:val="bottom"/>
            <w:gridSpan w:val="2"/>
            <w:shd w:val="clear" w:color="auto" w:fill="CCEEFF"/>
          </w:tcPr>
          <w:p>
            <w:pPr>
              <w:ind w:left="19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Embedded Processing</w:t>
            </w: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348</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1,043</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profit</w:t>
            </w:r>
          </w:p>
        </w:tc>
        <w:tc>
          <w:tcPr>
            <w:tcW w:w="19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1,227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restructuring expenses impacting segment results for the three and nine months ended September 30, 2010 and 2009.</w:t>
      </w:r>
    </w:p>
    <w:p>
      <w:pPr>
        <w:spacing w:after="0" w:line="252" w:lineRule="exact"/>
        <w:rPr>
          <w:sz w:val="20"/>
          <w:szCs w:val="20"/>
          <w:color w:val="auto"/>
        </w:rPr>
      </w:pPr>
    </w:p>
    <w:p>
      <w:pPr>
        <w:ind w:left="340" w:right="60" w:hanging="332"/>
        <w:spacing w:after="0" w:line="25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 On October 14, 2010, we announced the acquisition of a fully equipped 200-millimeter wafer fabrication facility (fab) from Cension Semiconductor Manufacturing Company in China to further expand our analog manufacturing capacity. The facility is located in the Chengdu High-tech Zone. The acquisition also includes a non-operating fab reserved for future capacity expansion. The acquisition will be recorded as a business combination in the fourth quarter of 2010 and we expect to use net cash of $140 million. Up to an additional $35 million may be paid to the seller over the next twelve months based on certain performance criteria.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were the world’s fourth largest semiconductor company in 2009 as measured by revenue, according to an external source. Additionally, we sell calculators and related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5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nearly 80,000 customers generated about 40 percent of our revenue in 2009. According to external sources, the worldwide market for analog semiconductors was about $32 billion in 2009. Our Analog segment’s</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revenue in 2009 was $4.2 billion, or about 13 percent of this market, the </w:t>
      </w:r>
      <w:r>
        <w:rPr>
          <w:rFonts w:ascii="Arial" w:cs="Arial" w:eastAsia="Arial" w:hAnsi="Arial"/>
          <w:sz w:val="21"/>
          <w:szCs w:val="21"/>
          <w:color w:val="auto"/>
        </w:rPr>
        <w:t>leading position. We believe that we are well-positioned to increase</w:t>
      </w:r>
      <w:r>
        <w:rPr>
          <w:rFonts w:ascii="Arial" w:cs="Arial" w:eastAsia="Arial" w:hAnsi="Arial"/>
          <w:sz w:val="18"/>
          <w:szCs w:val="18"/>
          <w:color w:val="auto"/>
        </w:rPr>
        <w:t xml:space="preserve"> </w:t>
      </w:r>
      <w:r>
        <w:rPr>
          <w:rFonts w:ascii="Arial" w:cs="Arial" w:eastAsia="Arial" w:hAnsi="Arial"/>
          <w:sz w:val="21"/>
          <w:szCs w:val="21"/>
          <w:color w:val="auto"/>
        </w:rPr>
        <w:t>our market share over time.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Analog product lines are: high-volume analog &amp; logic, high-performance analog and power management.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more than 15,000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21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2009. The worldwide market for embedded processors was about $14 billion in 2009. According to external sources, we have about 11 percent share in this fragmented market, and we believe we are well-positioned to increase our market share over time.</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Smartphones (phones which contain computing capability) are a rapidly growing portion of the cell phone market. These devices require an applications processor to run the phone’s software and services, and other semiconductors to enable connectivity through means other than the cellular network (for example, Bluetooth® devices, WiFi networks or GPS location services).</w:t>
      </w:r>
    </w:p>
    <w:p>
      <w:pPr>
        <w:spacing w:after="0" w:line="208"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We concentrate our Wireless investments on our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and connectivity products. These products are central to smartphones and offer growth opportunities with a broad set of customers.</w:t>
      </w: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discontinued investment in baseband chips, a market with shrinking competitive barriers and slowing growth rates. We expect substantially all of our baseband revenue, which was $1.73 billion in 2009, to cease by the end of 2012.</w:t>
      </w:r>
    </w:p>
    <w:p>
      <w:pPr>
        <w:spacing w:after="0" w:line="19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Wireless products are typically sold in high volumes, and our Wireless portfolio includes both standard products and custom products. Sales of Wireless products generated about 25 percent of our revenue in 2009, and a significant portion of our Wireless sales were to a single customer.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Other segment includes revenue from sales from our smaller semiconductor product lines and of our handheld graphing and scientific calculators, as well as royalties received for our patented technology that we license to other electronics companies and transition service agreements we may enter into in connection with acquisitions and divestitures.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and custom semiconductors known as application-specific integrated circuits (ASICs). This segment generated about 20 percent of our revenue in 2009.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allowing greater flexibility to meet final package and test configurations.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 w:name="page18"/>
    <w:bookmarkEnd w:id="17"/>
    <w:p>
      <w:pPr>
        <w:ind w:right="240"/>
        <w:spacing w:after="0" w:line="259" w:lineRule="auto"/>
        <w:rPr>
          <w:sz w:val="20"/>
          <w:szCs w:val="20"/>
          <w:color w:val="auto"/>
        </w:rPr>
      </w:pPr>
      <w:r>
        <w:rPr>
          <w:rFonts w:ascii="Arial" w:cs="Arial" w:eastAsia="Arial" w:hAnsi="Arial"/>
          <w:sz w:val="18"/>
          <w:szCs w:val="18"/>
          <w:color w:val="auto"/>
        </w:rPr>
        <w:t>As a result of two multi-year trends, in general we expect to carry higher levels of inventory relative to our revenue expectations (commonly viewed by investors as days of inventory) than in past years. First, standard products have become a larger part of our portfolio. Second, we have increased consignment programs for our largest customers and some distributors and, as a result, we now carry more inventory on average than in the past in order to service the needs of these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5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12 and 18 weeks and takes place in highly specialized facilities.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varies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supplement our internal wafer fabrication capacity and maximize our responsiveness to customer demand and return on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2009, external foundries provided about 55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 ction needs.</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in maintaining internal assembly/test capacity.</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2010 we qualified the industry’s first 300-millimeter analog wafer factory, located in Richardson, Texas, and acquired two operating wafer factories, one in Japan and one in China.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Market cycle</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Third-Quarter 2010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third-quarter revenue was $3.74 billion, net income was $859 million and earnings per share were 71 cents.</w:t>
      </w:r>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strong performance was driven by growth in all of our segments. Our continuing transformation to a company focused on Analog and Embedded Processing delivered new highs for both gross and operating margins. Strong earnings per share demonstrate the combined impact of solid profits and our diligence to return excess capital to our shareholders through stock repurchases.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Demand from industrial markets was especially strong, while consumer demand cooled, impacting markets such as computing and televisions. Across a wide array of markets, our Analog and Embedded Processing products and Wireless smartphone chips continued to gain share. These products are broadly needed in today’s electronic equipment, and our market share gains reflect the focused investments we have made in our portfolio, applications support and manufacturing capacity.</w:t>
      </w:r>
    </w:p>
    <w:p>
      <w:pPr>
        <w:spacing w:after="0" w:line="21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Importantly, we soon will begin initial shipments from RFAB, the world’s first 300-millimeter manufacturing facility for analog semiconductors. In the quarter, we also purchased a 200-millimeter analog manufacturing facility in Aizu, Japan, and in October we began our first semiconductor manufacturing operations in China with the purchase of a facility in the high-tech region of Chengdu. These purchases have been made at substantial discounts, and they support our plans to continue gaining market share over the long term.</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fourth quarter, we expect sequentially lower revenue reflecting a combination of seasonal patterns, continued soft demand in computing and consumer markets, and slowing growth in the industrial market.</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82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left="390"/>
              <w:spacing w:after="0"/>
              <w:rPr>
                <w:sz w:val="20"/>
                <w:szCs w:val="20"/>
                <w:color w:val="auto"/>
              </w:rPr>
            </w:pPr>
            <w:r>
              <w:rPr>
                <w:rFonts w:ascii="Arial" w:cs="Arial" w:eastAsia="Arial" w:hAnsi="Arial"/>
                <w:sz w:val="18"/>
                <w:szCs w:val="18"/>
                <w:b w:val="1"/>
                <w:bCs w:val="1"/>
                <w:color w:val="auto"/>
                <w:w w:val="92"/>
              </w:rPr>
              <w:t>For Three Months Ended</w:t>
            </w: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4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Sept. 30,</w:t>
            </w:r>
          </w:p>
        </w:tc>
        <w:tc>
          <w:tcPr>
            <w:tcW w:w="1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 30,</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1"/>
        </w:trPr>
        <w:tc>
          <w:tcPr>
            <w:tcW w:w="4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28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June 30, 2010</w:t>
            </w:r>
          </w:p>
        </w:tc>
      </w:tr>
      <w:tr>
        <w:trPr>
          <w:trHeight w:val="216"/>
        </w:trPr>
        <w:tc>
          <w:tcPr>
            <w:tcW w:w="4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1,399</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1,602</w:t>
            </w:r>
          </w:p>
        </w:tc>
      </w:tr>
      <w:tr>
        <w:trPr>
          <w:trHeight w:val="27"/>
        </w:trPr>
        <w:tc>
          <w:tcPr>
            <w:tcW w:w="4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417</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Restructuring expense</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r>
      <w:tr>
        <w:trPr>
          <w:trHeight w:val="27"/>
        </w:trPr>
        <w:tc>
          <w:tcPr>
            <w:tcW w:w="4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r>
      <w:tr>
        <w:trPr>
          <w:trHeight w:val="27"/>
        </w:trPr>
        <w:tc>
          <w:tcPr>
            <w:tcW w:w="4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w:t>
            </w:r>
          </w:p>
        </w:tc>
      </w:tr>
      <w:tr>
        <w:trPr>
          <w:trHeight w:val="210"/>
        </w:trPr>
        <w:tc>
          <w:tcPr>
            <w:tcW w:w="4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r>
      <w:tr>
        <w:trPr>
          <w:trHeight w:val="21"/>
        </w:trPr>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r>
      <w:tr>
        <w:trPr>
          <w:trHeight w:val="210"/>
        </w:trPr>
        <w:tc>
          <w:tcPr>
            <w:tcW w:w="4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1,255</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1,208</w:t>
            </w:r>
          </w:p>
        </w:tc>
      </w:tr>
      <w:tr>
        <w:trPr>
          <w:trHeight w:val="21"/>
        </w:trPr>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1,196</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1,268</w:t>
            </w:r>
          </w:p>
        </w:tc>
        <w:tc>
          <w:tcPr>
            <w:tcW w:w="4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1,221</w:t>
            </w:r>
          </w:p>
        </w:tc>
      </w:tr>
      <w:tr>
        <w:trPr>
          <w:trHeight w:val="210"/>
        </w:trPr>
        <w:tc>
          <w:tcPr>
            <w:tcW w:w="4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dividends declared per share of common stock</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r>
      <w:tr>
        <w:trPr>
          <w:trHeight w:val="210"/>
        </w:trPr>
        <w:tc>
          <w:tcPr>
            <w:tcW w:w="4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54.5%</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r>
    </w:tbl>
    <w:p>
      <w:pPr>
        <w:spacing w:after="0" w:line="229"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that receive dividends is excluded from the calculation of EPS. The amount excluded was $13 million, $6 million and $11 million for the quarters ending September 30, 2010, September 30, 2009 and June 30, 2010,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 for the third quarter of 2010 was $3.74 billion, an increase of $860 million, or 30 percent, from the year-ago quarter, and $244 million, or 7 percent, from the prior quarter. Revenue in all segments increased over both the year-ago quarter and the prior quarter primarily due to increased shipments across a broad range of products, with particular strength in our core businesses. Our core businesses are the Analog and Embedded Processing segments and the smartphone-focused applications processors and connectivity products of our Wireless segment.</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Gross profit for the third quarter of 2010 was $2.04 billion, or 54.5 percent of revenue, an increase of $558 million, or 38 percent, from the year-ago quarter, and $145 million, or 8 percent, from the prior quarter. The increase in gross profit in both comparisons was due to higher revenue.</w:t>
      </w:r>
    </w:p>
    <w:p>
      <w:pPr>
        <w:spacing w:after="0" w:line="17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Operating expenses for the third quarter of 2010 were $417 million for R&amp;D and $391 million for SG&amp;A. R&amp;D expense increased $49 million, or 13 percent, from the year-ago quarter primarily due to higher compensation-related costs and, to a lesser extent, higher product development costs, in our core businesses. R&amp;D expense increased $25 million, or 6 percent, from the prior quarter primarily due to higher product development costs and, to a lesser extent, higher compensation-related costs, in our core businesses. SG&amp;A expense increased $51 million, or 15 percent, from the year-ago quarter due to higher compensation-related costs and, to a lesser extent, higher sales and marketing costs. Compared with the prior quarter, SG&amp;A expense increased $13 million, or 3 percent, prim arily due to higher compensation-related costs.</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0" w:name="page21"/>
    <w:bookmarkEnd w:id="20"/>
    <w:p>
      <w:pPr>
        <w:ind w:right="220"/>
        <w:spacing w:after="0" w:line="264" w:lineRule="auto"/>
        <w:rPr>
          <w:sz w:val="20"/>
          <w:szCs w:val="20"/>
          <w:color w:val="auto"/>
        </w:rPr>
      </w:pPr>
      <w:r>
        <w:rPr>
          <w:rFonts w:ascii="Arial" w:cs="Arial" w:eastAsia="Arial" w:hAnsi="Arial"/>
          <w:sz w:val="18"/>
          <w:szCs w:val="18"/>
          <w:color w:val="auto"/>
        </w:rPr>
        <w:t>Restructuring costs in the third quarter of 2010 were $4 million compared with $10 million in the year-ago quarter and $17 million in the prior quarter, reflecting settlements of U.S. pension plan benefits for employees affected by actions taken in 2008 and 2009. All of these actions were completed in 2009 (see Note 3 to the Financial Statements for a discussion of these charges and payments made during the quarter).</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third quarter of 2010, our operating profit was $1.23 billion, or 32.8 percent of revenue, compared with $763 million, or 26.5 percent of revenue, for the year-ago quarter and $1.11 billion, or 31.7 percent of revenue, for the prior quarter. The increase in operating profit in both comparisons was due to higher gross profit, partially offset by higher operating expenses.</w:t>
      </w:r>
    </w:p>
    <w:p>
      <w:pPr>
        <w:spacing w:after="0" w:line="20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September 30, 2010, the estimated annual effective tax rate is expected to be about 31 percent (see Note 4 to the Financial Statements for additional information). The tax rate is based on current tax law and does not assume reinstatement of the federal research tax credit, which expired at the end of 2009.</w:t>
      </w:r>
    </w:p>
    <w:p>
      <w:pPr>
        <w:spacing w:after="0" w:line="15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Quarterly income taxes are calculated using the estimated annual effective tax rate. For the third quarter of 2010, our tax provision was $376 million compared with $227 million in the year-ago quarter and $342 million in the prior quarter. The increase in the tax provision from both periods was due to higher income before income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2010, our net income was $859 million compared with $538 million for the year-ago quarter and $769 million for the prior</w:t>
      </w:r>
    </w:p>
    <w:p>
      <w:pPr>
        <w:spacing w:after="0" w:line="23"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quarter. Earnings per share (EPS) were $0.71 compared with $0.42 for the year-ago quarter and $0.62 for the prior quarter. EPS benefitted $0.04 from the year-ago quarter and $0.01 sequentially from a lower number of average shares outstanding as a result of our stock repurchase program.</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Orders in the third quarter were $3.43 billion, an increase of 10 percent from the year-ago quarter. Compared with the prior quarter, orders decreased 8 percent.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5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Information regarding the third quarter of 2009 has been restated to reflect the transfer of a low-power wireless product line from our Analog segment to our Wireless segment in the first quarter of 2010. For 2009, revenue from this product line was $68 million, and it operated at a loss of $17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3Q09</w:t>
            </w: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3Q10 vs. 3Q09</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2Q10</w:t>
            </w: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3Q10 vs. 2Q10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1,581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472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Analog revenue increased 35 percent from the year-ago quarter due to increased shipments of, in decreasing order, high-performance analog products, power management products and high-volume analog &amp; logic products. Revenue increased 5 percent from the prior quarter due to higher shipments of, in decreasing order, high-performance analog products, high-volume analog &amp; logic products and power management products. Operating profit increased compared with both the year-ago quarter and the prior quarter due to higher revenue and associated gross profit.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3Q10</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3Q09</w:t>
            </w: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3Q10 vs. 3Q09</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2Q10</w:t>
            </w: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3Q10 vs. 2Q10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579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8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160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27.6%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Embedded Processing revenue increased 47 percent from the year-ago quarter and 12 percent from the prior quarter. The increase from the year-ago quarter was primarily due to increased shipments of catalog products, and to a lesser extent, in decreasing order, increased shipments of communications infrastructure and automotive products. The increase from the prior quarter was due about equally to increased shipments of communications infrastructure and catalog products, while shipments of automotive products were even. 60;Operating profit increased compared with both the year-ago quarter and the prior quarter due to higher revenue and associated gross profit.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3Q10</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3Q09</w:t>
            </w: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3Q10 vs. 3Q09</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2Q10</w:t>
            </w: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3Q10 vs. 2Q10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767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8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180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23.5%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Wireless revenue increased 11 percent from the year-ago quarter and 6 percent from the prior quarter. The increase from the year-ago quarter was due to increased shipments of connectivity products and, to a lesser extent, applications processors. The increase in revenue from the prior quarter was primarily due to an increased proportion of shipments of higher-priced baseband products, and to a lesser extent, increased shipments of connectivity products and applications processors. Baseband revenue for the third quarter of 2010 was $438 million, a decrease of $12 million, or 3 percent, from the year-ago quarter and an increase of $2 2 million, or 5 percent, compared with the prior quarter. The increase in Wireless operating profit compared with the year-ago quarter and the prior quarter was due to higher revenue and associated gross profit.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3Q10</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3Q09</w:t>
            </w: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3Q10 vs. 3Q09</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2Q10</w:t>
            </w: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3Q10 vs. 2Q10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813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8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367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45.2%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Other revenue increased 29 percent from the year-ago quarter, primarily due to, in decreasing order, higher shipments of DLP products and custom ASIC products and higher royalties, offset by decreased shipments of calculators. Compared with the prior quarter, revenue increased 10 percent primarily due to increased shipments of, in decreasing order, custom ASIC products, DLP products and graphing calculators. This revenue was partially offset by lower royalties. Operating profit for the third quarter of 2010 increased from both the year-ago quarter and the prior quarter due to higher revenue and associated gross profit. Also included in the current quarter were the operating results from, and expenses associated with, the a cquisition of our manufacturing facilities in Japan that were purchased in August (see Note 2 to the Financial Statements for a description of the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2010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2010, we report the following:</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was $10.44 billion, an increase of $3.02 billion, or 41 percent, compared with the year-ago period due to increased shipments across a broad range of products. Every segment experienced double-digit revenue growth.</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Gross profit was $5.62 billion, an increase of $2.21 billion, or 65 percent, from the year-ago period primarily due to higher revenue, and to a lesser extent, the impact of improved factory utilization. Improved factory utilization increased our gross profit by $296 million from the year-ago period. Gross profit margin was 53.9 percent of revenue compared with 45.9 percent in the year-ago period.</w:t>
      </w:r>
    </w:p>
    <w:p>
      <w:pPr>
        <w:spacing w:after="0" w:line="20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R&amp;D expense of $1.18 billion increased 5 percent from the year-ago period due to higher compensation-related costs. R&amp;D expense as a percent of revenue was 11.3 percent compared with 15.1 percent in the year-ago period. Consistent with our strategic focus, R&amp;D expense increased in the core businesses and decreased in Wireless baseband products.</w:t>
      </w:r>
    </w:p>
    <w:p>
      <w:pPr>
        <w:spacing w:after="0" w:line="20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SG&amp;A expense was $1.13 billion, an increase of 16 percent from the year-ago period, primarily due to higher compensation-related costs, and to a lesser extent, higher sales and marketing costs. SG&amp;A expense as a percent of revenue was 10.8 percent compared with 13.1 percent in the year-ago period.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Restructuring expenses were $31 million compared with $200 million for the year-ago period.</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profit was $3.28 billion, or 31.5 percent of revenue, compared with $1.12 billion, or 15.0 percent of revenue, in the year-ago period. The increase was due to higher gross profit.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tax provision was $1.02 billion compared with $321 million in the year-ago period. The increase was due to higher income before income taxes.</w:t>
      </w:r>
    </w:p>
    <w:p>
      <w:pPr>
        <w:spacing w:after="0" w:line="264"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Net income was $2.29 billion compared with $815 million in the year-ago period. Earnings per share were $1.85, compared with $0.63 in the year-ago period. EPS benefitted $0.08 from the year-ago period from a lower number of average shares outstanding as a result of our stock repurchase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Orders were $10.81 billion, an increase of 33 percent from the year-ago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regarding 2009 has been restated to reflect the transfer of a low-power wireless product line from our Analog segment to our Wireless segment in the first quarter of 2010. For 2009, revenue from this product line was $68 million, and it operated at a loss of $17 million.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YTD 2010 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YTD 2010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YTD 2009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YTD 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1,391</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Analog revenue increased 52 percent from the year-ago period, due to increased shipments of, in decreasing order, high-volume analog &amp; logic products, power management products and high-performance analog products. For the first nine months of 2010, operating profit increased compared with the year-ago period due to higher revenue and associated gross profit.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YTD 2010 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YTD 2010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YTD 2009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YTD 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348</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Embedded Processing revenue increased 45 percent from the year-ago period, primarily due to increased shipments of catalog products, and to a lesser extent, increased shipments of communications infrastructure and automotive products. Compared with the year ago-period, operating profit increased due to higher revenue and associated gross profit.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YTD 2010 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YTD 2010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YTD 2009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YTD 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profit*</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502</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jc w:val="right"/>
              <w:ind w:right="1416"/>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3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ind w:right="40"/>
        <w:spacing w:after="0" w:line="279" w:lineRule="auto"/>
        <w:rPr>
          <w:sz w:val="20"/>
          <w:szCs w:val="20"/>
          <w:color w:val="auto"/>
        </w:rPr>
      </w:pPr>
      <w:r>
        <w:rPr>
          <w:rFonts w:ascii="Arial" w:cs="Arial" w:eastAsia="Arial" w:hAnsi="Arial"/>
          <w:sz w:val="17"/>
          <w:szCs w:val="17"/>
          <w:color w:val="auto"/>
        </w:rPr>
        <w:t>Wireless revenue increased 18 percent from the year-ago period primarily due to increased shipments of connectivity products, and to a lesser extent, applications processors. Shipments of baseband products declined, but baseband revenue of $1.28 billion was about even compared with the year-ago period, as we shipped a greater proportion of higher-priced products. Compared with the year-ago period, operating profit increased primarily due to higher revenue and associated gross profit. Lower restructuring and operating expenses also contributed to the increase but to a lesser extent.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YTD 2010 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YTD 2010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YTD 2009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YTD 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1,043</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revenue increased 44 percent from the year-ago period due to, in decreasing order, increased shipments of DLP products, higher royalties, increased shipments of custom ASIC products and increased shipments of calculators. Operating profit was higher than the year-ago period due to higher revenue and associated gross profit.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the end of the third quarter of 2010, total cash (cash and cash equivalents plus short-term investments) was $2.51 billion. This was $415 million lower than at the end of 2009.</w:t>
      </w:r>
    </w:p>
    <w:p>
      <w:pPr>
        <w:spacing w:after="0" w:line="19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Accounts receivable were $1.75 billion at the end of the quarter. This was an increase of $477 million from the end of 2009. Days sales outstanding (DSO) were 42 at the end of the quarter compared with 38 at the end of 2009. The increase in DSO was primarily the result of seasonally lower shipments in December 2009 compared with September 2010.</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Inventory was $1.42 billion at the end of the quarter. This was an increase of $222 million from the end of 2009. Days of inventory at the end of the third quarter were 75 compared with 76 at the end of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sources of liquidity are our cash flows from operations, cash and cash equivalents, short-term investments and a revolving credit facility. Our primary source of liquidity is cash flow from operations. Cash flow from operations for the first nine months of 2010 was $2.59 billion, an increase of $948 million from the year-ago period due to the increase in net income that was partially offset by changes in working capital.</w:t>
      </w:r>
    </w:p>
    <w:p>
      <w:pPr>
        <w:spacing w:after="0" w:line="20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$1.09 billion of cash and cash equivalents and $1.42 billion of short-term investments as of September 30, 2010. We have a variable rate revolving credit facility that allows us to borrow up to $1 billion until August 2011 and up to $920 million from August 2011 until August 2012. We also have a non-U.S. revolving credit facility of $175 million that expires in November 2010. As of September 30, 2010, these credit facilities were not being utilized.</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first nine months of 2010, investing activities used cash of $509 million compared with $445 million in the year-ago period. The increase was primarily due to capital expenditures, which were $898 million in the current period compared with $317 million in the year-ago period. These capital expenditures were primarily for analog wafer manufacturing equipment (including 300-millimeter production tools acquired under Spansion Japan Limited’s court-approved plan of reorganization) and assembly/test manufacturing equipment. Additionally, in 2010 we used $59 million for a business acquisition that included $42 million for wafer fabrication facilities and related 200-millimeter equipment (see Note 2 to the Financial Statements for details regarding acquisitions). During the first nine months of 2010, sales and maturities of short-term investments net of purchases provided cash of $364 million. This compares with net purchases of short-term investments during the same period a year ago that used $30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7"/>
          <w:szCs w:val="17"/>
          <w:color w:val="auto"/>
        </w:rPr>
        <w:t>For the first nine months of 2010, net cash used in financing activities was $2.17 billion, compared with $949 million in the year-ago period. We used $1.85 billion of cash in the first nine months of 2010 to repurchase 74.3 million shares of our common stock and paid dividends of $439 million. In the same period last year we used $602 million of cash to repurchase 30.5 million shares of common stock and paid $418 million in dividends.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third quarter, we announced that our Board of Directors authorized us to repurchase an additional $7.5 billion of our common stock. This is in addition to the $1.3 billion in repurchase authorizations remaining at the end of June 2010. We plan to repurchase shares at times and prices we consider appropriate. Since September 2004, the Board has authorized the repurchase of $27.5 billion of stock. During that period, we have reduced our shares outstanding by 32 percent.</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Board of Directors announced an increase in our quarterly cash dividend to $0.13 per share from $0.12 per share, resulting in annual dividend payments of $0.52 per common share. Our Board of Directors declared a dividend at the new quarterly rate on October 21, 2010, payable November 22, 2010, to stockholders of record on November 1, 2010. The Board has increased the dividend every year beginning in September 2004. We have paid dividends to our shareholders on an uninterrupted basis since June 1, 1962.</w:t>
      </w:r>
    </w:p>
    <w:p>
      <w:pPr>
        <w:spacing w:after="0" w:line="21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In 2010, we expect: an annual effective tax rate of about 31 percent; R&amp;D expense of $1.6 billion, up from the prior expectation of $1.5 billion; capital expenditures of $1.2 billion; and depreciation of $0.9 billion. The tax rate is based on current tax law and does not assume reinstatement of the federal research tax credit, which expired at the end of 2009.</w:t>
      </w:r>
    </w:p>
    <w:p>
      <w:pPr>
        <w:spacing w:after="0" w:line="20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concerning market risk is contained on page 45 of Exhibit 13 to our Form 10-K for the year ended December 31, 2009, and is incorporated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 ly to materially affect, our internal control over financial reporting.</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5" w:name="page26"/>
    <w:bookmarkEnd w:id="25"/>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760" w:type="dxa"/>
            <w:vAlign w:val="bottom"/>
            <w:gridSpan w:val="7"/>
          </w:tcPr>
          <w:p>
            <w:pPr>
              <w:ind w:left="360"/>
              <w:spacing w:after="0"/>
              <w:rPr>
                <w:sz w:val="20"/>
                <w:szCs w:val="20"/>
                <w:color w:val="auto"/>
              </w:rPr>
            </w:pPr>
            <w:r>
              <w:rPr>
                <w:rFonts w:ascii="Arial" w:cs="Arial" w:eastAsia="Arial" w:hAnsi="Arial"/>
                <w:sz w:val="18"/>
                <w:szCs w:val="18"/>
                <w:b w:val="1"/>
                <w:bCs w:val="1"/>
                <w:color w:val="auto"/>
              </w:rPr>
              <w:t>ISSUER PURCHASES OF EQUITY SECURITIES</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 Number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Shares Purchased as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Part of Publicly</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 Number of</w:t>
            </w: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 Paid</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Announced Plans or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the Plans</w:t>
            </w: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Shares Purchased</w:t>
            </w:r>
          </w:p>
        </w:tc>
        <w:tc>
          <w:tcPr>
            <w:tcW w:w="240" w:type="dxa"/>
            <w:vAlign w:val="bottom"/>
          </w:tcPr>
          <w:p>
            <w:pPr>
              <w:spacing w:after="0"/>
              <w:rPr>
                <w:sz w:val="20"/>
                <w:szCs w:val="20"/>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per Share</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Programs (1)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 (1)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2010</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6,935,200</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6,935,200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$ 1,170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August 1 through August 31, 2010</w:t>
            </w:r>
          </w:p>
        </w:tc>
        <w:tc>
          <w:tcPr>
            <w:tcW w:w="2960" w:type="dxa"/>
            <w:vAlign w:val="bottom"/>
            <w:gridSpan w:val="4"/>
          </w:tcPr>
          <w:p>
            <w:pPr>
              <w:jc w:val="right"/>
              <w:ind w:right="240"/>
              <w:spacing w:after="0"/>
              <w:rPr>
                <w:sz w:val="20"/>
                <w:szCs w:val="20"/>
                <w:color w:val="auto"/>
              </w:rPr>
            </w:pPr>
            <w:r>
              <w:rPr>
                <w:rFonts w:ascii="Arial" w:cs="Arial" w:eastAsia="Arial" w:hAnsi="Arial"/>
                <w:sz w:val="18"/>
                <w:szCs w:val="18"/>
                <w:color w:val="auto"/>
              </w:rPr>
              <w:t>13,017,264</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24.97</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13,017,264</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$ 845 million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8"/>
              </w:rPr>
              <w:t>September 1 through September 30, 2010</w:t>
            </w:r>
          </w:p>
        </w:tc>
        <w:tc>
          <w:tcPr>
            <w:tcW w:w="2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4,016,714</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4,016,714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$ 8,245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23,969,178</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25.03</w:t>
            </w:r>
          </w:p>
        </w:tc>
        <w:tc>
          <w:tcPr>
            <w:tcW w:w="182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18"/>
                <w:szCs w:val="18"/>
                <w:color w:val="auto"/>
              </w:rPr>
              <w:t>23,969,178</w:t>
            </w:r>
            <w:r>
              <w:rPr>
                <w:rFonts w:ascii="Arial" w:cs="Arial" w:eastAsia="Arial" w:hAnsi="Arial"/>
                <w:sz w:val="25"/>
                <w:szCs w:val="25"/>
                <w:color w:val="auto"/>
                <w:vertAlign w:val="subscript"/>
              </w:rPr>
              <w:t>(2)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$ 8,245 million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34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purchases during the quarter were made under an authorization to purchase up to $5 billion of our common stock, which was announced on September 21, 2007. On September 16, 2010, our Board of Directors authorized the purchase of an additional $7.5 billion of our common stock. No expiration date has been specified for these authorizations.</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purchases in the period were made through open-market purchases.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Designation of</w:t>
            </w:r>
          </w:p>
        </w:tc>
        <w:tc>
          <w:tcPr>
            <w:tcW w:w="2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Exhibits in</w:t>
            </w:r>
          </w:p>
        </w:tc>
        <w:tc>
          <w:tcPr>
            <w:tcW w:w="2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41"/>
        </w:trPr>
        <w:tc>
          <w:tcPr>
            <w:tcW w:w="180" w:type="dxa"/>
            <w:vAlign w:val="bottom"/>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This Report</w:t>
            </w:r>
          </w:p>
        </w:tc>
        <w:tc>
          <w:tcPr>
            <w:tcW w:w="200" w:type="dxa"/>
            <w:vAlign w:val="bottom"/>
          </w:tcPr>
          <w:p>
            <w:pPr>
              <w:spacing w:after="0"/>
              <w:rPr>
                <w:sz w:val="20"/>
                <w:szCs w:val="20"/>
                <w:color w:val="auto"/>
              </w:rPr>
            </w:pPr>
          </w:p>
        </w:tc>
        <w:tc>
          <w:tcPr>
            <w:tcW w:w="9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Exhibit</w:t>
            </w:r>
          </w:p>
        </w:tc>
        <w:tc>
          <w:tcPr>
            <w:tcW w:w="46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10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200" w:type="dxa"/>
            <w:vAlign w:val="bottom"/>
            <w:shd w:val="clear" w:color="auto" w:fill="CCEEFF"/>
          </w:tcPr>
          <w:p>
            <w:pPr>
              <w:spacing w:after="0"/>
              <w:rPr>
                <w:sz w:val="17"/>
                <w:szCs w:val="17"/>
                <w:color w:val="auto"/>
              </w:rPr>
            </w:pPr>
          </w:p>
        </w:tc>
        <w:tc>
          <w:tcPr>
            <w:tcW w:w="9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c>
          <w:tcPr>
            <w:tcW w:w="46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80" w:type="dxa"/>
            <w:vAlign w:val="bottom"/>
            <w:tcBorders>
              <w:top w:val="single" w:sz="8" w:color="CCEEFF"/>
            </w:tcBorders>
          </w:tcPr>
          <w:p>
            <w:pPr>
              <w:spacing w:after="0"/>
              <w:rPr>
                <w:sz w:val="18"/>
                <w:szCs w:val="18"/>
                <w:color w:val="auto"/>
              </w:rPr>
            </w:pPr>
          </w:p>
        </w:tc>
        <w:tc>
          <w:tcPr>
            <w:tcW w:w="4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10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200" w:type="dxa"/>
            <w:vAlign w:val="bottom"/>
            <w:shd w:val="clear" w:color="auto" w:fill="CCEEFF"/>
          </w:tcPr>
          <w:p>
            <w:pPr>
              <w:spacing w:after="0"/>
              <w:rPr>
                <w:sz w:val="17"/>
                <w:szCs w:val="17"/>
                <w:color w:val="auto"/>
              </w:rPr>
            </w:pPr>
          </w:p>
        </w:tc>
        <w:tc>
          <w:tcPr>
            <w:tcW w:w="9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c>
          <w:tcPr>
            <w:tcW w:w="46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80" w:type="dxa"/>
            <w:vAlign w:val="bottom"/>
            <w:tcBorders>
              <w:top w:val="single" w:sz="8" w:color="CCEEFF"/>
            </w:tcBorders>
          </w:tcPr>
          <w:p>
            <w:pPr>
              <w:spacing w:after="0"/>
              <w:rPr>
                <w:sz w:val="18"/>
                <w:szCs w:val="18"/>
                <w:color w:val="auto"/>
              </w:rPr>
            </w:pPr>
          </w:p>
        </w:tc>
        <w:tc>
          <w:tcPr>
            <w:tcW w:w="4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10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200" w:type="dxa"/>
            <w:vAlign w:val="bottom"/>
            <w:shd w:val="clear" w:color="auto" w:fill="CCEEFF"/>
          </w:tcPr>
          <w:p>
            <w:pPr>
              <w:spacing w:after="0"/>
              <w:rPr>
                <w:sz w:val="17"/>
                <w:szCs w:val="17"/>
                <w:color w:val="auto"/>
              </w:rPr>
            </w:pPr>
          </w:p>
        </w:tc>
        <w:tc>
          <w:tcPr>
            <w:tcW w:w="9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by Chief Executive Officer of Periodic Report Pursuant to 18 U.S.C. Section 1350.</w:t>
            </w:r>
          </w:p>
        </w:tc>
        <w:tc>
          <w:tcPr>
            <w:tcW w:w="46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80" w:type="dxa"/>
            <w:vAlign w:val="bottom"/>
            <w:tcBorders>
              <w:top w:val="single" w:sz="8" w:color="CCEEFF"/>
            </w:tcBorders>
          </w:tcPr>
          <w:p>
            <w:pPr>
              <w:spacing w:after="0"/>
              <w:rPr>
                <w:sz w:val="18"/>
                <w:szCs w:val="18"/>
                <w:color w:val="auto"/>
              </w:rPr>
            </w:pPr>
          </w:p>
        </w:tc>
        <w:tc>
          <w:tcPr>
            <w:tcW w:w="4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10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200" w:type="dxa"/>
            <w:vAlign w:val="bottom"/>
            <w:shd w:val="clear" w:color="auto" w:fill="CCEEFF"/>
          </w:tcPr>
          <w:p>
            <w:pPr>
              <w:spacing w:after="0"/>
              <w:rPr>
                <w:sz w:val="17"/>
                <w:szCs w:val="17"/>
                <w:color w:val="auto"/>
              </w:rPr>
            </w:pPr>
          </w:p>
        </w:tc>
        <w:tc>
          <w:tcPr>
            <w:tcW w:w="9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by Chief Financial Officer of Periodic Report Pursuant to 18 U.S.C. Section 1350.</w:t>
            </w:r>
          </w:p>
        </w:tc>
        <w:tc>
          <w:tcPr>
            <w:tcW w:w="46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80" w:type="dxa"/>
            <w:vAlign w:val="bottom"/>
            <w:tcBorders>
              <w:top w:val="single" w:sz="8" w:color="CCEEFF"/>
            </w:tcBorders>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101.ins</w:t>
            </w:r>
          </w:p>
        </w:tc>
        <w:tc>
          <w:tcPr>
            <w:tcW w:w="200" w:type="dxa"/>
            <w:vAlign w:val="bottom"/>
            <w:shd w:val="clear" w:color="auto" w:fill="CCEEFF"/>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Instance Document</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101.def</w:t>
            </w:r>
          </w:p>
        </w:tc>
        <w:tc>
          <w:tcPr>
            <w:tcW w:w="200" w:type="dxa"/>
            <w:vAlign w:val="bottom"/>
            <w:shd w:val="clear" w:color="auto" w:fill="CCEEFF"/>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101.sch</w:t>
            </w:r>
          </w:p>
        </w:tc>
        <w:tc>
          <w:tcPr>
            <w:tcW w:w="200" w:type="dxa"/>
            <w:vAlign w:val="bottom"/>
            <w:shd w:val="clear" w:color="auto" w:fill="CCEEFF"/>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101.cal</w:t>
            </w:r>
          </w:p>
        </w:tc>
        <w:tc>
          <w:tcPr>
            <w:tcW w:w="200" w:type="dxa"/>
            <w:vAlign w:val="bottom"/>
            <w:shd w:val="clear" w:color="auto" w:fill="CCEEFF"/>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101.lab</w:t>
            </w:r>
          </w:p>
        </w:tc>
        <w:tc>
          <w:tcPr>
            <w:tcW w:w="200" w:type="dxa"/>
            <w:vAlign w:val="bottom"/>
            <w:shd w:val="clear" w:color="auto" w:fill="CCEEFF"/>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shd w:val="clear" w:color="auto" w:fill="CCEEFF"/>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60" w:type="dxa"/>
            <w:vAlign w:val="bottom"/>
          </w:tcPr>
          <w:p>
            <w:pPr>
              <w:spacing w:after="0"/>
              <w:rPr>
                <w:sz w:val="18"/>
                <w:szCs w:val="18"/>
                <w:color w:val="auto"/>
              </w:rPr>
            </w:pPr>
          </w:p>
        </w:tc>
      </w:tr>
      <w:tr>
        <w:trPr>
          <w:trHeight w:val="555"/>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80" w:type="dxa"/>
            <w:vAlign w:val="bottom"/>
            <w:gridSpan w:val="2"/>
          </w:tcPr>
          <w:p>
            <w:pPr>
              <w:jc w:val="right"/>
              <w:ind w:right="5090"/>
              <w:spacing w:after="0"/>
              <w:rPr>
                <w:sz w:val="20"/>
                <w:szCs w:val="20"/>
                <w:color w:val="auto"/>
              </w:rPr>
            </w:pPr>
            <w:r>
              <w:rPr>
                <w:rFonts w:ascii="Arial" w:cs="Arial" w:eastAsia="Arial" w:hAnsi="Arial"/>
                <w:sz w:val="14"/>
                <w:szCs w:val="14"/>
                <w:color w:val="auto"/>
              </w:rPr>
              <w:t>26</w:t>
            </w:r>
          </w:p>
        </w:tc>
        <w:tc>
          <w:tcPr>
            <w:tcW w:w="460" w:type="dxa"/>
            <w:vAlign w:val="bottom"/>
          </w:tcPr>
          <w:p>
            <w:pPr>
              <w:spacing w:after="0"/>
              <w:rPr>
                <w:sz w:val="24"/>
                <w:szCs w:val="24"/>
                <w:color w:val="auto"/>
              </w:rPr>
            </w:pPr>
          </w:p>
        </w:tc>
      </w:tr>
      <w:tr>
        <w:trPr>
          <w:trHeight w:val="103"/>
        </w:trPr>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 demand for semiconductors, particularly in key markets such as communications, computing, industrial, and entertainment electronics;</w:t>
      </w:r>
    </w:p>
    <w:p>
      <w:pPr>
        <w:spacing w:after="0" w:line="275"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7" w:right="41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680" w:hanging="18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680" w:hanging="18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61" w:lineRule="exact"/>
        <w:rPr>
          <w:sz w:val="20"/>
          <w:szCs w:val="20"/>
          <w:color w:val="auto"/>
        </w:rPr>
      </w:pPr>
    </w:p>
    <w:p>
      <w:pPr>
        <w:ind w:left="500" w:right="140" w:hanging="6"/>
        <w:spacing w:after="0" w:line="264" w:lineRule="auto"/>
        <w:tabs>
          <w:tab w:leader="none" w:pos="7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2010, as filed with the Securities and Exchange Commission on the date hereof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right="280" w:firstLine="494"/>
        <w:spacing w:after="0" w:line="532" w:lineRule="auto"/>
        <w:tabs>
          <w:tab w:leader="none" w:pos="7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4, 2010</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51" w:lineRule="exact"/>
        <w:rPr>
          <w:sz w:val="20"/>
          <w:szCs w:val="20"/>
          <w:color w:val="auto"/>
        </w:rPr>
      </w:pPr>
    </w:p>
    <w:p>
      <w:pPr>
        <w:ind w:left="500" w:right="140" w:hanging="6"/>
        <w:spacing w:after="0" w:line="264"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2010, as filed with the Securities and Exchange Commission on the date hereof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right="280" w:firstLine="494"/>
        <w:spacing w:after="0" w:line="532"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4, 2010</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T"/>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2019-12-10T02:39:15Z</dcterms:created>
  <dcterms:modified xsi:type="dcterms:W3CDTF">2019-12-10T02:39:15Z</dcterms:modified>
</cp:coreProperties>
</file>