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760" w:type="dxa"/>
            <w:vAlign w:val="bottom"/>
          </w:tcPr>
          <w:p>
            <w:pPr>
              <w:jc w:val="center"/>
              <w:ind w:right="22"/>
              <w:spacing w:after="0"/>
              <w:rPr>
                <w:sz w:val="20"/>
                <w:szCs w:val="20"/>
                <w:color w:val="auto"/>
              </w:rPr>
            </w:pPr>
            <w:r>
              <w:rPr>
                <w:rFonts w:ascii="Arial" w:cs="Arial" w:eastAsia="Arial" w:hAnsi="Arial"/>
                <w:sz w:val="18"/>
                <w:szCs w:val="18"/>
                <w:b w:val="1"/>
                <w:bCs w:val="1"/>
                <w:color w:val="auto"/>
                <w:w w:val="98"/>
              </w:rPr>
              <w:t>DELAWARE</w:t>
            </w:r>
          </w:p>
        </w:tc>
        <w:tc>
          <w:tcPr>
            <w:tcW w:w="5600" w:type="dxa"/>
            <w:vAlign w:val="bottom"/>
          </w:tcPr>
          <w:p>
            <w:pPr>
              <w:ind w:left="2400"/>
              <w:spacing w:after="0"/>
              <w:rPr>
                <w:sz w:val="20"/>
                <w:szCs w:val="20"/>
                <w:color w:val="auto"/>
              </w:rPr>
            </w:pPr>
            <w:r>
              <w:rPr>
                <w:rFonts w:ascii="Arial" w:cs="Arial" w:eastAsia="Arial" w:hAnsi="Arial"/>
                <w:sz w:val="18"/>
                <w:szCs w:val="18"/>
                <w:b w:val="1"/>
                <w:bCs w:val="1"/>
                <w:color w:val="auto"/>
              </w:rPr>
              <w:t>001-03761</w:t>
            </w:r>
          </w:p>
        </w:tc>
        <w:tc>
          <w:tcPr>
            <w:tcW w:w="140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0" w:type="dxa"/>
            <w:vAlign w:val="bottom"/>
          </w:tcPr>
          <w:p>
            <w:pPr>
              <w:ind w:left="2380"/>
              <w:spacing w:after="0" w:line="149" w:lineRule="exact"/>
              <w:rPr>
                <w:sz w:val="20"/>
                <w:szCs w:val="20"/>
                <w:color w:val="auto"/>
              </w:rPr>
            </w:pPr>
            <w:r>
              <w:rPr>
                <w:rFonts w:ascii="Arial" w:cs="Arial" w:eastAsia="Arial" w:hAnsi="Arial"/>
                <w:sz w:val="14"/>
                <w:szCs w:val="14"/>
                <w:b w:val="1"/>
                <w:bCs w:val="1"/>
                <w:color w:val="auto"/>
              </w:rPr>
              <w:t>(Commission</w:t>
            </w:r>
          </w:p>
        </w:tc>
        <w:tc>
          <w:tcPr>
            <w:tcW w:w="140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7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of incorporation)</w:t>
            </w:r>
          </w:p>
        </w:tc>
        <w:tc>
          <w:tcPr>
            <w:tcW w:w="5600" w:type="dxa"/>
            <w:vAlign w:val="bottom"/>
          </w:tcPr>
          <w:p>
            <w:pPr>
              <w:ind w:left="2400"/>
              <w:spacing w:after="0"/>
              <w:rPr>
                <w:sz w:val="20"/>
                <w:szCs w:val="20"/>
                <w:color w:val="auto"/>
              </w:rPr>
            </w:pPr>
            <w:r>
              <w:rPr>
                <w:rFonts w:ascii="Arial" w:cs="Arial" w:eastAsia="Arial" w:hAnsi="Arial"/>
                <w:sz w:val="14"/>
                <w:szCs w:val="14"/>
                <w:b w:val="1"/>
                <w:bCs w:val="1"/>
                <w:color w:val="auto"/>
              </w:rPr>
              <w:t>file number)</w:t>
            </w:r>
          </w:p>
        </w:tc>
        <w:tc>
          <w:tcPr>
            <w:tcW w:w="1400" w:type="dxa"/>
            <w:vAlign w:val="bottom"/>
          </w:tcPr>
          <w:p>
            <w:pPr>
              <w:jc w:val="center"/>
              <w:ind w:left="24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97"/>
              </w:rPr>
              <w:t>12500 TI BOULEVARD</w:t>
            </w:r>
          </w:p>
        </w:tc>
        <w:tc>
          <w:tcPr>
            <w:tcW w:w="1400" w:type="dxa"/>
            <w:vAlign w:val="bottom"/>
          </w:tcPr>
          <w:p>
            <w:pPr>
              <w:spacing w:after="0"/>
              <w:rPr>
                <w:sz w:val="24"/>
                <w:szCs w:val="24"/>
                <w:color w:val="auto"/>
              </w:rPr>
            </w:pPr>
          </w:p>
        </w:tc>
      </w:tr>
      <w:tr>
        <w:trPr>
          <w:trHeight w:val="212"/>
        </w:trPr>
        <w:tc>
          <w:tcPr>
            <w:tcW w:w="1760" w:type="dxa"/>
            <w:vAlign w:val="bottom"/>
          </w:tcPr>
          <w:p>
            <w:pPr>
              <w:spacing w:after="0"/>
              <w:rPr>
                <w:sz w:val="18"/>
                <w:szCs w:val="18"/>
                <w:color w:val="auto"/>
              </w:rPr>
            </w:pPr>
          </w:p>
        </w:tc>
        <w:tc>
          <w:tcPr>
            <w:tcW w:w="5600" w:type="dxa"/>
            <w:vAlign w:val="bottom"/>
          </w:tcPr>
          <w:p>
            <w:pPr>
              <w:jc w:val="center"/>
              <w:ind w:right="78"/>
              <w:spacing w:after="0"/>
              <w:rPr>
                <w:sz w:val="20"/>
                <w:szCs w:val="20"/>
                <w:color w:val="auto"/>
              </w:rPr>
            </w:pPr>
            <w:r>
              <w:rPr>
                <w:rFonts w:ascii="Arial" w:cs="Arial" w:eastAsia="Arial" w:hAnsi="Arial"/>
                <w:sz w:val="18"/>
                <w:szCs w:val="18"/>
                <w:b w:val="1"/>
                <w:bCs w:val="1"/>
                <w:color w:val="auto"/>
                <w:w w:val="96"/>
              </w:rPr>
              <w:t>DALLAS, TEXAS 75243</w:t>
            </w:r>
          </w:p>
        </w:tc>
        <w:tc>
          <w:tcPr>
            <w:tcW w:w="1400" w:type="dxa"/>
            <w:vAlign w:val="bottom"/>
          </w:tcPr>
          <w:p>
            <w:pPr>
              <w:spacing w:after="0"/>
              <w:rPr>
                <w:sz w:val="18"/>
                <w:szCs w:val="18"/>
                <w:color w:val="auto"/>
              </w:rPr>
            </w:pPr>
          </w:p>
        </w:tc>
      </w:tr>
      <w:tr>
        <w:trPr>
          <w:trHeight w:val="186"/>
        </w:trPr>
        <w:tc>
          <w:tcPr>
            <w:tcW w:w="1760" w:type="dxa"/>
            <w:vAlign w:val="bottom"/>
          </w:tcPr>
          <w:p>
            <w:pPr>
              <w:spacing w:after="0"/>
              <w:rPr>
                <w:sz w:val="16"/>
                <w:szCs w:val="16"/>
                <w:color w:val="auto"/>
              </w:rPr>
            </w:pPr>
          </w:p>
        </w:tc>
        <w:tc>
          <w:tcPr>
            <w:tcW w:w="56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spacing w:after="0"/>
              <w:rPr>
                <w:sz w:val="16"/>
                <w:szCs w:val="16"/>
                <w:color w:val="auto"/>
              </w:rPr>
            </w:pPr>
          </w:p>
        </w:tc>
      </w:tr>
      <w:tr>
        <w:trPr>
          <w:trHeight w:val="417"/>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left="1100" w:right="340" w:hanging="1093"/>
        <w:spacing w:after="0" w:line="277" w:lineRule="auto"/>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20, 2020, the Board of Directors of Texas Instruments Incorporated (“TI”) elected Mr. Michael D. Hsu to the Board of Directors of TI and to the Board’s Audit Committee effective April 1, 2020.</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his service as a director, Mr. Hsu will receive TI’s standard non-employee director cash and equity compensation as described in the Texas Instruments 2018 Director Compensation Plan, as amended. As a new director, Mr. Hsu will receive (i) a one-time initial equity award of restricted stock units with a grant-date value of approximately $200,000, and (ii) a pro rata portion of the $110,000 annual retainer for his service through the remaining portion of the year.</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Board determined that Mr. Hsu has no relationship that, in the opinion of the Board, would interfere with his exercise of independent judgment in carrying out his responsibilities as director. There have been no transactions involving TI or any of its subsidiaries in which Mr. Hsu has or will have a direct or indirect material interest that are required to be disclosed by Item 404(a) of Regulation S-K.</w:t>
      </w:r>
    </w:p>
    <w:p>
      <w:pPr>
        <w:spacing w:after="0" w:line="28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TI’s news release announcing Mr. Hsu’s election is attached hereto as Exhibit 99.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gridSpan w:val="3"/>
          </w:tcPr>
          <w:p>
            <w:pPr>
              <w:spacing w:after="0"/>
              <w:rPr>
                <w:sz w:val="20"/>
                <w:szCs w:val="20"/>
                <w:color w:val="auto"/>
              </w:rPr>
            </w:pPr>
            <w:r>
              <w:rPr>
                <w:rFonts w:ascii="Arial" w:cs="Arial" w:eastAsia="Arial" w:hAnsi="Arial"/>
                <w:sz w:val="18"/>
                <w:szCs w:val="18"/>
                <w:color w:val="auto"/>
              </w:rPr>
              <w:t>ITEM 9.01.</w:t>
            </w: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Exhibits</w:t>
            </w:r>
          </w:p>
        </w:tc>
      </w:tr>
      <w:tr>
        <w:trPr>
          <w:trHeight w:val="346"/>
        </w:trPr>
        <w:tc>
          <w:tcPr>
            <w:tcW w:w="98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Designation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of Exhibit</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in this</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Report</w:t>
            </w:r>
          </w:p>
        </w:tc>
        <w:tc>
          <w:tcPr>
            <w:tcW w:w="240" w:type="dxa"/>
            <w:vAlign w:val="bottom"/>
          </w:tcPr>
          <w:p>
            <w:pPr>
              <w:spacing w:after="0"/>
              <w:rPr>
                <w:sz w:val="14"/>
                <w:szCs w:val="14"/>
                <w:color w:val="auto"/>
              </w:rPr>
            </w:pPr>
          </w:p>
        </w:tc>
        <w:tc>
          <w:tcPr>
            <w:tcW w:w="1640" w:type="dxa"/>
            <w:vAlign w:val="bottom"/>
            <w:gridSpan w:val="2"/>
          </w:tcPr>
          <w:p>
            <w:pPr>
              <w:ind w:left="340"/>
              <w:spacing w:after="0"/>
              <w:rPr>
                <w:sz w:val="20"/>
                <w:szCs w:val="20"/>
                <w:color w:val="auto"/>
              </w:rPr>
            </w:pPr>
            <w:r>
              <w:rPr>
                <w:rFonts w:ascii="Arial" w:cs="Arial" w:eastAsia="Arial" w:hAnsi="Arial"/>
                <w:sz w:val="14"/>
                <w:szCs w:val="14"/>
                <w:color w:val="auto"/>
                <w:w w:val="97"/>
              </w:rPr>
              <w:t>Description of Exhibit</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1320" w:hanging="1195"/>
        <w:spacing w:after="0"/>
        <w:tabs>
          <w:tab w:leader="none" w:pos="132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TI’s News Release</w:t>
        </w:r>
      </w:hyperlink>
    </w:p>
    <w:p>
      <w:pPr>
        <w:spacing w:after="0" w:line="23" w:lineRule="exact"/>
        <w:rPr>
          <w:rFonts w:ascii="Arial" w:cs="Arial" w:eastAsia="Arial" w:hAnsi="Arial"/>
          <w:sz w:val="18"/>
          <w:szCs w:val="18"/>
          <w:u w:val="single" w:color="auto"/>
          <w:color w:val="0000EE"/>
        </w:rPr>
      </w:pPr>
    </w:p>
    <w:p>
      <w:pPr>
        <w:ind w:left="1320"/>
        <w:spacing w:after="0"/>
        <w:rPr>
          <w:rFonts w:ascii="Arial" w:cs="Arial" w:eastAsia="Arial" w:hAnsi="Arial"/>
          <w:sz w:val="18"/>
          <w:szCs w:val="18"/>
          <w:u w:val="single" w:color="auto"/>
          <w:color w:val="0000EE"/>
        </w:rPr>
      </w:pPr>
      <w:r>
        <w:rPr>
          <w:rFonts w:ascii="Arial" w:cs="Arial" w:eastAsia="Arial" w:hAnsi="Arial"/>
          <w:sz w:val="18"/>
          <w:szCs w:val="18"/>
          <w:color w:val="auto"/>
        </w:rPr>
        <w:t>Dated February 20, 2020 (furnished pursuant to Item 7.01)</w:t>
      </w:r>
    </w:p>
    <w:p>
      <w:pPr>
        <w:spacing w:after="0" w:line="103"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0"/>
          </w:cols>
          <w:pgMar w:left="440" w:top="301" w:right="5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20, 2020</w:t>
      </w:r>
      <w:r>
        <w:rPr>
          <w:sz w:val="20"/>
          <w:szCs w:val="20"/>
          <w:color w:val="auto"/>
        </w:rPr>
        <w:tab/>
      </w:r>
      <w:r>
        <w:rPr>
          <w:rFonts w:ascii="Arial" w:cs="Arial" w:eastAsia="Arial" w:hAnsi="Arial"/>
          <w:sz w:val="17"/>
          <w:szCs w:val="17"/>
          <w:color w:val="auto"/>
        </w:rPr>
        <w:t>By:  /s/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 and General Counsel</w:t>
      </w:r>
    </w:p>
    <w:p>
      <w:pPr>
        <w:sectPr>
          <w:pgSz w:w="11900" w:h="16838" w:orient="portrait"/>
          <w:cols w:equalWidth="0" w:num="1">
            <w:col w:w="10340"/>
          </w:cols>
          <w:pgMar w:left="440" w:top="301"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Kimberly-Clark CEO Michael Hsu to join TI board of directors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DALLAS (February 20, 2020) – Texas Instruments Incorporated (TI) (Nasdaq: TXN) today announced that Michael D. Hsu, chairman and chief executive officer of Kimberly-Clark Corporation, has been elected to TI’s board of directors, effective April 1.</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“We’re pleased to welcome Mike to our board,” said Rich Templeton, TI’s chairman, president and CEO. “His experience driving growth in competitive markets and leading a complex, multi-billion-dollar global organization will be a valuable addition to our strategic discussions.”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Hsu, 55, has more than 25 years of experience in the consumer products industry. He joined Kimberly-Clark in 2012 as group president of the company’s nearly $8 billion North American Consumer Products business. In 2017, he became the president and chief operating officer, leading day-to-day operations of Kimberly-Clark’s business units, along with the global innovation, marketing and supply chain functions. Mr. Hsu assumed the role of chief executive officer in January 2019 and chairman of the board a year later.</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Prior to joining Kimberly-Clark, Mr. Hsu was executive vice president and chief commercial officer at Kraft Foods and held leadership roles at H.J. Heinz. He launched his career in the consumer products industry as a consultant with Booz Allen Hamilton, where he rose to partner in the firm’s consumer practice.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He earned a bachelor’s degree from Carnegie Mellon University and a Master of Business Administration from the University of Chicago.</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to Mike’s background in global operations and markets, he understands the importance of the customer’s perspective, innovation, and the people who drive results – the employees. These are also important at TI,” said Ron Kirk, chair of the board’s governance and stockholder relations committee. “He’ll bring new insights and will be a great addition to the board.”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TXN-G</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2020-02-20T15:23:53Z</dcterms:created>
  <dcterms:modified xsi:type="dcterms:W3CDTF">2020-02-20T15:23:53Z</dcterms:modified>
</cp:coreProperties>
</file>