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232" w:lineRule="exact"/>
        <w:rPr>
          <w:sz w:val="24"/>
          <w:szCs w:val="24"/>
          <w:color w:val="auto"/>
        </w:rPr>
      </w:pPr>
    </w:p>
    <w:p>
      <w:pPr>
        <w:ind w:left="660" w:right="2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2009</w:t>
      </w:r>
    </w:p>
    <w:p>
      <w:pPr>
        <w:spacing w:after="0" w:line="1" w:lineRule="exact"/>
        <w:rPr>
          <w:sz w:val="24"/>
          <w:szCs w:val="24"/>
          <w:color w:val="auto"/>
        </w:rPr>
      </w:pPr>
    </w:p>
    <w:p>
      <w:pPr>
        <w:ind w:left="660" w:right="1600" w:hanging="652"/>
        <w:spacing w:after="0" w:line="53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-167640</wp:posOffset>
            </wp:positionV>
            <wp:extent cx="28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ectPr>
          <w:pgSz w:w="11900" w:h="16838" w:orient="portrait"/>
          <w:cols w:equalWidth="0" w:num="1">
            <w:col w:w="11420"/>
          </w:cols>
          <w:pgMar w:left="240" w:top="306" w:right="239" w:bottom="1440" w:gutter="0" w:footer="0" w:header="0"/>
        </w:sectPr>
      </w:pPr>
    </w:p>
    <w:p>
      <w:pPr>
        <w:spacing w:after="0" w:line="23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306" w:right="239" w:bottom="1440" w:gutter="0" w:footer="0" w:header="0"/>
          <w:type w:val="continuous"/>
        </w:sectPr>
      </w:pPr>
    </w:p>
    <w:p>
      <w:pPr>
        <w:spacing w:after="0" w:line="57"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12500 TI Boulevard, P.O. Box 660199, Dallas, Texas</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75266-0199</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22" w:lineRule="exact"/>
        <w:rPr>
          <w:sz w:val="24"/>
          <w:szCs w:val="24"/>
          <w:color w:val="auto"/>
        </w:rPr>
      </w:pPr>
    </w:p>
    <w:p>
      <w:pPr>
        <w:sectPr>
          <w:pgSz w:w="11900" w:h="16838" w:orient="portrait"/>
          <w:cols w:equalWidth="0" w:num="2">
            <w:col w:w="7420" w:space="720"/>
            <w:col w:w="3280"/>
          </w:cols>
          <w:pgMar w:left="240" w:top="306" w:right="23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___________________</w:t>
      </w:r>
    </w:p>
    <w:p>
      <w:pPr>
        <w:spacing w:after="0" w:line="238"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p>
    <w:p>
      <w:pPr>
        <w:sectPr>
          <w:pgSz w:w="11900" w:h="16838" w:orient="portrait"/>
          <w:cols w:equalWidth="0" w:num="1">
            <w:col w:w="11420"/>
          </w:cols>
          <w:pgMar w:left="240" w:top="306" w:right="239" w:bottom="1440" w:gutter="0" w:footer="0" w:header="0"/>
          <w:type w:val="continuous"/>
        </w:sectPr>
      </w:pP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10380"/>
        <w:spacing w:after="0"/>
        <w:tabs>
          <w:tab w:leader="none" w:pos="11000" w:val="left"/>
        </w:tabs>
        <w:rPr>
          <w:sz w:val="20"/>
          <w:szCs w:val="20"/>
          <w:color w:val="auto"/>
        </w:rPr>
      </w:pPr>
      <w:r>
        <w:rPr>
          <w:rFonts w:ascii="Arial" w:cs="Arial" w:eastAsia="Arial" w:hAnsi="Arial"/>
          <w:sz w:val="18"/>
          <w:szCs w:val="18"/>
          <w:color w:val="auto"/>
        </w:rPr>
        <w:t>Yes T</w:t>
        <w:tab/>
        <w:t>No £</w:t>
      </w:r>
    </w:p>
    <w:p>
      <w:pPr>
        <w:spacing w:after="0" w:line="25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type w:val="continuous"/>
        </w:sectPr>
      </w:pPr>
    </w:p>
    <w:p>
      <w:pPr>
        <w:spacing w:after="0" w:line="174" w:lineRule="exact"/>
        <w:rPr>
          <w:sz w:val="24"/>
          <w:szCs w:val="24"/>
          <w:color w:val="auto"/>
        </w:rPr>
      </w:pPr>
    </w:p>
    <w:p>
      <w:pPr>
        <w:ind w:right="20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T</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83" w:lineRule="exact"/>
        <w:rPr>
          <w:sz w:val="24"/>
          <w:szCs w:val="24"/>
          <w:color w:val="auto"/>
        </w:rPr>
      </w:pPr>
    </w:p>
    <w:p>
      <w:pPr>
        <w:sectPr>
          <w:pgSz w:w="11900" w:h="16838" w:orient="portrait"/>
          <w:cols w:equalWidth="0" w:num="5">
            <w:col w:w="1820" w:space="720"/>
            <w:col w:w="100" w:space="240"/>
            <w:col w:w="4980" w:space="720"/>
            <w:col w:w="2040" w:space="720"/>
            <w:col w:w="80"/>
          </w:cols>
          <w:pgMar w:left="240" w:top="3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 No T</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1,261,424,435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232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2,457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4,542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 (COR)</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1,320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232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260</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available-for-sale investments: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Recognized in net income, net of taxes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9"/>
              </w:rPr>
              <w:t>Changes in unrecognized net actuarial loss of defined benefit plans: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net of taxes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Recognized in net income, net of taxes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Changes in unrecognized prior service cost of defined benefit plans: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Recognized in net income, net of taxes</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3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327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($23) and ($30)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11,510</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 issued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$1 par value. Authorized – 2,400,000,000 shares. Shares issued: June 30, 2009 – 1,739,734,081;</w:t>
            </w:r>
          </w:p>
        </w:tc>
        <w:tc>
          <w:tcPr>
            <w:tcW w:w="1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2008 – 1,739,718,073</w:t>
            </w:r>
          </w:p>
        </w:tc>
        <w:tc>
          <w:tcPr>
            <w:tcW w:w="1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Less treasury common stock at cost: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June 30, 2009 – 478,309,646; December 31, 2008 – 461,822,215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(14,061)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taxes</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11,510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Loss on sale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1,765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32" w:right="100" w:hanging="332"/>
        <w:spacing w:after="0" w:line="277"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about 80,000 customers all over the world buy our products.</w:t>
      </w:r>
    </w:p>
    <w:p>
      <w:pPr>
        <w:spacing w:after="0" w:line="197"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except for new accounting standards on business combinations, fair value measurements and earnings per share, on the same basis as the audited financial statements included in our annual report on Form 10-K for the year ended December 31, 2008</w:t>
      </w:r>
      <w:r>
        <w:rPr>
          <w:rFonts w:ascii="Arial" w:cs="Arial" w:eastAsia="Arial" w:hAnsi="Arial"/>
          <w:sz w:val="16"/>
          <w:szCs w:val="16"/>
          <w:b w:val="1"/>
          <w:bCs w:val="1"/>
          <w:color w:val="auto"/>
        </w:rPr>
        <w:t>.</w:t>
      </w:r>
      <w:r>
        <w:rPr>
          <w:rFonts w:ascii="Arial" w:cs="Arial" w:eastAsia="Arial" w:hAnsi="Arial"/>
          <w:sz w:val="16"/>
          <w:szCs w:val="16"/>
          <w:color w:val="auto"/>
        </w:rPr>
        <w:t xml:space="preserve"> The consolidated statements of income, statements of comprehensive income and statements of cash flows for the periods ended June 30, 2009 and 2008, and the balance sheet as of June 30, 2009, are not audited but reflect all adjustments that are of a normal recurring nature and are necessary for a fair statement of the results of the periods shown. The consolidated balance sheet as of December 31, 2008,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2008. The results for the six-month period are not necessarily indicative of a full year’s results.</w:t>
      </w:r>
    </w:p>
    <w:p>
      <w:pPr>
        <w:spacing w:after="0" w:line="195" w:lineRule="exact"/>
        <w:rPr>
          <w:rFonts w:ascii="Arial" w:cs="Arial" w:eastAsia="Arial" w:hAnsi="Arial"/>
          <w:sz w:val="18"/>
          <w:szCs w:val="18"/>
          <w:color w:val="auto"/>
        </w:rPr>
      </w:pPr>
    </w:p>
    <w:p>
      <w:pPr>
        <w:ind w:left="332" w:right="5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w:t>
      </w:r>
    </w:p>
    <w:p>
      <w:pPr>
        <w:spacing w:after="0" w:line="197" w:lineRule="exact"/>
        <w:rPr>
          <w:rFonts w:ascii="Arial" w:cs="Arial" w:eastAsia="Arial" w:hAnsi="Arial"/>
          <w:sz w:val="18"/>
          <w:szCs w:val="18"/>
          <w:color w:val="auto"/>
        </w:rPr>
      </w:pPr>
    </w:p>
    <w:p>
      <w:pPr>
        <w:ind w:left="332" w:right="320"/>
        <w:spacing w:after="0" w:line="277" w:lineRule="auto"/>
        <w:rPr>
          <w:rFonts w:ascii="Arial" w:cs="Arial" w:eastAsia="Arial" w:hAnsi="Arial"/>
          <w:sz w:val="18"/>
          <w:szCs w:val="18"/>
          <w:color w:val="auto"/>
        </w:rPr>
      </w:pPr>
      <w:r>
        <w:rPr>
          <w:rFonts w:ascii="Arial" w:cs="Arial" w:eastAsia="Arial" w:hAnsi="Arial"/>
          <w:sz w:val="18"/>
          <w:szCs w:val="18"/>
          <w:color w:val="auto"/>
        </w:rPr>
        <w:t>All dollar amounts in the financial statements and tables in the notes, except share and per-share amounts, are stated in millions of U.S. dollars unless otherwise indicated.</w:t>
      </w:r>
    </w:p>
    <w:p>
      <w:pPr>
        <w:spacing w:after="0" w:line="197" w:lineRule="exact"/>
        <w:rPr>
          <w:rFonts w:ascii="Arial" w:cs="Arial" w:eastAsia="Arial" w:hAnsi="Arial"/>
          <w:sz w:val="18"/>
          <w:szCs w:val="18"/>
          <w:color w:val="auto"/>
        </w:rPr>
      </w:pPr>
    </w:p>
    <w:p>
      <w:pPr>
        <w:ind w:left="332" w:right="3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second quarter of 2009, we expanded our microcontroller portfolio by acquiring Luminary Micro for net cash of $51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consideration of $7 million. We recognized $15 million of goodwill, which is not expected to be deductible for tax purposes, $41 million of intangible assets, and $2 million of other net assets and liabilities. We are still in the process of finalizing valuations of certain acquired assets and liabilities, so these provisional measurements are subject to change. The former Luminary Micro operations were integrated into our Embedded Processing segment.</w:t>
      </w:r>
    </w:p>
    <w:p>
      <w:pPr>
        <w:spacing w:after="0" w:line="215" w:lineRule="exact"/>
        <w:rPr>
          <w:rFonts w:ascii="Arial" w:cs="Arial" w:eastAsia="Arial" w:hAnsi="Arial"/>
          <w:sz w:val="18"/>
          <w:szCs w:val="18"/>
          <w:color w:val="auto"/>
        </w:rPr>
      </w:pPr>
    </w:p>
    <w:p>
      <w:pPr>
        <w:ind w:left="332" w:right="100"/>
        <w:spacing w:after="0" w:line="257" w:lineRule="auto"/>
        <w:rPr>
          <w:rFonts w:ascii="Arial" w:cs="Arial" w:eastAsia="Arial" w:hAnsi="Arial"/>
          <w:sz w:val="18"/>
          <w:szCs w:val="18"/>
          <w:color w:val="auto"/>
        </w:rPr>
      </w:pPr>
      <w:r>
        <w:rPr>
          <w:rFonts w:ascii="Arial" w:cs="Arial" w:eastAsia="Arial" w:hAnsi="Arial"/>
          <w:sz w:val="18"/>
          <w:szCs w:val="18"/>
          <w:color w:val="auto"/>
        </w:rPr>
        <w:t>In the first quarter of 2009, we acquired CICLON Semiconductor Device Corporation (CICLON), a designer of high-frequency, high-efficiency power management semiconductors for net cash of $104 million and other consideration of $7 million. This acquisition expands our ability to help customers improve energy efficiency in end-equipment designs, such as high-power computing and server systems. We recognized $70 million of goodwill, which is not expected to be deductible for tax purposes, $40 million of intangible assets, and $1 million of other net assets and liabilities. The former CICLON operations were integrated into our Analog segment.</w:t>
      </w:r>
    </w:p>
    <w:p>
      <w:pPr>
        <w:spacing w:after="0" w:line="215" w:lineRule="exact"/>
        <w:rPr>
          <w:rFonts w:ascii="Arial" w:cs="Arial" w:eastAsia="Arial" w:hAnsi="Arial"/>
          <w:sz w:val="18"/>
          <w:szCs w:val="18"/>
          <w:color w:val="auto"/>
        </w:rPr>
      </w:pPr>
    </w:p>
    <w:p>
      <w:pPr>
        <w:ind w:left="332" w:right="480"/>
        <w:spacing w:after="0" w:line="264" w:lineRule="auto"/>
        <w:rPr>
          <w:rFonts w:ascii="Arial" w:cs="Arial" w:eastAsia="Arial" w:hAnsi="Arial"/>
          <w:sz w:val="18"/>
          <w:szCs w:val="18"/>
          <w:color w:val="auto"/>
        </w:rPr>
      </w:pPr>
      <w:r>
        <w:rPr>
          <w:rFonts w:ascii="Arial" w:cs="Arial" w:eastAsia="Arial" w:hAnsi="Arial"/>
          <w:sz w:val="18"/>
          <w:szCs w:val="18"/>
          <w:color w:val="auto"/>
        </w:rPr>
        <w:t>The results of operations of these acquisitions have been included in our financial statements from their respective acquisition dates and were not significant for either the three or six month periods of 2009. Pro forma information for the comparable periods of 2008 to reflect these acquisitions would not be materially different from amounts reported.</w:t>
      </w:r>
    </w:p>
    <w:p>
      <w:pPr>
        <w:spacing w:after="0" w:line="208" w:lineRule="exact"/>
        <w:rPr>
          <w:rFonts w:ascii="Arial" w:cs="Arial" w:eastAsia="Arial" w:hAnsi="Arial"/>
          <w:sz w:val="18"/>
          <w:szCs w:val="18"/>
          <w:color w:val="auto"/>
        </w:rPr>
      </w:pPr>
    </w:p>
    <w:p>
      <w:pPr>
        <w:ind w:left="332" w:right="100"/>
        <w:spacing w:after="0" w:line="297" w:lineRule="auto"/>
        <w:rPr>
          <w:rFonts w:ascii="Arial" w:cs="Arial" w:eastAsia="Arial" w:hAnsi="Arial"/>
          <w:sz w:val="18"/>
          <w:szCs w:val="18"/>
          <w:color w:val="auto"/>
        </w:rPr>
      </w:pPr>
      <w:r>
        <w:rPr>
          <w:rFonts w:ascii="Arial" w:cs="Arial" w:eastAsia="Arial" w:hAnsi="Arial"/>
          <w:sz w:val="16"/>
          <w:szCs w:val="16"/>
          <w:i w:val="1"/>
          <w:iCs w:val="1"/>
          <w:color w:val="auto"/>
        </w:rPr>
        <w:t xml:space="preserve">Use of Derivatives and Hedging - </w:t>
      </w:r>
      <w:r>
        <w:rPr>
          <w:rFonts w:ascii="Arial" w:cs="Arial" w:eastAsia="Arial" w:hAnsi="Arial"/>
          <w:sz w:val="16"/>
          <w:szCs w:val="16"/>
          <w:color w:val="auto"/>
        </w:rPr>
        <w:t>We use derivative financial instruments to manage exposure to foreign exchange risk. We do not apply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to our foreign currency derivative instruments.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 financial instruments for speculative or trading purposes.</w:t>
      </w:r>
    </w:p>
    <w:p>
      <w:pPr>
        <w:spacing w:after="0" w:line="185" w:lineRule="exact"/>
        <w:rPr>
          <w:rFonts w:ascii="Arial" w:cs="Arial" w:eastAsia="Arial" w:hAnsi="Arial"/>
          <w:sz w:val="18"/>
          <w:szCs w:val="18"/>
          <w:color w:val="auto"/>
        </w:rPr>
      </w:pPr>
    </w:p>
    <w:p>
      <w:pPr>
        <w:jc w:val="both"/>
        <w:ind w:left="332"/>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June 30, 2009.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short-term investments and certain long-term investments are carried at fair value and are disclosed in Note 6. The carrying values for other current financial assets and liabilities, such as accounts receivable and accounts payable, approximate fair value due to the short maturity of such instruments.</w:t>
      </w: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 w:name="page7"/>
    <w:bookmarkEnd w:id="6"/>
    <w:p>
      <w:pPr>
        <w:ind w:left="332" w:right="60"/>
        <w:spacing w:after="0" w:line="293" w:lineRule="auto"/>
        <w:rPr>
          <w:sz w:val="20"/>
          <w:szCs w:val="20"/>
          <w:color w:val="auto"/>
        </w:rPr>
      </w:pPr>
      <w:r>
        <w:rPr>
          <w:rFonts w:ascii="Arial" w:cs="Arial" w:eastAsia="Arial" w:hAnsi="Arial"/>
          <w:sz w:val="16"/>
          <w:szCs w:val="16"/>
          <w:i w:val="1"/>
          <w:iCs w:val="1"/>
          <w:color w:val="auto"/>
        </w:rPr>
        <w:t xml:space="preserve">Changes in Accounting Standards – </w:t>
      </w:r>
      <w:r>
        <w:rPr>
          <w:rFonts w:ascii="Arial" w:cs="Arial" w:eastAsia="Arial" w:hAnsi="Arial"/>
          <w:sz w:val="16"/>
          <w:szCs w:val="16"/>
          <w:color w:val="auto"/>
        </w:rPr>
        <w:t>In April 2009, the Financial Accounting Standards Board (FASB) issued FASB Staff Position (FSP) FAS 141(R)-1,</w:t>
      </w:r>
      <w:r>
        <w:rPr>
          <w:rFonts w:ascii="Arial" w:cs="Arial" w:eastAsia="Arial" w:hAnsi="Arial"/>
          <w:sz w:val="16"/>
          <w:szCs w:val="16"/>
          <w:i w:val="1"/>
          <w:iCs w:val="1"/>
          <w:color w:val="auto"/>
        </w:rPr>
        <w:t xml:space="preserve"> Accounting for Assets Acquired and Liabilities Assumed in a Business Combination That Arise from Contingencies. </w:t>
      </w:r>
      <w:r>
        <w:rPr>
          <w:rFonts w:ascii="Arial" w:cs="Arial" w:eastAsia="Arial" w:hAnsi="Arial"/>
          <w:sz w:val="16"/>
          <w:szCs w:val="16"/>
          <w:color w:val="auto"/>
        </w:rPr>
        <w:t>This FSP provides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and disclosure requirements regarding the recognition and measurement of contingent assets acquired and contingent liabilities assumed in a business combination where the fair value of the contingent assets and liabilities cannot be determined as of the acquisition date. This FSP was effective for us for acquisitions occurring after January 1, 2009. The adoption of this FSP has not had a significant impact on our financial condition or results of operations, and its future impact will be dependent upon the specific terms of future business combinations.</w:t>
      </w:r>
    </w:p>
    <w:p>
      <w:pPr>
        <w:spacing w:after="0" w:line="19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In April 2009, the FASB issued the following three FSPs:</w:t>
      </w:r>
    </w:p>
    <w:p>
      <w:pPr>
        <w:spacing w:after="0" w:line="252" w:lineRule="exact"/>
        <w:rPr>
          <w:sz w:val="20"/>
          <w:szCs w:val="20"/>
          <w:color w:val="auto"/>
        </w:rPr>
      </w:pPr>
    </w:p>
    <w:p>
      <w:pPr>
        <w:ind w:left="972" w:right="80" w:hanging="324"/>
        <w:spacing w:after="0" w:line="259"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FSP FAS 157-4, </w:t>
      </w:r>
      <w:r>
        <w:rPr>
          <w:rFonts w:ascii="Arial" w:cs="Arial" w:eastAsia="Arial" w:hAnsi="Arial"/>
          <w:sz w:val="18"/>
          <w:szCs w:val="18"/>
          <w:i w:val="1"/>
          <w:iCs w:val="1"/>
          <w:color w:val="auto"/>
        </w:rPr>
        <w:t>Determining Fair Value When the Volume and Level of Activity for the Asset or Liability Have Significantly Decreased and</w:t>
      </w:r>
      <w:r>
        <w:rPr>
          <w:rFonts w:ascii="Arial" w:cs="Arial" w:eastAsia="Arial" w:hAnsi="Arial"/>
          <w:sz w:val="18"/>
          <w:szCs w:val="18"/>
          <w:color w:val="auto"/>
        </w:rPr>
        <w:t xml:space="preserve"> </w:t>
      </w:r>
      <w:r>
        <w:rPr>
          <w:rFonts w:ascii="Arial" w:cs="Arial" w:eastAsia="Arial" w:hAnsi="Arial"/>
          <w:sz w:val="18"/>
          <w:szCs w:val="18"/>
          <w:i w:val="1"/>
          <w:iCs w:val="1"/>
          <w:color w:val="auto"/>
        </w:rPr>
        <w:t>Identifying Transactions That Are Not Orderly</w:t>
      </w:r>
      <w:r>
        <w:rPr>
          <w:rFonts w:ascii="Arial" w:cs="Arial" w:eastAsia="Arial" w:hAnsi="Arial"/>
          <w:sz w:val="18"/>
          <w:szCs w:val="18"/>
          <w:color w:val="auto"/>
        </w:rPr>
        <w:t>, provides additional guidance to companies for determining fair values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there is no active market or quoted prices may represent distressed transactions. The guidance includes a reaffirmation of the need to use judgment in certain circumstances.</w:t>
      </w:r>
    </w:p>
    <w:p>
      <w:pPr>
        <w:spacing w:after="0" w:line="213" w:lineRule="exact"/>
        <w:rPr>
          <w:rFonts w:ascii="Arial" w:cs="Arial" w:eastAsia="Arial" w:hAnsi="Arial"/>
          <w:sz w:val="18"/>
          <w:szCs w:val="18"/>
          <w:color w:val="auto"/>
        </w:rPr>
      </w:pPr>
    </w:p>
    <w:p>
      <w:pPr>
        <w:jc w:val="both"/>
        <w:ind w:left="972" w:right="300" w:hanging="324"/>
        <w:spacing w:after="0" w:line="264"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FSP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requires companies to provide additional fair value information for certain financial instruments in interim financial statements, similar to what is currently required to be disclosed on an annual basis.</w:t>
      </w:r>
    </w:p>
    <w:p>
      <w:pPr>
        <w:spacing w:after="0" w:line="208" w:lineRule="exact"/>
        <w:rPr>
          <w:rFonts w:ascii="Arial" w:cs="Arial" w:eastAsia="Arial" w:hAnsi="Arial"/>
          <w:sz w:val="18"/>
          <w:szCs w:val="18"/>
          <w:color w:val="auto"/>
        </w:rPr>
      </w:pPr>
    </w:p>
    <w:p>
      <w:pPr>
        <w:ind w:left="972" w:right="420" w:hanging="324"/>
        <w:spacing w:after="0" w:line="286" w:lineRule="auto"/>
        <w:tabs>
          <w:tab w:leader="none" w:pos="972"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FSP FAS 115-2, FAS 124-2, and EITF 99-20-2, </w:t>
      </w:r>
      <w:r>
        <w:rPr>
          <w:rFonts w:ascii="Arial" w:cs="Arial" w:eastAsia="Arial" w:hAnsi="Arial"/>
          <w:sz w:val="17"/>
          <w:szCs w:val="17"/>
          <w:i w:val="1"/>
          <w:iCs w:val="1"/>
          <w:color w:val="auto"/>
        </w:rPr>
        <w:t>Recognition and Presentation of Other-Than-Temporary Impairments</w:t>
      </w:r>
      <w:r>
        <w:rPr>
          <w:rFonts w:ascii="Arial" w:cs="Arial" w:eastAsia="Arial" w:hAnsi="Arial"/>
          <w:sz w:val="17"/>
          <w:szCs w:val="17"/>
          <w:color w:val="auto"/>
        </w:rPr>
        <w:t>, amends the existing guidance regarding impairments for investments in debt securities. Specifically, it changes how companies determine if an impairment is considered to be other-than-temporary and the related accounting. This standard also requires increased disclosures.</w:t>
      </w:r>
    </w:p>
    <w:p>
      <w:pPr>
        <w:spacing w:after="0" w:line="193" w:lineRule="exact"/>
        <w:rPr>
          <w:sz w:val="20"/>
          <w:szCs w:val="20"/>
          <w:color w:val="auto"/>
        </w:rPr>
      </w:pPr>
    </w:p>
    <w:p>
      <w:pPr>
        <w:ind w:left="332" w:right="80"/>
        <w:spacing w:after="0" w:line="277" w:lineRule="auto"/>
        <w:rPr>
          <w:sz w:val="20"/>
          <w:szCs w:val="20"/>
          <w:color w:val="auto"/>
        </w:rPr>
      </w:pPr>
      <w:r>
        <w:rPr>
          <w:rFonts w:ascii="Arial" w:cs="Arial" w:eastAsia="Arial" w:hAnsi="Arial"/>
          <w:sz w:val="18"/>
          <w:szCs w:val="18"/>
          <w:color w:val="auto"/>
        </w:rPr>
        <w:t>These FSPs apply to both interim and annual periods and were effective for us beginning April 1, 2009. The adoption of these standards did not have an impact on our financial condition or results of operations.</w:t>
      </w:r>
    </w:p>
    <w:p>
      <w:pPr>
        <w:spacing w:after="0" w:line="197" w:lineRule="exact"/>
        <w:rPr>
          <w:sz w:val="20"/>
          <w:szCs w:val="20"/>
          <w:color w:val="auto"/>
        </w:rPr>
      </w:pPr>
    </w:p>
    <w:p>
      <w:pPr>
        <w:ind w:left="332" w:right="80"/>
        <w:spacing w:after="0" w:line="259" w:lineRule="auto"/>
        <w:rPr>
          <w:sz w:val="20"/>
          <w:szCs w:val="20"/>
          <w:color w:val="auto"/>
        </w:rPr>
      </w:pPr>
      <w:r>
        <w:rPr>
          <w:rFonts w:ascii="Arial" w:cs="Arial" w:eastAsia="Arial" w:hAnsi="Arial"/>
          <w:sz w:val="18"/>
          <w:szCs w:val="18"/>
          <w:color w:val="auto"/>
        </w:rPr>
        <w:t xml:space="preserve">In May 2009, the FASB issued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165 establishes general standards of accounting for and disclosure of events that occur after the balance sheet date but before financial statements are issued, and specifically requires the disclosure of the date through which an entity has evaluated subsequent events and the basis for that date. SFAS 165 is effective for us beginning with the quarter ending June 30, 2009 and will be applied prospectively.</w:t>
      </w:r>
    </w:p>
    <w:p>
      <w:pPr>
        <w:spacing w:after="0" w:line="214" w:lineRule="exact"/>
        <w:rPr>
          <w:sz w:val="20"/>
          <w:szCs w:val="20"/>
          <w:color w:val="auto"/>
        </w:rPr>
      </w:pPr>
    </w:p>
    <w:p>
      <w:pPr>
        <w:ind w:left="332"/>
        <w:spacing w:after="0" w:line="276" w:lineRule="auto"/>
        <w:rPr>
          <w:sz w:val="20"/>
          <w:szCs w:val="20"/>
          <w:color w:val="auto"/>
        </w:rPr>
      </w:pPr>
      <w:r>
        <w:rPr>
          <w:rFonts w:ascii="Arial" w:cs="Arial" w:eastAsia="Arial" w:hAnsi="Arial"/>
          <w:sz w:val="17"/>
          <w:szCs w:val="17"/>
          <w:color w:val="auto"/>
        </w:rPr>
        <w:t xml:space="preserve">In June 2009, the FASB concurrently issued SFAS No. 166, </w:t>
      </w:r>
      <w:r>
        <w:rPr>
          <w:rFonts w:ascii="Arial" w:cs="Arial" w:eastAsia="Arial" w:hAnsi="Arial"/>
          <w:sz w:val="17"/>
          <w:szCs w:val="17"/>
          <w:i w:val="1"/>
          <w:iCs w:val="1"/>
          <w:color w:val="auto"/>
        </w:rPr>
        <w:t>Accounting for Transfers of Financial Assets, an amendment of FASB Statement No. 140,</w:t>
      </w:r>
      <w:r>
        <w:rPr>
          <w:rFonts w:ascii="Arial" w:cs="Arial" w:eastAsia="Arial" w:hAnsi="Arial"/>
          <w:sz w:val="17"/>
          <w:szCs w:val="17"/>
          <w:color w:val="auto"/>
        </w:rPr>
        <w:t xml:space="preserve"> and SFAS No.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that change the way entities account for securitizations and other transfers of financial instruments. In addition to increased disclosure, these standards eliminate the concept of qualifying special purpose entities and change the test for consolidation of variable interest entities. These standards will be effective for us as of January 1, 2010. We have evaluated these standards and believe they will have no impact on our financial condition or results of operations.</w:t>
      </w:r>
    </w:p>
    <w:p>
      <w:pPr>
        <w:spacing w:after="0" w:line="200" w:lineRule="exact"/>
        <w:rPr>
          <w:sz w:val="20"/>
          <w:szCs w:val="20"/>
          <w:color w:val="auto"/>
        </w:rPr>
      </w:pPr>
    </w:p>
    <w:p>
      <w:pPr>
        <w:ind w:left="332"/>
        <w:spacing w:after="0" w:line="272" w:lineRule="auto"/>
        <w:rPr>
          <w:sz w:val="20"/>
          <w:szCs w:val="20"/>
          <w:color w:val="auto"/>
        </w:rPr>
      </w:pPr>
      <w:r>
        <w:rPr>
          <w:rFonts w:ascii="Arial" w:cs="Arial" w:eastAsia="Arial" w:hAnsi="Arial"/>
          <w:sz w:val="17"/>
          <w:szCs w:val="17"/>
          <w:color w:val="auto"/>
        </w:rPr>
        <w:t xml:space="preserve">In June 2009, the FASB also issued SFAS No. 168, </w:t>
      </w:r>
      <w:r>
        <w:rPr>
          <w:rFonts w:ascii="Arial" w:cs="Arial" w:eastAsia="Arial" w:hAnsi="Arial"/>
          <w:sz w:val="17"/>
          <w:szCs w:val="17"/>
          <w:i w:val="1"/>
          <w:iCs w:val="1"/>
          <w:color w:val="auto"/>
        </w:rPr>
        <w:t>The FASB Accounting Standards Codification™ and the Hierarchy of Generally Accepted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Principles (a replacement of FASB Statement No. 162)</w:t>
      </w:r>
      <w:r>
        <w:rPr>
          <w:rFonts w:ascii="Arial" w:cs="Arial" w:eastAsia="Arial" w:hAnsi="Arial"/>
          <w:sz w:val="17"/>
          <w:szCs w:val="17"/>
          <w:color w:val="auto"/>
        </w:rPr>
        <w:t>. This standard establishes the FASB Accounting Standards Codification™ (Codification)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single source of authoritative US GAAP. The Codification does not create any new GAAP standards but incorporates existing accounting and reporting standards into a new topical structure. The Codification will be effective for us July 1, 2009, and beginning with the third quarter interim report, a new referencing system will be used to identify authoritative accounting standards, replacing the existing references to SFAS, EITF, FSP, etc. Existing standards will be designated by their </w:t>
      </w:r>
      <w:r>
        <w:rPr>
          <w:rFonts w:ascii="Arial" w:cs="Arial" w:eastAsia="Arial" w:hAnsi="Arial"/>
          <w:sz w:val="17"/>
          <w:szCs w:val="17"/>
          <w:i w:val="1"/>
          <w:iCs w:val="1"/>
          <w:color w:val="auto"/>
        </w:rPr>
        <w:t>Accounting Standards Codification (ASC)</w:t>
      </w:r>
      <w:r>
        <w:rPr>
          <w:rFonts w:ascii="Arial" w:cs="Arial" w:eastAsia="Arial" w:hAnsi="Arial"/>
          <w:sz w:val="17"/>
          <w:szCs w:val="17"/>
          <w:color w:val="auto"/>
        </w:rPr>
        <w:t xml:space="preserve"> topical reference and new standards will be designated as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Standards Updates</w:t>
      </w:r>
      <w:r>
        <w:rPr>
          <w:rFonts w:ascii="Arial" w:cs="Arial" w:eastAsia="Arial" w:hAnsi="Arial"/>
          <w:sz w:val="17"/>
          <w:szCs w:val="17"/>
          <w:color w:val="auto"/>
        </w:rPr>
        <w:t>, with a year and assigned sequence number.</w:t>
      </w:r>
    </w:p>
    <w:p>
      <w:pPr>
        <w:spacing w:after="0" w:line="205" w:lineRule="exact"/>
        <w:rPr>
          <w:sz w:val="20"/>
          <w:szCs w:val="20"/>
          <w:color w:val="auto"/>
        </w:rPr>
      </w:pPr>
    </w:p>
    <w:p>
      <w:pPr>
        <w:ind w:left="332" w:right="40" w:hanging="332"/>
        <w:spacing w:after="0" w:line="25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Restructuring activities</w:t>
      </w:r>
      <w:r>
        <w:rPr>
          <w:rFonts w:ascii="Arial" w:cs="Arial" w:eastAsia="Arial" w:hAnsi="Arial"/>
          <w:sz w:val="18"/>
          <w:szCs w:val="18"/>
          <w:color w:val="auto"/>
        </w:rPr>
        <w:t>. In October 2008, we announced actions that, when complete, will reduce annualized expenses by more than $200 million in our Wireless segment, especially our baseband operation. Additionally, in January 2009 we announced actions that included employment reductions to align our spending with weakened demand. Combined, these actions, when complete, will eliminate about 3,900 jobs and will reduce our annualized costs by more than $700 million. The total restructuring charges for these actions are expected to be about $460 million and will continue through the fourth quarter of 2009.</w:t>
      </w: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7" w:name="page8"/>
    <w:bookmarkEnd w:id="7"/>
    <w:p>
      <w:pPr>
        <w:ind w:left="340" w:right="180"/>
        <w:spacing w:after="0" w:line="277" w:lineRule="auto"/>
        <w:rPr>
          <w:sz w:val="20"/>
          <w:szCs w:val="20"/>
          <w:color w:val="auto"/>
        </w:rPr>
      </w:pPr>
      <w:r>
        <w:rPr>
          <w:rFonts w:ascii="Arial" w:cs="Arial" w:eastAsia="Arial" w:hAnsi="Arial"/>
          <w:sz w:val="18"/>
          <w:szCs w:val="18"/>
          <w:color w:val="auto"/>
        </w:rPr>
        <w:t>We recognized $230 million in restructuring charges related to these actions in the fourth quarter of 2008. Additionally, we recognized $105 million in the first quarter of 2009 and $85 million in the second quarter of 2009 as detailed below.</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related to the 2008 and 2009 actions: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Impairments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Severance and</w:t>
            </w: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Benefits</w:t>
            </w:r>
          </w:p>
        </w:tc>
        <w:tc>
          <w:tcPr>
            <w:tcW w:w="1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Restructuring charges recognized in the quarter ending December</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Non-cash charges</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Remaining accrual at December 31, 2008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w w:val="95"/>
              </w:rPr>
              <w:t>Restructuring charges recognized in the quarter ending March 31,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Remaining accrual at March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Restructuring charges recognized in the quarter ending June 30,</w:t>
            </w: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Non-cash credits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Remaining accrual at June 30, 2009</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400" w:hanging="8"/>
        <w:spacing w:after="0" w:line="530"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charges and credits for post-employment benefit plan settlement, curtailment and special termination benefits. Restructuring charges recognized by segment in the periods of 2009 are as follows:</w:t>
      </w: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For Three</w:t>
            </w: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For Six</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Months Ended</w:t>
            </w: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 2009</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June 30, 2009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Embedded Processing</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restructuring charges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right="30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3 in our 2008 annual report on Form 10-K.</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amounts of stock-based compensation expense recognized in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COR</w:t>
            </w:r>
          </w:p>
        </w:tc>
        <w:tc>
          <w:tcPr>
            <w:tcW w:w="38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R&amp;D</w:t>
            </w:r>
          </w:p>
        </w:tc>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10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980" w:type="dxa"/>
            <w:vAlign w:val="bottom"/>
            <w:vMerge w:val="restart"/>
          </w:tcPr>
          <w:p>
            <w:pPr>
              <w:jc w:val="right"/>
              <w:ind w:right="256"/>
              <w:spacing w:after="0"/>
              <w:rPr>
                <w:sz w:val="20"/>
                <w:szCs w:val="20"/>
                <w:color w:val="auto"/>
              </w:rPr>
            </w:pPr>
            <w:r>
              <w:rPr>
                <w:rFonts w:ascii="Arial" w:cs="Arial" w:eastAsia="Arial" w:hAnsi="Arial"/>
                <w:sz w:val="14"/>
                <w:szCs w:val="14"/>
                <w:color w:val="auto"/>
              </w:rPr>
              <w:t>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340" w:right="120"/>
        <w:spacing w:after="0" w:line="277" w:lineRule="auto"/>
        <w:rPr>
          <w:sz w:val="20"/>
          <w:szCs w:val="20"/>
          <w:color w:val="auto"/>
        </w:rPr>
      </w:pPr>
      <w:r>
        <w:rPr>
          <w:rFonts w:ascii="Arial" w:cs="Arial" w:eastAsia="Arial" w:hAnsi="Arial"/>
          <w:sz w:val="18"/>
          <w:szCs w:val="18"/>
          <w:color w:val="auto"/>
        </w:rPr>
        <w:t>These amounts include expense related to non-qualified stock options, restricted stock units (RSUs) and stock options offered under our employee stock purchase plan.</w:t>
      </w:r>
    </w:p>
    <w:p>
      <w:pPr>
        <w:spacing w:after="0" w:line="197" w:lineRule="exact"/>
        <w:rPr>
          <w:sz w:val="20"/>
          <w:szCs w:val="20"/>
          <w:color w:val="auto"/>
        </w:rPr>
      </w:pPr>
    </w:p>
    <w:p>
      <w:pPr>
        <w:ind w:left="340" w:right="200" w:hanging="332"/>
        <w:spacing w:after="0" w:line="27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Federal income taxes have been included in the accompanying financial statements on the basis of an estimated annual effective tax rate. As of June 30, 2009, the estimated annual effective tax rate for 2009 is about 27 percent, which differs from the 35 percent statutory corporate tax rate primarily due to the effects of non-U.S. tax rates. Included in the tax provision for the first six months of 2009 were $5 million in discrete tax benefits primarily related to earnings of non-U.S. subsidiaries. The tax provision in the year-ago period included discrete tax benefits of $79 million, which were primarily due to our decision to indefinitely reinvest the accumulated earnings of a non-U.S. subsidiary.</w:t>
      </w:r>
    </w:p>
    <w:p>
      <w:pPr>
        <w:spacing w:after="0" w:line="199" w:lineRule="exact"/>
        <w:rPr>
          <w:rFonts w:ascii="Arial" w:cs="Arial" w:eastAsia="Arial" w:hAnsi="Arial"/>
          <w:sz w:val="17"/>
          <w:szCs w:val="17"/>
          <w:color w:val="auto"/>
        </w:rPr>
      </w:pPr>
    </w:p>
    <w:p>
      <w:pPr>
        <w:ind w:left="340" w:right="180"/>
        <w:spacing w:after="0" w:line="257" w:lineRule="auto"/>
        <w:rPr>
          <w:rFonts w:ascii="Arial" w:cs="Arial" w:eastAsia="Arial" w:hAnsi="Arial"/>
          <w:sz w:val="17"/>
          <w:szCs w:val="17"/>
          <w:color w:val="auto"/>
        </w:rPr>
      </w:pPr>
      <w:r>
        <w:rPr>
          <w:rFonts w:ascii="Arial" w:cs="Arial" w:eastAsia="Arial" w:hAnsi="Arial"/>
          <w:sz w:val="18"/>
          <w:szCs w:val="18"/>
          <w:color w:val="auto"/>
        </w:rPr>
        <w:t>During the second quarter of 2009 a $90 million payment was made in respect of U.S. tax return audits for the years 2003 through 2006 for all settled audit adjustments on which the adjustment amount had been agreed with the IRS. The audit adjustments had been previously reflected in our FIN 48 liability and the payment had no income statement impact. Other U.S. tax audit issues for these years remain unresolved and subject to issue resolution processes. A $20 million tax interest payment was also made in the second quarter of 2009 for the interest liability already accrued on the same agreed U.S. tax audit adjustments.</w:t>
      </w:r>
    </w:p>
    <w:p>
      <w:pPr>
        <w:spacing w:after="0" w:line="215" w:lineRule="exact"/>
        <w:rPr>
          <w:rFonts w:ascii="Arial" w:cs="Arial" w:eastAsia="Arial" w:hAnsi="Arial"/>
          <w:sz w:val="17"/>
          <w:szCs w:val="17"/>
          <w:color w:val="auto"/>
        </w:rPr>
      </w:pPr>
    </w:p>
    <w:p>
      <w:pPr>
        <w:ind w:left="340" w:right="20" w:hanging="332"/>
        <w:spacing w:after="0" w:line="28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In 2008, the FASB issued FSP EITF 03-6-1, </w:t>
      </w:r>
      <w:r>
        <w:rPr>
          <w:rFonts w:ascii="Arial" w:cs="Arial" w:eastAsia="Arial" w:hAnsi="Arial"/>
          <w:sz w:val="16"/>
          <w:szCs w:val="16"/>
          <w:i w:val="1"/>
          <w:iCs w:val="1"/>
          <w:color w:val="auto"/>
        </w:rPr>
        <w:t>Determining Whether Instruments Granted in Share-Based Payment Transactions</w:t>
      </w:r>
      <w:r>
        <w:rPr>
          <w:rFonts w:ascii="Arial" w:cs="Arial" w:eastAsia="Arial" w:hAnsi="Arial"/>
          <w:sz w:val="16"/>
          <w:szCs w:val="16"/>
          <w:color w:val="auto"/>
        </w:rPr>
        <w:t xml:space="preserve"> </w:t>
      </w:r>
      <w:r>
        <w:rPr>
          <w:rFonts w:ascii="Arial" w:cs="Arial" w:eastAsia="Arial" w:hAnsi="Arial"/>
          <w:sz w:val="16"/>
          <w:szCs w:val="16"/>
          <w:i w:val="1"/>
          <w:iCs w:val="1"/>
          <w:color w:val="auto"/>
        </w:rPr>
        <w:t>Are Participating Securities</w:t>
      </w:r>
      <w:r>
        <w:rPr>
          <w:rFonts w:ascii="Arial" w:cs="Arial" w:eastAsia="Arial" w:hAnsi="Arial"/>
          <w:sz w:val="16"/>
          <w:szCs w:val="16"/>
          <w:color w:val="auto"/>
        </w:rPr>
        <w:t>, and it became effective for us beginning January 1, 2009. Under this standard, unvested awards of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rights to receive dividends or dividend equivalents, such as our RSUs, are considered participating securities for purposes of calculating</w:t>
      </w:r>
    </w:p>
    <w:p>
      <w:pPr>
        <w:ind w:left="340" w:right="20"/>
        <w:spacing w:after="0" w:line="253" w:lineRule="auto"/>
        <w:rPr>
          <w:rFonts w:ascii="Arial" w:cs="Arial" w:eastAsia="Arial" w:hAnsi="Arial"/>
          <w:sz w:val="16"/>
          <w:szCs w:val="16"/>
          <w:color w:val="auto"/>
        </w:rPr>
      </w:pPr>
      <w:r>
        <w:rPr>
          <w:rFonts w:ascii="Arial" w:cs="Arial" w:eastAsia="Arial" w:hAnsi="Arial"/>
          <w:sz w:val="18"/>
          <w:szCs w:val="18"/>
          <w:color w:val="auto"/>
        </w:rPr>
        <w:t>EPS. Under the two-class method required by EITF 03-6-1, a portion of net income is allocated to these participating securities and therefore is excluded from the calculation of EPS allocated to common stock, as shown in the table below. This FSP requires retrospective application for periods prior to the effective date and as a result, all prior period earnings per share data presented herein have been adjusted to conform to these provisions. The adoption of this FSP resulted in a decrease of $.01 per share to the previously reported basic EPS for the three months and six months ended June 30, 2008, and no change to the previously reported diluted EPS.</w:t>
      </w:r>
    </w:p>
    <w:p>
      <w:pPr>
        <w:spacing w:after="0" w:line="21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Computation and reconciliation of earnings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2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1"/>
              </w:rPr>
              <w:t>For Three Months Ended June 30, 2009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For Three Months Ended June 30, 2008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Income</w:t>
            </w: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Basic EPS:</w:t>
            </w: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260</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allocated to common stock for</w:t>
            </w:r>
          </w:p>
        </w:tc>
        <w:tc>
          <w:tcPr>
            <w:tcW w:w="860" w:type="dxa"/>
            <w:vAlign w:val="bottom"/>
            <w:vMerge w:val="restart"/>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258</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1,267</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860" w:type="dxa"/>
            <w:vAlign w:val="bottom"/>
            <w:vMerge w:val="continue"/>
            <w:shd w:val="clear" w:color="auto" w:fill="CCEEFF"/>
          </w:tcPr>
          <w:p>
            <w:pPr>
              <w:spacing w:after="0"/>
              <w:rPr>
                <w:sz w:val="23"/>
                <w:szCs w:val="23"/>
                <w:color w:val="auto"/>
              </w:rPr>
            </w:pPr>
          </w:p>
        </w:tc>
        <w:tc>
          <w:tcPr>
            <w:tcW w:w="30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60" w:type="dxa"/>
            <w:vAlign w:val="bottom"/>
            <w:vMerge w:val="continue"/>
            <w:shd w:val="clear" w:color="auto" w:fill="CCEEFF"/>
          </w:tcPr>
          <w:p>
            <w:pPr>
              <w:spacing w:after="0"/>
              <w:rPr>
                <w:sz w:val="23"/>
                <w:szCs w:val="23"/>
                <w:color w:val="auto"/>
              </w:rPr>
            </w:pPr>
          </w:p>
        </w:tc>
        <w:tc>
          <w:tcPr>
            <w:tcW w:w="98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260</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allocated to common stock for</w:t>
            </w:r>
          </w:p>
        </w:tc>
        <w:tc>
          <w:tcPr>
            <w:tcW w:w="860" w:type="dxa"/>
            <w:vAlign w:val="bottom"/>
            <w:vMerge w:val="restart"/>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258</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860" w:type="dxa"/>
            <w:vAlign w:val="bottom"/>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2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0"/>
              </w:rPr>
              <w:t>For Six Months Ended June 30, 2009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For Six Months Ended June 30, 2008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Income</w:t>
            </w: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Basic EPS:</w:t>
            </w: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277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allocated to common stock for</w:t>
            </w:r>
          </w:p>
        </w:tc>
        <w:tc>
          <w:tcPr>
            <w:tcW w:w="860" w:type="dxa"/>
            <w:vAlign w:val="bottom"/>
            <w:vMerge w:val="restart"/>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275</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1,271</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860" w:type="dxa"/>
            <w:vAlign w:val="bottom"/>
            <w:vMerge w:val="continue"/>
            <w:shd w:val="clear" w:color="auto" w:fill="CCEEFF"/>
          </w:tcPr>
          <w:p>
            <w:pPr>
              <w:spacing w:after="0"/>
              <w:rPr>
                <w:sz w:val="23"/>
                <w:szCs w:val="23"/>
                <w:color w:val="auto"/>
              </w:rPr>
            </w:pPr>
          </w:p>
        </w:tc>
        <w:tc>
          <w:tcPr>
            <w:tcW w:w="30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60" w:type="dxa"/>
            <w:vAlign w:val="bottom"/>
            <w:vMerge w:val="continue"/>
            <w:shd w:val="clear" w:color="auto" w:fill="CCEEFF"/>
          </w:tcPr>
          <w:p>
            <w:pPr>
              <w:spacing w:after="0"/>
              <w:rPr>
                <w:sz w:val="23"/>
                <w:szCs w:val="23"/>
                <w:color w:val="auto"/>
              </w:rPr>
            </w:pPr>
          </w:p>
        </w:tc>
        <w:tc>
          <w:tcPr>
            <w:tcW w:w="98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277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allocated to common stock for</w:t>
            </w:r>
          </w:p>
        </w:tc>
        <w:tc>
          <w:tcPr>
            <w:tcW w:w="860" w:type="dxa"/>
            <w:vAlign w:val="bottom"/>
            <w:vMerge w:val="restart"/>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275</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22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860" w:type="dxa"/>
            <w:vAlign w:val="bottom"/>
            <w:vMerge w:val="continue"/>
            <w:shd w:val="clear" w:color="auto" w:fill="CCEEFF"/>
          </w:tcPr>
          <w:p>
            <w:pPr>
              <w:spacing w:after="0"/>
              <w:rPr>
                <w:sz w:val="23"/>
                <w:szCs w:val="23"/>
                <w:color w:val="auto"/>
              </w:rPr>
            </w:pPr>
          </w:p>
        </w:tc>
        <w:tc>
          <w:tcPr>
            <w:tcW w:w="30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160" w:type="dxa"/>
            <w:vAlign w:val="bottom"/>
            <w:vMerge w:val="continue"/>
            <w:shd w:val="clear" w:color="auto" w:fill="CCEEFF"/>
          </w:tcPr>
          <w:p>
            <w:pPr>
              <w:spacing w:after="0"/>
              <w:rPr>
                <w:sz w:val="23"/>
                <w:szCs w:val="23"/>
                <w:color w:val="auto"/>
              </w:rPr>
            </w:pPr>
          </w:p>
        </w:tc>
        <w:tc>
          <w:tcPr>
            <w:tcW w:w="220" w:type="dxa"/>
            <w:vAlign w:val="bottom"/>
            <w:vMerge w:val="continue"/>
            <w:shd w:val="clear" w:color="auto" w:fill="CCEEFF"/>
          </w:tcPr>
          <w:p>
            <w:pPr>
              <w:spacing w:after="0"/>
              <w:rPr>
                <w:sz w:val="23"/>
                <w:szCs w:val="23"/>
                <w:color w:val="auto"/>
              </w:rPr>
            </w:pPr>
          </w:p>
        </w:tc>
        <w:tc>
          <w:tcPr>
            <w:tcW w:w="260" w:type="dxa"/>
            <w:vAlign w:val="bottom"/>
            <w:vMerge w:val="continue"/>
            <w:shd w:val="clear" w:color="auto" w:fill="CCEEFF"/>
          </w:tcPr>
          <w:p>
            <w:pPr>
              <w:spacing w:after="0"/>
              <w:rPr>
                <w:sz w:val="23"/>
                <w:szCs w:val="23"/>
                <w:color w:val="auto"/>
              </w:rPr>
            </w:pPr>
          </w:p>
        </w:tc>
        <w:tc>
          <w:tcPr>
            <w:tcW w:w="98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8</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ind w:left="332" w:right="260"/>
        <w:spacing w:after="0" w:line="312" w:lineRule="auto"/>
        <w:rPr>
          <w:sz w:val="20"/>
          <w:szCs w:val="20"/>
          <w:color w:val="auto"/>
        </w:rPr>
      </w:pPr>
      <w:r>
        <w:rPr>
          <w:rFonts w:ascii="Arial" w:cs="Arial" w:eastAsia="Arial" w:hAnsi="Arial"/>
          <w:sz w:val="16"/>
          <w:szCs w:val="16"/>
          <w:color w:val="auto"/>
        </w:rPr>
        <w:t>Options to purchase 139 million and 87 million shares of common stock that were outstanding during the second quarters of 2009 and 2008, and 140 million and 87 million shares outstanding during the six months of 2009 and 2008, were not included in the computation of diluted earnings per share because their exercise price was greater than the average market price of the common shares and, therefore, the effect would be anti-dilutive.</w:t>
      </w:r>
    </w:p>
    <w:p>
      <w:pPr>
        <w:spacing w:after="0" w:line="174" w:lineRule="exact"/>
        <w:rPr>
          <w:sz w:val="20"/>
          <w:szCs w:val="20"/>
          <w:color w:val="auto"/>
        </w:rPr>
      </w:pPr>
    </w:p>
    <w:p>
      <w:pPr>
        <w:ind w:left="332" w:right="860" w:hanging="332"/>
        <w:spacing w:after="0" w:line="308"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Valuation of debt and equity investments and certain liabilities</w:t>
      </w:r>
      <w:r>
        <w:rPr>
          <w:rFonts w:ascii="Arial" w:cs="Arial" w:eastAsia="Arial" w:hAnsi="Arial"/>
          <w:sz w:val="17"/>
          <w:szCs w:val="17"/>
          <w:color w:val="auto"/>
        </w:rPr>
        <w:t>. We present investments on our balance sheets as cash equivalents, short-term investments or long-term investments. This presentation reflects both the liquidity and intended use of the investments.</w:t>
      </w:r>
    </w:p>
    <w:p>
      <w:pPr>
        <w:spacing w:after="0" w:line="173"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i w:val="1"/>
          <w:iCs w:val="1"/>
          <w:color w:val="auto"/>
        </w:rPr>
        <w:t>Debt and equity investments</w:t>
      </w:r>
    </w:p>
    <w:p>
      <w:pPr>
        <w:spacing w:after="0" w:line="252" w:lineRule="exact"/>
        <w:rPr>
          <w:rFonts w:ascii="Arial" w:cs="Arial" w:eastAsia="Arial" w:hAnsi="Arial"/>
          <w:sz w:val="17"/>
          <w:szCs w:val="17"/>
          <w:color w:val="auto"/>
        </w:rPr>
      </w:pPr>
    </w:p>
    <w:p>
      <w:pPr>
        <w:ind w:left="332" w:right="80"/>
        <w:spacing w:after="0" w:line="277" w:lineRule="auto"/>
        <w:rPr>
          <w:rFonts w:ascii="Arial" w:cs="Arial" w:eastAsia="Arial" w:hAnsi="Arial"/>
          <w:sz w:val="17"/>
          <w:szCs w:val="17"/>
          <w:color w:val="auto"/>
        </w:rPr>
      </w:pPr>
      <w:r>
        <w:rPr>
          <w:rFonts w:ascii="Arial" w:cs="Arial" w:eastAsia="Arial" w:hAnsi="Arial"/>
          <w:sz w:val="18"/>
          <w:szCs w:val="18"/>
          <w:color w:val="auto"/>
        </w:rPr>
        <w:t>Our accounting policy is to classify our investments as available-for-sale, trading, equity method or cost method. Most of our investments are classified as available-for-sale.</w:t>
      </w:r>
    </w:p>
    <w:p>
      <w:pPr>
        <w:spacing w:after="0" w:line="197" w:lineRule="exact"/>
        <w:rPr>
          <w:rFonts w:ascii="Arial" w:cs="Arial" w:eastAsia="Arial" w:hAnsi="Arial"/>
          <w:sz w:val="17"/>
          <w:szCs w:val="17"/>
          <w:color w:val="auto"/>
        </w:rPr>
      </w:pPr>
    </w:p>
    <w:p>
      <w:pPr>
        <w:ind w:left="332" w:right="60"/>
        <w:spacing w:after="0" w:line="259" w:lineRule="auto"/>
        <w:rPr>
          <w:rFonts w:ascii="Arial" w:cs="Arial" w:eastAsia="Arial" w:hAnsi="Arial"/>
          <w:sz w:val="17"/>
          <w:szCs w:val="17"/>
          <w:color w:val="auto"/>
        </w:rPr>
      </w:pPr>
      <w:r>
        <w:rPr>
          <w:rFonts w:ascii="Arial" w:cs="Arial" w:eastAsia="Arial" w:hAnsi="Arial"/>
          <w:sz w:val="18"/>
          <w:szCs w:val="18"/>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in our statement of income, and all other unrealized gains and losses as an increase or decrease, net of taxes, in accumulated other comprehensive income (AOCI) on our balance sheet.</w:t>
      </w:r>
    </w:p>
    <w:p>
      <w:pPr>
        <w:spacing w:after="0" w:line="213" w:lineRule="exact"/>
        <w:rPr>
          <w:rFonts w:ascii="Arial" w:cs="Arial" w:eastAsia="Arial" w:hAnsi="Arial"/>
          <w:sz w:val="17"/>
          <w:szCs w:val="17"/>
          <w:color w:val="auto"/>
        </w:rPr>
      </w:pPr>
    </w:p>
    <w:p>
      <w:pPr>
        <w:ind w:left="332"/>
        <w:spacing w:after="0" w:line="259" w:lineRule="auto"/>
        <w:rPr>
          <w:rFonts w:ascii="Arial" w:cs="Arial" w:eastAsia="Arial" w:hAnsi="Arial"/>
          <w:sz w:val="17"/>
          <w:szCs w:val="17"/>
          <w:color w:val="auto"/>
        </w:rPr>
      </w:pPr>
      <w:r>
        <w:rPr>
          <w:rFonts w:ascii="Arial" w:cs="Arial" w:eastAsia="Arial" w:hAnsi="Arial"/>
          <w:sz w:val="18"/>
          <w:szCs w:val="18"/>
          <w:color w:val="auto"/>
        </w:rPr>
        <w:t>Trading securities are stated at fair value based on market prices. Our trading securities consist exclusively of mutual funds that hold a variety of debt and equity investments that are intended to generate returns that offset changes in certain deferred compensation liabilities. We record changes in the fair value of our trading securities and the related deferred compensation liabilities in selling, general and administrative (SG&amp;A) expense in our statement of income.</w:t>
      </w:r>
    </w:p>
    <w:p>
      <w:pPr>
        <w:spacing w:after="0" w:line="213" w:lineRule="exact"/>
        <w:rPr>
          <w:rFonts w:ascii="Arial" w:cs="Arial" w:eastAsia="Arial" w:hAnsi="Arial"/>
          <w:sz w:val="17"/>
          <w:szCs w:val="17"/>
          <w:color w:val="auto"/>
        </w:rPr>
      </w:pPr>
    </w:p>
    <w:p>
      <w:pPr>
        <w:ind w:left="332"/>
        <w:spacing w:after="0" w:line="302" w:lineRule="auto"/>
        <w:rPr>
          <w:rFonts w:ascii="Arial" w:cs="Arial" w:eastAsia="Arial" w:hAnsi="Arial"/>
          <w:sz w:val="17"/>
          <w:szCs w:val="17"/>
          <w:color w:val="auto"/>
        </w:rPr>
      </w:pPr>
      <w:r>
        <w:rPr>
          <w:rFonts w:ascii="Arial" w:cs="Arial" w:eastAsia="Arial" w:hAnsi="Arial"/>
          <w:sz w:val="16"/>
          <w:szCs w:val="16"/>
          <w:color w:val="auto"/>
        </w:rPr>
        <w:t>Our other investments are not measured at fair value but are accounted for using either the equity method or cost method of accounting. These investments consist of interests in venture capital funds and non-marketable equity securities. Gains or losses on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74" w:lineRule="exact"/>
        <w:rPr>
          <w:sz w:val="20"/>
          <w:szCs w:val="20"/>
          <w:color w:val="auto"/>
        </w:rPr>
      </w:pPr>
    </w:p>
    <w:p>
      <w:pPr>
        <w:ind w:left="332"/>
        <w:spacing w:after="0"/>
        <w:rPr>
          <w:sz w:val="20"/>
          <w:szCs w:val="20"/>
          <w:color w:val="auto"/>
        </w:rPr>
      </w:pPr>
      <w:r>
        <w:rPr>
          <w:rFonts w:ascii="Arial" w:cs="Arial" w:eastAsia="Arial" w:hAnsi="Arial"/>
          <w:sz w:val="22"/>
          <w:szCs w:val="22"/>
          <w:color w:val="auto"/>
        </w:rPr>
        <w:t>We determine cost or amortized cost, as appropriate, on a specific identification basis.</w:t>
      </w:r>
    </w:p>
    <w:p>
      <w:pPr>
        <w:spacing w:after="0" w:line="24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39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2009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2008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Cash &amp; Cash</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Short-term</w:t>
            </w:r>
          </w:p>
        </w:tc>
        <w:tc>
          <w:tcPr>
            <w:tcW w:w="100" w:type="dxa"/>
            <w:vAlign w:val="bottom"/>
          </w:tcPr>
          <w:p>
            <w:pPr>
              <w:spacing w:after="0"/>
              <w:rPr>
                <w:sz w:val="17"/>
                <w:szCs w:val="17"/>
                <w:color w:val="auto"/>
              </w:rPr>
            </w:pPr>
          </w:p>
        </w:tc>
        <w:tc>
          <w:tcPr>
            <w:tcW w:w="10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Long-term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91"/>
              </w:rPr>
              <w:t>Cash &amp; Cash</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3"/>
              </w:rPr>
              <w:t>Short-term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Equivalents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41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Measured at fair value:</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U.S. government agency and Treasury</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288</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5"/>
              </w:rPr>
              <w:t>Mortgage-backed and other available-for-</w:t>
            </w:r>
          </w:p>
        </w:tc>
        <w:tc>
          <w:tcPr>
            <w:tcW w:w="100" w:type="dxa"/>
            <w:vAlign w:val="bottom"/>
          </w:tcPr>
          <w:p>
            <w:pPr>
              <w:spacing w:after="0"/>
              <w:rPr>
                <w:sz w:val="17"/>
                <w:szCs w:val="17"/>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sale securities</w:t>
            </w: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Trading</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Total debt and equity investments measured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1,577</w:t>
            </w:r>
          </w:p>
        </w:tc>
        <w:tc>
          <w:tcPr>
            <w:tcW w:w="120" w:type="dxa"/>
            <w:vAlign w:val="bottom"/>
            <w:vMerge w:val="restart"/>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 fair value</w:t>
            </w:r>
          </w:p>
        </w:tc>
        <w:tc>
          <w:tcPr>
            <w:tcW w:w="100" w:type="dxa"/>
            <w:vAlign w:val="bottom"/>
            <w:vMerge w:val="continue"/>
            <w:shd w:val="clear" w:color="auto" w:fill="CCEEFF"/>
          </w:tcPr>
          <w:p>
            <w:pPr>
              <w:spacing w:after="0"/>
              <w:rPr>
                <w:sz w:val="23"/>
                <w:szCs w:val="23"/>
                <w:color w:val="auto"/>
              </w:rPr>
            </w:pPr>
          </w:p>
        </w:tc>
        <w:tc>
          <w:tcPr>
            <w:tcW w:w="1060" w:type="dxa"/>
            <w:vAlign w:val="bottom"/>
            <w:vMerge w:val="continue"/>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220" w:type="dxa"/>
            <w:vAlign w:val="bottom"/>
            <w:gridSpan w:val="2"/>
            <w:vMerge w:val="continue"/>
            <w:shd w:val="clear" w:color="auto" w:fill="CCEEFF"/>
          </w:tcPr>
          <w:p>
            <w:pPr>
              <w:spacing w:after="0"/>
              <w:rPr>
                <w:sz w:val="23"/>
                <w:szCs w:val="23"/>
                <w:color w:val="auto"/>
              </w:rPr>
            </w:pPr>
          </w:p>
        </w:tc>
        <w:tc>
          <w:tcPr>
            <w:tcW w:w="1280" w:type="dxa"/>
            <w:vAlign w:val="bottom"/>
            <w:gridSpan w:val="2"/>
            <w:vMerge w:val="continue"/>
            <w:shd w:val="clear" w:color="auto" w:fill="CCEEFF"/>
          </w:tcPr>
          <w:p>
            <w:pPr>
              <w:spacing w:after="0"/>
              <w:rPr>
                <w:sz w:val="23"/>
                <w:szCs w:val="23"/>
                <w:color w:val="auto"/>
              </w:rPr>
            </w:pPr>
          </w:p>
        </w:tc>
        <w:tc>
          <w:tcPr>
            <w:tcW w:w="100" w:type="dxa"/>
            <w:vAlign w:val="bottom"/>
            <w:vMerge w:val="continue"/>
            <w:shd w:val="clear" w:color="auto" w:fill="CCEEFF"/>
          </w:tcPr>
          <w:p>
            <w:pPr>
              <w:spacing w:after="0"/>
              <w:rPr>
                <w:sz w:val="23"/>
                <w:szCs w:val="23"/>
                <w:color w:val="auto"/>
              </w:rPr>
            </w:pPr>
          </w:p>
        </w:tc>
        <w:tc>
          <w:tcPr>
            <w:tcW w:w="1140" w:type="dxa"/>
            <w:vAlign w:val="bottom"/>
            <w:gridSpan w:val="2"/>
            <w:vMerge w:val="continue"/>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 and 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All of our corporate obligations are insured by either the Federal Deposit Insurance Corporation (FDIC) or the U.K.</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government.</w:t>
      </w:r>
    </w:p>
    <w:p>
      <w:pPr>
        <w:spacing w:after="0" w:line="222" w:lineRule="exact"/>
        <w:rPr>
          <w:sz w:val="20"/>
          <w:szCs w:val="20"/>
          <w:color w:val="auto"/>
        </w:rPr>
      </w:pPr>
    </w:p>
    <w:p>
      <w:pPr>
        <w:jc w:val="both"/>
        <w:ind w:left="340" w:right="280"/>
        <w:spacing w:after="0" w:line="259" w:lineRule="auto"/>
        <w:rPr>
          <w:sz w:val="20"/>
          <w:szCs w:val="20"/>
          <w:color w:val="auto"/>
        </w:rPr>
      </w:pPr>
      <w:r>
        <w:rPr>
          <w:rFonts w:ascii="Arial" w:cs="Arial" w:eastAsia="Arial" w:hAnsi="Arial"/>
          <w:sz w:val="18"/>
          <w:szCs w:val="18"/>
          <w:color w:val="auto"/>
        </w:rPr>
        <w:t>As of June 30, 2009, unrealized losses included in AOCI were primarily associated with auction-rate securities. As of December 31, 2008, unrealized losses included in AOCI were primarily associated with auction-rate securities and mortgage-backed securities. The change in unrealized losses from December 31, 2008 was primarily due to improvement in fair values of the investments held as well as the effects of redemptions and sales since that date.</w:t>
      </w:r>
    </w:p>
    <w:p>
      <w:pPr>
        <w:spacing w:after="0" w:line="214"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As of June 30, 2009, we have determined that our investments classified as available-for-sale with unrealized losses are not other-than-temporarily impaired. We expect to recover the entire cost basis of these securities. Other than cash and cash equivalents, we do not intend to sell these investments, nor do we expect to be required to sell these investments. For the six months ended June 30, 2009, we did not recognize in earnings any credit losses related to our investments.</w:t>
      </w:r>
    </w:p>
    <w:p>
      <w:pPr>
        <w:spacing w:after="0" w:line="21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For the six months ended June 30, 2009, the proceeds from sales of available-for-sale securities were $740 million. Gross realized gains and losses from the sales of these securities were not significant for any periods presented.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available-for-sale at June 30,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44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1,883</w:t>
            </w: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One to three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r>
      <w:tr>
        <w:trPr>
          <w:trHeight w:val="230"/>
        </w:trPr>
        <w:tc>
          <w:tcPr>
            <w:tcW w:w="20" w:type="dxa"/>
            <w:vAlign w:val="bottom"/>
          </w:tcPr>
          <w:p>
            <w:pPr>
              <w:spacing w:after="0"/>
              <w:rPr>
                <w:sz w:val="20"/>
                <w:szCs w:val="20"/>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Investments with serial maturities (primarily mortgage-backed securities)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We measure and report our financial assets and liabilities under the provisions of SFAS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Effective January 1, 2009, we adopted the provisions of SFAS 157 for non-financial assets and liabilities. The adoption of SFAS 157 for non-financial assets and liabilities did not have a significant impact on our financial condition or results of operations.</w:t>
      </w:r>
    </w:p>
    <w:p>
      <w:pPr>
        <w:spacing w:after="0" w:line="208" w:lineRule="exact"/>
        <w:rPr>
          <w:sz w:val="20"/>
          <w:szCs w:val="20"/>
          <w:color w:val="auto"/>
        </w:rPr>
      </w:pPr>
    </w:p>
    <w:p>
      <w:pPr>
        <w:ind w:left="340" w:right="580"/>
        <w:spacing w:after="0" w:line="308" w:lineRule="auto"/>
        <w:rPr>
          <w:sz w:val="20"/>
          <w:szCs w:val="20"/>
          <w:color w:val="auto"/>
        </w:rPr>
      </w:pPr>
      <w:r>
        <w:rPr>
          <w:rFonts w:ascii="Arial" w:cs="Arial" w:eastAsia="Arial" w:hAnsi="Arial"/>
          <w:sz w:val="17"/>
          <w:szCs w:val="17"/>
          <w:color w:val="auto"/>
        </w:rPr>
        <w:t>SFAS 157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SFAS 157 establishes a three-level hierarchy for disclosure to show the extent and level of judgment used to estimate fair value measurements.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the identical assets or liabilities as of the reporting date.</w:t>
      </w:r>
    </w:p>
    <w:p>
      <w:pPr>
        <w:spacing w:after="0" w:line="252" w:lineRule="exact"/>
        <w:rPr>
          <w:sz w:val="20"/>
          <w:szCs w:val="20"/>
          <w:color w:val="auto"/>
        </w:rPr>
      </w:pPr>
    </w:p>
    <w:p>
      <w:pPr>
        <w:jc w:val="both"/>
        <w:ind w:left="340" w:right="24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left="340" w:right="760"/>
        <w:spacing w:after="0" w:line="342" w:lineRule="auto"/>
        <w:rPr>
          <w:sz w:val="20"/>
          <w:szCs w:val="20"/>
          <w:color w:val="auto"/>
        </w:rPr>
      </w:pPr>
      <w:r>
        <w:rPr>
          <w:rFonts w:ascii="Arial" w:cs="Arial" w:eastAsia="Arial" w:hAnsi="Arial"/>
          <w:sz w:val="16"/>
          <w:szCs w:val="16"/>
          <w:color w:val="auto"/>
        </w:rPr>
        <w:t>Level 3 – Uses inputs that are unobservable and are supported by little or no market activity and reflect the use of significant management judgment. These values are generally determined using pricing models which utilize management estimates of market participant assumptions.</w:t>
      </w:r>
    </w:p>
    <w:p>
      <w:pPr>
        <w:spacing w:after="0" w:line="151"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Investments in auction-rate securities are our only Level 3 assets. Auction-rate securities are debt instruments with variable interest rates that historically would periodically reset through an auction process. There is currently no active market for auction-rate securities, so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current reduced liquidity for auction-rate securities.</w:t>
      </w:r>
    </w:p>
    <w:p>
      <w:pPr>
        <w:spacing w:after="0" w:line="205"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14 to 38 years. All of our auction-rate securities are backed by pools of student loans substantially guaranteed by the U.S. Department of Education and we continue to believe that the credit quality of these securities is high based on this guarantee. As of June 30, 2009, all but one of these securities were rated AAA/Aaa by the major credit rating agencies, with the remaining security (with a par value of $25 million) rated AAA/Baa1.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340" w:right="40"/>
        <w:spacing w:after="0" w:line="277" w:lineRule="auto"/>
        <w:rPr>
          <w:sz w:val="20"/>
          <w:szCs w:val="20"/>
          <w:color w:val="auto"/>
        </w:rPr>
      </w:pPr>
      <w:r>
        <w:rPr>
          <w:rFonts w:ascii="Arial" w:cs="Arial" w:eastAsia="Arial" w:hAnsi="Arial"/>
          <w:sz w:val="18"/>
          <w:szCs w:val="18"/>
          <w:color w:val="auto"/>
        </w:rPr>
        <w:t>The table below sets forth, by level, our assets and liabilities that were accounted for at fair value as of June 30, 2009. The table does not include cash on hand and also does not include assets and liabilities that are measured at historical cost or any basis other than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Fair Value at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June 30, 2009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98"/>
        </w:trPr>
        <w:tc>
          <w:tcPr>
            <w:tcW w:w="60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Items measured at fair value on a recurring basis:</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Mortgage-backed and other securities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Auction–rate securities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Mutual funds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 measured at fair value</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compensation liabilities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liabilities measured at fair value</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liabilities above are a component of deferred credits and other liabilities on our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the fair values for Level 3 assets and liabilities for the three and six months ended June 30, 2009.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Level 3</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Changes in fair value for the three months ending June 30 (pre-tax):</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 March 31, 2009</w:t>
            </w:r>
          </w:p>
        </w:tc>
        <w:tc>
          <w:tcPr>
            <w:tcW w:w="23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492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New contingent consideration</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Reduction of unrealized losses - included in AOCI</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at par</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Ending Balance, June 30, 2009</w:t>
            </w:r>
          </w:p>
        </w:tc>
        <w:tc>
          <w:tcPr>
            <w:tcW w:w="23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463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Changes in fair value for the six months ending June 30 (pre-tax):</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 December 31, 2008</w:t>
            </w:r>
          </w:p>
        </w:tc>
        <w:tc>
          <w:tcPr>
            <w:tcW w:w="23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New contingent consideration</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Reduction of unrealized losses - included in AOCI</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at par</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Ending Balance, June 30, 2009</w:t>
            </w:r>
          </w:p>
        </w:tc>
        <w:tc>
          <w:tcPr>
            <w:tcW w:w="23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463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7300" w:type="dxa"/>
            <w:vAlign w:val="bottom"/>
            <w:gridSpan w:val="2"/>
            <w:vMerge w:val="restart"/>
          </w:tcPr>
          <w:p>
            <w:pPr>
              <w:jc w:val="right"/>
              <w:ind w:right="1430"/>
              <w:spacing w:after="0"/>
              <w:rPr>
                <w:sz w:val="20"/>
                <w:szCs w:val="20"/>
                <w:color w:val="auto"/>
              </w:rPr>
            </w:pPr>
            <w:r>
              <w:rPr>
                <w:rFonts w:ascii="Arial" w:cs="Arial" w:eastAsia="Arial" w:hAnsi="Arial"/>
                <w:sz w:val="14"/>
                <w:szCs w:val="14"/>
                <w:color w:val="auto"/>
              </w:rPr>
              <w:t>12</w:t>
            </w:r>
          </w:p>
        </w:tc>
        <w:tc>
          <w:tcPr>
            <w:tcW w:w="1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73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U.S. Defined Benefit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U.S. Retiree Health Care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Non-U.S. Defined Benefit</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June 30,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8"/>
                <w:szCs w:val="18"/>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8"/>
                <w:szCs w:val="18"/>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U.S. Defined Benefit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U.S. Retiree Health Care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Non-U.S. Defined Benefit</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six months ended June 30,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8"/>
                <w:szCs w:val="18"/>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charges (gains)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termination benefit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right="2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340" w:right="280"/>
        <w:spacing w:after="0" w:line="288"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that include negotiated warranty</w:t>
      </w:r>
    </w:p>
    <w:p>
      <w:pPr>
        <w:ind w:left="340" w:right="20"/>
        <w:spacing w:after="0" w:line="254" w:lineRule="auto"/>
        <w:rPr>
          <w:rFonts w:ascii="Arial" w:cs="Arial" w:eastAsia="Arial" w:hAnsi="Arial"/>
          <w:sz w:val="18"/>
          <w:szCs w:val="18"/>
          <w:color w:val="auto"/>
        </w:rPr>
      </w:pPr>
      <w:r>
        <w:rPr>
          <w:rFonts w:ascii="Arial" w:cs="Arial" w:eastAsia="Arial" w:hAnsi="Arial"/>
          <w:sz w:val="18"/>
          <w:szCs w:val="18"/>
          <w:color w:val="auto"/>
        </w:rPr>
        <w:t>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16" w:lineRule="exact"/>
        <w:rPr>
          <w:rFonts w:ascii="Arial" w:cs="Arial" w:eastAsia="Arial" w:hAnsi="Arial"/>
          <w:sz w:val="18"/>
          <w:szCs w:val="18"/>
          <w:color w:val="auto"/>
        </w:rPr>
      </w:pPr>
    </w:p>
    <w:p>
      <w:pPr>
        <w:ind w:left="340" w:right="12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other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left="340" w:right="80"/>
        <w:spacing w:after="0" w:line="279" w:lineRule="auto"/>
        <w:rPr>
          <w:sz w:val="20"/>
          <w:szCs w:val="20"/>
          <w:color w:val="auto"/>
        </w:rPr>
      </w:pPr>
      <w:r>
        <w:rPr>
          <w:rFonts w:ascii="Arial" w:cs="Arial" w:eastAsia="Arial" w:hAnsi="Arial"/>
          <w:sz w:val="17"/>
          <w:szCs w:val="17"/>
          <w:i w:val="1"/>
          <w:iCs w:val="1"/>
          <w:color w:val="auto"/>
        </w:rPr>
        <w:t xml:space="preserve">Discontinued Operations Indemnity – </w:t>
      </w:r>
      <w:r>
        <w:rPr>
          <w:rFonts w:ascii="Arial" w:cs="Arial" w:eastAsia="Arial" w:hAnsi="Arial"/>
          <w:sz w:val="17"/>
          <w:szCs w:val="17"/>
          <w:color w:val="auto"/>
        </w:rPr>
        <w:t>In connection with the sale of the former Sensors &amp; Controls business to an affiliate of Bain Capital, LLC in 2006,</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agreed to indemnify the former business, renamed Sensata 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w:t>
      </w:r>
    </w:p>
    <w:p>
      <w:pPr>
        <w:spacing w:after="0" w:line="198"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i w:val="1"/>
          <w:iCs w:val="1"/>
          <w:color w:val="auto"/>
        </w:rPr>
        <w:t xml:space="preserve">Subsequent events review – </w:t>
      </w:r>
      <w:r>
        <w:rPr>
          <w:rFonts w:ascii="Arial" w:cs="Arial" w:eastAsia="Arial" w:hAnsi="Arial"/>
          <w:sz w:val="18"/>
          <w:szCs w:val="18"/>
          <w:color w:val="auto"/>
        </w:rPr>
        <w:t>In accordance with SFAS 165, we have evaluated subsequent events through the issuance of these financial statements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on July 29, 2009.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color w:val="auto"/>
              </w:rPr>
              <w:t>9.  Segment data.</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For Six Months Ended June 30,</w:t>
            </w:r>
          </w:p>
        </w:tc>
      </w:tr>
      <w:tr>
        <w:trPr>
          <w:trHeight w:val="223"/>
        </w:trPr>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983</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1,287</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2,552</w:t>
            </w: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1,384</w:t>
            </w:r>
          </w:p>
        </w:tc>
      </w:tr>
      <w:tr>
        <w:trPr>
          <w:trHeight w:val="27"/>
        </w:trPr>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4,542</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6,623</w:t>
            </w:r>
          </w:p>
        </w:tc>
      </w:tr>
      <w:tr>
        <w:trPr>
          <w:trHeight w:val="210"/>
        </w:trPr>
        <w:tc>
          <w:tcPr>
            <w:tcW w:w="340" w:type="dxa"/>
            <w:vAlign w:val="bottom"/>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Profit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w:t>
            </w: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r>
      <w:tr>
        <w:trPr>
          <w:trHeight w:val="216"/>
        </w:trPr>
        <w:tc>
          <w:tcPr>
            <w:tcW w:w="34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r>
      <w:tr>
        <w:trPr>
          <w:trHeight w:val="216"/>
        </w:trPr>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r>
      <w:tr>
        <w:trPr>
          <w:trHeight w:val="27"/>
        </w:trPr>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17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w:t>
            </w:r>
          </w:p>
        </w:tc>
      </w:tr>
      <w:tr>
        <w:trPr>
          <w:trHeight w:val="20"/>
        </w:trPr>
        <w:tc>
          <w:tcPr>
            <w:tcW w:w="34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2 for restructuring charges impacting segment results for the three months and six months ended June 30, 2009. There were no restructuring charges impacting segment results for the periods ended June 30, 2008.</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Texas Instruments, we design and make semiconductors that we sell to electronics designers and manufacturers all over the world. We began operations in 1930 and are incorporated in Delaware. We 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were the world’s fourth largest semiconductor company in 2008 as measured by revenue, according to an external source. Additionally, we sell calculators and related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sell two general categories of semiconductor products: custom and standard. A custom product is designed for a specific customer for a specific application, is sold only to that customer and is typically sold directly to the customer. A standard product is designed for use by many customers and/or many applications and is generally sold through both distribution and direct channels. Standard products include both proprietary and commodity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so the signals can be processed by other semiconductors, such as digital signal processors (DSPs). Analog semiconductors are also used to manage power distribution and consumption. Sales from our Analog segment accounted for about 40 percent of our revenue in 2008. According to WSTS, an industry data-gathering organization, the worldwide market for analog semiconductors was about $36 billion in 2008. Our Analog segment’s revenue in 2008 was $4.9 billion, or about 14% of this market, giving us the leading position. We believe that we are well positioned to increase our share over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high-performance analog, high-volume analog &amp; logic and power management.</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low-power radio frequency devices and interface semiconductors (our standard analog portfolio includes more than 15,000 products), that we market to many different customers (nearly 80,000) who use them in a wide range of products across the industrial, communications, computing and consumer markets. High-performance analog products generally have long life cycles, often 10 to 20 years.</w:t>
      </w: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High-volume analog &amp; logic products: These include two product types. The first, high-volume analog, includes products for specific applications, including custom products for specific customers. The life cycles of our high-volume analog products are generally shorter than those of our high-performance analog products. End markets for high-volume analog products include communications, automotive, computing and many consumer electronics products. The second product type, standard linear and logic, includes commodity products marketed to many different customers for many different applications.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 w:name="page17"/>
    <w:bookmarkEnd w:id="16"/>
    <w:p>
      <w:pPr>
        <w:ind w:right="34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accounted for about 15 percent of our revenue in 2008. The worldwide market for embedded processors was about $17 billion in 2008. According to external sources, we have about 10 percent market share in this fragmented market, and we believe we are well positioned to increase our share over time.</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Cell phones require a modem or “baseband” to connect to the wireless carrier’s network. Many of today’s advanced cell phones also require an applications processor to run the phone’s software and services, and semiconductors to enable connectivity to Bluetooth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WiFi networks or GPS location services. We design, make and sell products to satisfy each of these requirements. Wireless products are typically sold in high volumes and our Wireless portfolio includes both standard (or merchant) products and custom products. Sales of Wireless products accounted for about 25 percent of our revenue in 2008, and a significant portion of our Wireless sales were to a single customer.</w:t>
      </w:r>
    </w:p>
    <w:p>
      <w:pPr>
        <w:spacing w:after="0" w:line="23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As wireless communications have proliferated, consumers have demanded capabilities beyond voice. Smartphones (phones that contain email, media, games and computing capability) represent one of the fastest growing wireless markets. These phones tend to include many semiconductor products. Major handset manufacturers are actively pursuing the smartphone market and increasingly focusing their R&amp;D on applications and services. As a result, we believe customer demand for applications processors will grow as handset manufacturers seek to differentiate their products by providing software and a unique user experience.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product line has a leading position in the applications processor market and is used by most of the top handset manufacturers.</w:t>
      </w:r>
    </w:p>
    <w:p>
      <w:pPr>
        <w:spacing w:after="0" w:line="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Wireless segment has been shifting focus from baseband chips, a market with shrinking competitive barriers and slowing growth rates, to applications processors, a market we expect will grow faster than the baseband market. Consistent with this shift in market focus, we are concentrating our Wireless investments on our applications processors and connectivity products and have discontinued further development of merchant baseband products. While we continue to sell custom baseband products, we are also decreasing custom baseband investments and expect substantially all of this revenue to cease by the end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Our Other segment includes revenue from smaller semiconductor product lines and handheld graphing and scientific calculators, and from royalties received for our patented technology that we license to other electronics companies. The semiconductor products in our Other segment include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(primarily used to create high-definition images for business and home theater projectors, televisions and movie projectors), reduced-instruction set computing (RISC) microprocessors (designed to provide very fast computing and often implemented in servers) and custom semiconductors known as application-specific integrated circuits (ASICs). This segment accounted for about 20 percent of our revenue in 2008.</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While our inventory practices differ by product, we generally maintain inventory levels that are consistent with our expectations of customer demand.</w:t>
      </w:r>
    </w:p>
    <w:p>
      <w:pPr>
        <w:spacing w:after="0" w:line="2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custom semiconductor products, where the risk of obsolescence is higher, we carry lower levels of inventory when possible. These products have a single customer, are sold in high volumes and have comparatively shorter life cycles. Life cycles of these products are often determined by end-equipment upgrade cycles and can be as short as 12 to 24 months.</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standard semiconductor products, where the risk of obsolescence is low, we generally carry higher levels of inventory. These products usually have many customers and long life cycles, and are often ordered in small quantities. Standard product inventory is sometimes held in unfinished wafer form, giving us greater flexibility to meet final package and test configurations.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the following multi-year trends, we now tend to carry relatively higher levels of inventory (as measured in days of inventory) than in past years: standard products have become a larger part of our portfolio; we have increased consignment programs with our largest customers; and our distributors now carry relatively less inventory on average than in the past.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manage calculator inventory consistent with expected seasonality.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Semiconductor manufacturing begins with the wafer fabrication manufacturing process: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twelve and eighteen weeks and takes place in highly specialized facilities.</w:t>
      </w:r>
    </w:p>
    <w:p>
      <w:pPr>
        <w:spacing w:after="0" w:line="21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own and operate semiconductor manufacturing sites in North America, Asia and Europe. These facilities include high-volume wafer fabrication plants and assembly/test sites.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and can adversely affect our profit margins as a result. Conversely, as product demand rises and factory utilization increases, the fixed costs are spread over increased output, potentially benefiting our profit margins.</w:t>
      </w:r>
    </w:p>
    <w:p>
      <w:pPr>
        <w:spacing w:after="0" w:line="20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Most of our Analog semiconductors require a lower level of capital investment in manufacturing and equipment than is needed for equivalent production levels of our Embedded Processing and Wireless semiconductors, which are manufactured using advanced logic wafer manufacturing equipment. While analog chips benefit from unique, proprietary wafer manufacturing processes, these processes can be applied using older, less expensive equipment. In addition, these processes and equipment remain usable for much longer than the manufacturing processes and equipment required for advanced logic wafer manufacturing.</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supplement our internal advanced logic wafer fabrication capacity, maximize our responsiveness to customer demand and minimize our overall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2008, external foundries provided about 50 percent of the fabricated wafers for our advanced logic manufacturing needs. We expect the proportion of our advanced logic wafers provided by foundries will increase over time. We expect to maintain sufficient internal wafer fabrication capacity to meet substantially all our analog production needs.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in the event demand temporarily exceeds our internal capacity. We believe we often have a cost advantage in maintaining internal assembly/test capacity. Accordingly, we have recently opened an environmentally efficient assembly/test facility in the Philippines, and the facility is in the initial stages of production.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8"/>
          <w:szCs w:val="18"/>
          <w:color w:val="auto"/>
        </w:rPr>
        <w:t>This internal/external manufacturing strategy is designed to reduce the level of our required capital expenditures, and thereby reduce our subsequent levels of depreciation. Expected end results include less fluctuation in our profit margins due to changing product demand, and lower cash requirements for expanding and updating our manufacturing capabilities. As our internal manufacturing efforts shift to a higher percentage of analog products, an increasing proportion of our capital expenditures is devoted to assembly/test facilities and equipment. This is primarily due to the lower capital needs of analog wafer manufacturing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Chip prices and manufacturing costs tend to decline over time as manufacturing methods and product life cycles mature. Typically, new chips are produced in limited quantities at first and then ramp to high-volume production over time. Consequently, new products tend not to have a significant impact on revenue for one or more quarters after they are introduced. In the discussion below, changes in our shipments are caused by changing demand for our products unless otherwise noted.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with relatively stable demand.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Sales of our semiconductor products are seasonally weaker in the first quarter than in other quarters, particularly for products sold into cell phones and consumer electronics applications that have stronger sales later in the year as manufacturers prepare for the holiday selling season. Calculator revenue is tied to the U.S. back-to-school season and, as a result, is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among the various jurisdictions and their taxing authorities. As a result, during any particular reporting period, we might reflect in our financial statements one or more tax refunds or assessments, or changes to tax liabilities, involving one or more taxing authorities.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2009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$2.46 billion, our net income was $260 million and earnings per share (EPS) were $0.20.</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sharp inventory corrections in our markets during the prior two quarters, our revenue levels are beginning to more closely reflect end demand. As it will likely take some time before the economy strengthens, we have aligned our operations and expenses to be consistent with the weak environment. As a result, we are seeing healthy trends in our profitability.</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Analog was the biggest driver of sequential revenue growth this quarter with all three product lines contributing. Of particular note, our High-Volume Analog &amp; Logic product line is now showing early signs of progress from our efforts over the past couple of years to reinvigorate growth.</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Operationally, we performed well. Despite low visibility at the start of the quarter, our factories were able to respond to a surge in demand resulting in 18 percent sequential growth in revenue. At the same time, our internal inventory again declined, and by working with our distributors we were able to further reduce their inventory of our products by about 10 percent.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right="40"/>
        <w:spacing w:after="0" w:line="286" w:lineRule="auto"/>
        <w:rPr>
          <w:sz w:val="20"/>
          <w:szCs w:val="20"/>
          <w:color w:val="auto"/>
        </w:rPr>
      </w:pPr>
      <w:r>
        <w:rPr>
          <w:rFonts w:ascii="Arial" w:cs="Arial" w:eastAsia="Arial" w:hAnsi="Arial"/>
          <w:sz w:val="17"/>
          <w:szCs w:val="17"/>
          <w:color w:val="auto"/>
        </w:rPr>
        <w:t>We continue to focus on strengthening our core businesses of Analog and Embedded Processing. In the quarter, we acquired Luminary Micro, which expanded our Embedded Processing portfolio by more than 140 advanced, 32-bit microcontroller products. Many of our 2,000 field sales representatives and applications engineers already are working with these products to help customers solve a wide variety of system needs.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2009</w:t>
            </w:r>
          </w:p>
        </w:tc>
        <w:tc>
          <w:tcPr>
            <w:tcW w:w="6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June 30, 2008</w:t>
            </w:r>
          </w:p>
        </w:tc>
        <w:tc>
          <w:tcPr>
            <w:tcW w:w="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 31, 2009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Restructuring costs</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SG&amp;A</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for the second quarter of 2009 was $2.46 billion, a decrease of $894 million, or 27 percent, from the year-ago quarter, and an increase of $371 million, or 18 percent, from the prior quarter. Compared with the year-ago quarter, the revenue decline was due to broad-based declines in shipments of products across all segments resulting from the downturn in global markets. Compared with the prior quarter, revenue increased primarily due to strength in our Analog segment as well as a seasonal increase in calculator revenue. Revenue was up sequentially in all segments due to higher shipments. From a regional and end-equipment perspective, sequential growth was driven primarily by high-volume equipment manufactured in Asia. Our revenue from sales to Europe and the United States continues to be weak, although these regions are both much smaller in terms of revenue than Asia, and are more heavily dominated by manufacturers who sell into industrial markets. Year-to-date, more than 90% of our revenue is from outside of the United States.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0" w:name="page21"/>
    <w:bookmarkEnd w:id="20"/>
    <w:p>
      <w:pPr>
        <w:spacing w:after="0" w:line="302" w:lineRule="auto"/>
        <w:rPr>
          <w:sz w:val="20"/>
          <w:szCs w:val="20"/>
          <w:color w:val="auto"/>
        </w:rPr>
      </w:pPr>
      <w:r>
        <w:rPr>
          <w:rFonts w:ascii="Arial" w:cs="Arial" w:eastAsia="Arial" w:hAnsi="Arial"/>
          <w:sz w:val="16"/>
          <w:szCs w:val="16"/>
          <w:color w:val="auto"/>
        </w:rPr>
        <w:t>Gross profit for the second quarter of 2009 was $1.12 billion, or 45.7 percent of revenue, a decrease of $625 million, or 36 percent, from the year-ago quarter due to a combination of lower revenue and, to a lesser extent, the impact of underutilized manufacturing assets. This lower utilization of manufacturing assets decreased our gross profit by about $100 million from a year ago. Gross profit increased $318 million, or 39 percent, from the prior quarter due to increased utilization of manufacturing assets and higher revenue. The increased utilization accounted for about $200 million of the increase.</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expenses for the second quarter of 2009 were $369 million for R&amp;D and $327 million for SG&amp;A. R&amp;D expense decreased $119 million, or 24 percent, from a year ago primarily due to the combination of the effects of our previously-announced employment reductions, especially in Wireless and, to a lesser extent, our cost-control efforts. R&amp;D expense decreased $17 million, or 4 percent, from the prior quarter due to lower product development costs in Wireless. SG&amp;A expense decreased $101 million, or 24 percent, from the year-ago quarter primarily due to the combination of the effects of employment reductions, and to a lesser extent, cost-control efforts. SG&amp;A increased $22 million, or 7 percent, from the prior quarter due to higher compensation-related costs primarily resulting from improved profitability.</w:t>
      </w:r>
    </w:p>
    <w:p>
      <w:pPr>
        <w:spacing w:after="0" w:line="22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Restructuring costs in the second quarter of 2009 were $85 million, compared with $105 million in the prior quarter. The restructuring costs in the second quarter were for additional severance and benefits costs, primarily for non-U.S. employees (see Note 2 to the Financial Statements for a detailed discussion of these charges and payments made during the quarter). We expect to incur restructuring charges equivalent to about $0.01 of EPS in each of the third and fourth quarters of 2009. As of June 30, 2009, a total of about 3,800 jobs have been eliminated since the first of these actions was announced in October 2008.</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second quarter of 2009, we had operating profit of $343 million, a decrease of $490 million, or 59 percent, compared with the year-ago quarter, and an increase of $333 million compared with the previous quarter. The decline from a year ago was due to lower gross profit, and to a lesser extent, restructuring charges. Collectively, these factors more than offset lower operating expenses. The increase from the prior quarter was primarily due to higher gross profit, and to a lesser extent, lower restructuring charges.</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2009, the estimated annual effective tax rate for 2009 is expected to be about 27 percent (see Note 4 to the Financial Statements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tax provision for the second quarter of 2009 was $96 million, compared with $262 million in the year-ago quarter. The decrease in the tax provision from the year-ago quarter was due to lower income before income taxes. For the first quarter of 2009 we had a net tax benefit of $2 million, which included $5 million in discrete tax benefits primarily related to earnings of non-U.S. subsidiaries. The increase in the tax provision for the second quarter of 2009 was due to higher income before income taxes.</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second quarter of 2009, we had net income of $260 million, or earnings per share of $0.20, compared with net income of $588 million, or earnings per share of $0.44, for the year-ago quarter and $17 million, or $0.01 per share for the prior quarter.</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Orders in the second quarter were $2.80 billion, a decrease of 19 percent from the year-ago quarter. Compared with the prior quarter, orders increased 27 percent.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Segment results</w:t>
            </w: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358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2Q08</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vs. 2Q08</w:t>
            </w:r>
          </w:p>
        </w:tc>
        <w:tc>
          <w:tcPr>
            <w:tcW w:w="4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1Q09</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vs. 1Q09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983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1,287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134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96</w:t>
            </w:r>
          </w:p>
        </w:tc>
        <w:tc>
          <w:tcPr>
            <w:tcW w:w="4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326</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1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25.3%</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Analog revenue decreased 24 percent from the year-ago quarter primarily due to lower shipments of high-volume analog &amp; logic products, and to a lesser extent, high-performance analog products and power management products. Compared with the prior quarter, revenue increased 21 percent, primarily due to increased shipments of high-volume analog &amp; logic products, while shipments of power management and high-performance analog products increased to a lesser extent. Operating profit decreased compared with the year-ago quarter primarily due to lower revenue. Operating profit increased from the previous quarter primarily due to higher revenue.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2Q08</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vs. 2Q08</w:t>
            </w:r>
          </w:p>
        </w:tc>
        <w:tc>
          <w:tcPr>
            <w:tcW w:w="4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1Q09</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vs. 1Q09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profit*</w:t>
            </w:r>
          </w:p>
        </w:tc>
        <w:tc>
          <w:tcPr>
            <w:tcW w:w="138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28</w:t>
            </w:r>
          </w:p>
        </w:tc>
        <w:tc>
          <w:tcPr>
            <w:tcW w:w="4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23.0%</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Embedded Processing revenue decreased 20 percent from the year-ago quarter primarily due to decreased shipments of catalog products, and to a lesser extent, decreased shipments of automotive products. Compared to the prior quarter, revenue increased 11 percent primarily due to higher shipments of catalog products. Shipments of automotive products also increased, although by a lesser amount. Operating profit decreased 72 percent compared to the year ago-quarter, primarily due to lower revenue. Compared to the prior quarter, operating profit increased primarily due to higher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2Q08</w:t>
            </w: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vs. 2Q08</w:t>
            </w:r>
          </w:p>
        </w:tc>
        <w:tc>
          <w:tcPr>
            <w:tcW w:w="4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1Q09</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vs. 1Q09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551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profit (loss)*</w:t>
            </w:r>
          </w:p>
        </w:tc>
        <w:tc>
          <w:tcPr>
            <w:tcW w:w="134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58</w:t>
            </w:r>
          </w:p>
        </w:tc>
        <w:tc>
          <w:tcPr>
            <w:tcW w:w="4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126</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110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Wireless revenue decreased 33 percent from the year-ago quarter due to decreased shipments of baseband products, and to a lesser extent, OMAP applications processor products. These decreases were partially offset by increased shipments of connectivity products. Compared with the previous quarter, revenue increased 9 percent primarily due to higher shipments of connectivity products, and to a lesser extent, higher shipments of OMAP applications processor and baseband products. Baseband revenue was $410 million in the second quarter, an increase of 3 percent from the prior quarter and a decrease of 40 percent from a year ago. Operating profit decreased 54 percent compared with the year-ago quarter, due to lower revenue. This segment was profitable this quarter compared with the prior quarter primarily due to the combination of higher revenue and cost reductions.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2Q09</w:t>
            </w:r>
          </w:p>
        </w:tc>
        <w:tc>
          <w:tcPr>
            <w:tcW w:w="4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2Q08</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vs. 2Q08</w:t>
            </w:r>
          </w:p>
        </w:tc>
        <w:tc>
          <w:tcPr>
            <w:tcW w:w="4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1Q09</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vs. 1Q09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profit*</w:t>
            </w:r>
          </w:p>
        </w:tc>
        <w:tc>
          <w:tcPr>
            <w:tcW w:w="138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161</w:t>
            </w:r>
          </w:p>
        </w:tc>
        <w:tc>
          <w:tcPr>
            <w:tcW w:w="4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280</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56</w:t>
            </w: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38.7%</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13.8%</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Other revenue decreased 28 percent from the year-ago quarter, primarily due to, in decreasing order, lower royalties and lower shipments of DLP products, calculators and RISC microprocessors. Compared with the previous quarter, revenue increased 29 percent due to a seasonal increase in shipments of calculators, and to a lesser extent, increased shipments of DLP products and RISC microprocessors. Operating profit for the second quarter of 2009 was lower than the year-ago quarter due to lower revenue, which was partially offset by lower operating expenses. Compared with the prior quarter, operating profit increased primarily due to higher revenue.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First six months of 2009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2009, we report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of $4.54 billion was $2.08 billion, or 31 percent, lower than the year-ago period resulting from the downturn in global markets.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profit was $1.93 billion, a decrease of $1.58 billion, or 45 percent, from the year-ago period primarily due to lower revenue, and to a lesser extent, the impact of lower factory utilization. Lower factory utilization decreased our gross profit by about $425 million from a year ago. Gross profit margin was 42.5 percent of revenue compared with 52.9 percent in the year-ago period.</w:t>
      </w:r>
    </w:p>
    <w:p>
      <w:pPr>
        <w:spacing w:after="0" w:line="20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R&amp;D expense of $755 million decreased 25 percent compared with the year-ago period primarily due to the combination of our employment reductions, particularly in our Wireless and Other segments, and, to a lesser extent cost-control efforts. R&amp;D expense as a percent of revenue was 16.6 percent, compared with 15.1 percent in the year-ago period.</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SG&amp;A expense was $631 million, a decrease of 27 percent from $863 million in the year-ago period, primarily due to the combination of cost-control efforts and, to a lesser extent, our employment reductions. SG&amp;A expense as a percent of revenue was 13.9 percent compared with 13.0 percent in the year-ago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 were $190 million.</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profit was $353 million, or 7.8 percent of revenue, compared with $1.64 billion, or 24.8 percent of revenue, in the year-ago period. The decrease was due to lower gross profit, and to a lesser extent, higher restructuring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OI&amp;E was $19 million, a decrease of $30 million from the year-ago period, due to lower interest income.</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tax provision was $95 million, compared with $438 million in the year-ago period. The decrease was due to lower income before income taxes, partially offset by a decrease in discrete tax benefits and the effect of non-U.S. tax rates. Included in the tax provision for 2009 were $5 million in discrete tax benefits primarily related to earnings of non-U.S. subsidiaries. The tax provision in the year-ago quarter included discrete tax benefits of $79 million, which were primarily due to our decision to indefinitely reinvest the accumulated earnings of a non-U.S. subsidiary.</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was $277 million, compared with $1.25 billion in the year-ago period. Earnings per share were $0.22 per share, compared with $0.93 per share in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Orders of $4.99 billion were down 26 percent from the year-ago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YTD</w:t>
            </w:r>
          </w:p>
        </w:tc>
        <w:tc>
          <w:tcPr>
            <w:tcW w:w="4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YTD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1,797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2,552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61</w:t>
            </w:r>
          </w:p>
        </w:tc>
        <w:tc>
          <w:tcPr>
            <w:tcW w:w="4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698</w:t>
            </w: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Analog revenue decreased 30 percent from the year-ago period, primarily due to lower shipments of high-volume analog &amp; logic products. High-performance analog and power management revenue declined to a lesser extent due to decreased shipments. Compared to the year-ago period, operating profit decreased 91 percent, primarily due to lower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YTD</w:t>
            </w:r>
          </w:p>
        </w:tc>
        <w:tc>
          <w:tcPr>
            <w:tcW w:w="48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YTD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666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865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30</w:t>
            </w:r>
          </w:p>
        </w:tc>
        <w:tc>
          <w:tcPr>
            <w:tcW w:w="48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197</w:t>
            </w: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Embedded Processing revenue decreased 23 percent from the year-ago period, primarily due to decreased shipments of catalog products, and to a lesser extent, decreased shipments of automotive products. Compared to the year ago-period, operating profit decreased 85 percent, primarily due to lower revenue.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136"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Wireless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YTD</w:t>
            </w:r>
          </w:p>
        </w:tc>
        <w:tc>
          <w:tcPr>
            <w:tcW w:w="4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YTD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1,152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44</w:t>
            </w:r>
          </w:p>
        </w:tc>
        <w:tc>
          <w:tcPr>
            <w:tcW w:w="4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279</w:t>
            </w: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55</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Wireless revenue declined 37 percent from the year-ago period primarily due to decreased shipments of baseband products, and to a lesser extent, OMAP applications processor products. These decreases were partially offset by increased shipments of connectivity products. Baseband revenue was $810 million, a decrease of 42 percent from a year ago. Operating profit decreased 84 percent compared with the year-ago period, due to lower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YTD</w:t>
            </w:r>
          </w:p>
        </w:tc>
        <w:tc>
          <w:tcPr>
            <w:tcW w:w="4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YTD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YTD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927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1,384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profit*</w:t>
            </w:r>
          </w:p>
        </w:tc>
        <w:tc>
          <w:tcPr>
            <w:tcW w:w="162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218</w:t>
            </w:r>
          </w:p>
        </w:tc>
        <w:tc>
          <w:tcPr>
            <w:tcW w:w="46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466</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33.6%</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Other revenue decreased 33 percent from the year-ago period, due to lower shipments of, in decreasing order, RISC microprocessors, DLP products and calculators and lower royalties. Operating profit was lower than the year-ago period due to lower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end of the second quarter of 2009, total cash (cash and cash equivalents plus short-term investments) was $2.56 billion. This was $17 million higher than at the end of 2008.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were $1.24 billion at the end of the quarter. This was an increase of $331 million from the end of 2008. Days sales outstanding were 46 at the end of the quarter compared with 33 at the end of 2008. Days sales outstanding were unusually low at year end due to a sharp decrease in shipments to customers during the fourth quarter of 2008, particularly in December.</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Inventory was $1.06 billion at the end of the quarter. This was a reduction of $312 million from the end of 2008. Days of inventory at the end of the second quarter were 72, compared with 89 days at the end of 2008. We have aggressively reduced inventory in the first half of 2009, as we align our inventory to more closely match end demand.</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Depreciation in the first six months of 2009 was $451 million, a decrease of $36 million from the same period a year ago. Capital spending in the first six months of 2009 totaled $91 million. This was a decrease of $398 million from a year ago primarily due to lower expenditures for semiconductor assembly/test facilities and equipment.</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sources of liquidity are our cash flows from operations, cash and cash equivalents, short-term investments and revolving credit facilities. Cash flow from operations for the first six months of 2009 was $808 million, a decrease of $362 million from the year-ago period. This decrease was due to the decrease in net income, partially offset by changes in working capital used for inventory.</w:t>
      </w:r>
    </w:p>
    <w:p>
      <w:pPr>
        <w:spacing w:after="0" w:line="208"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have $1.76 billion of cash and cash equivalents and $792 million of short-term investments as of June 30, 2009. We have a multi-year $1 billion revolving credit facility and a non-U.S. revolving credit facility of $175 million. As of June 30, 2009, these credit facilities were not being utilized.</w:t>
      </w:r>
    </w:p>
    <w:p>
      <w:pPr>
        <w:spacing w:after="0" w:line="1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six months of 2009, investing activities provided cash of $505 million, compared with $210 million in the year-ago period, primarily due to lower capital expenditures. We also used $155 million for acquisitions in 2009, compared with $19 million in 2008 (see Note 1 to the Financial Statements for additional information).</w:t>
      </w:r>
    </w:p>
    <w:p>
      <w:pPr>
        <w:spacing w:after="0" w:line="20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first six months of 2009, net cash used in financing activities was $594 million, compared with $1.39 billion in the year-ago period. We used $351 million of cash in the first six months of 2009 to repurchase 20 million shares of our common stock and paid dividends of $280 million. In the same period last year, we used $1.31 billion of cash to repurchase 42.7 million shares of common stock and paid $265 million in dividends.</w:t>
      </w:r>
    </w:p>
    <w:p>
      <w:pPr>
        <w:spacing w:after="0" w:line="193"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In 2009, we expect: an annual effective tax rate of about 27 percent; R&amp;D expense of $1.5 billion; capital expenditures of $300 million; and depreciation of $900 million.</w:t>
      </w:r>
    </w:p>
    <w:p>
      <w:pPr>
        <w:spacing w:after="0" w:line="1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market risk is contained on page 48 of Exhibit 13 to our Form 10-K for the year ended December 31, 2008,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Shares Purchased as</w:t>
            </w:r>
          </w:p>
        </w:tc>
        <w:tc>
          <w:tcPr>
            <w:tcW w:w="25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Part of Publicly</w:t>
            </w:r>
          </w:p>
        </w:tc>
        <w:tc>
          <w:tcPr>
            <w:tcW w:w="200" w:type="dxa"/>
            <w:vAlign w:val="bottom"/>
          </w:tcPr>
          <w:p>
            <w:pPr>
              <w:spacing w:after="0"/>
              <w:rPr>
                <w:sz w:val="18"/>
                <w:szCs w:val="18"/>
                <w:color w:val="auto"/>
              </w:rPr>
            </w:pPr>
          </w:p>
        </w:tc>
        <w:tc>
          <w:tcPr>
            <w:tcW w:w="2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 Paid</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Announced Plans or</w:t>
            </w:r>
          </w:p>
        </w:tc>
        <w:tc>
          <w:tcPr>
            <w:tcW w:w="25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Purchased Under the Plans or</w:t>
            </w: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per Share</w:t>
            </w:r>
          </w:p>
        </w:tc>
        <w:tc>
          <w:tcPr>
            <w:tcW w:w="1820" w:type="dxa"/>
            <w:vAlign w:val="bottom"/>
            <w:gridSpan w:val="2"/>
          </w:tcPr>
          <w:p>
            <w:pPr>
              <w:jc w:val="center"/>
              <w:ind w:right="260"/>
              <w:spacing w:after="0" w:line="234"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c>
          <w:tcPr>
            <w:tcW w:w="200" w:type="dxa"/>
            <w:vAlign w:val="bottom"/>
          </w:tcPr>
          <w:p>
            <w:pPr>
              <w:spacing w:after="0"/>
              <w:rPr>
                <w:sz w:val="20"/>
                <w:szCs w:val="20"/>
                <w:color w:val="auto"/>
              </w:rPr>
            </w:pPr>
          </w:p>
        </w:tc>
        <w:tc>
          <w:tcPr>
            <w:tcW w:w="1460" w:type="dxa"/>
            <w:vAlign w:val="bottom"/>
          </w:tcPr>
          <w:p>
            <w:pPr>
              <w:jc w:val="center"/>
              <w:ind w:left="430"/>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2009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8,600,500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8,600,500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May 1 through May 31, 2009</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2009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4,808,000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4,808,000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13,408,500</w:t>
            </w:r>
          </w:p>
        </w:tc>
        <w:tc>
          <w:tcPr>
            <w:tcW w:w="10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13,408,500</w:t>
            </w:r>
            <w:r>
              <w:rPr>
                <w:rFonts w:ascii="Arial" w:cs="Arial" w:eastAsia="Arial" w:hAnsi="Arial"/>
                <w:sz w:val="12"/>
                <w:szCs w:val="12"/>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 xml:space="preserve">billion  </w:t>
            </w:r>
            <w:r>
              <w:rPr>
                <w:rFonts w:ascii="Arial" w:cs="Arial" w:eastAsia="Arial" w:hAnsi="Arial"/>
                <w:sz w:val="12"/>
                <w:szCs w:val="12"/>
                <w:color w:val="auto"/>
              </w:rPr>
              <w:t>(2)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2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purchases during the quarter were made under an authorization to purchase up to $5 billion of additional shares of TI common stock announced on September 21, 2007. No expiration date has been specified for this authorization.</w:t>
      </w:r>
    </w:p>
    <w:p>
      <w:pPr>
        <w:spacing w:after="0" w:line="197" w:lineRule="exact"/>
        <w:rPr>
          <w:rFonts w:ascii="Arial" w:cs="Arial" w:eastAsia="Arial" w:hAnsi="Arial"/>
          <w:sz w:val="18"/>
          <w:szCs w:val="18"/>
          <w:color w:val="auto"/>
        </w:rPr>
      </w:pPr>
    </w:p>
    <w:p>
      <w:pPr>
        <w:ind w:left="340" w:right="40" w:hanging="332"/>
        <w:spacing w:after="0" w:line="28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purchases were made through open-market purchases except for 30,000 shares that were acquired in April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annual meeting of stockholders held on April 16, 2009, the stockholders elected TI’s Board of Directors and voted upon one Board proposal and one stockholder proposal contained within our Proxy Statement dated March 5,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The Board nominees were elected with the following vote:</w:t>
            </w: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Broker-Non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00" w:type="dxa"/>
            <w:vAlign w:val="bottom"/>
            <w:gridSpan w:val="2"/>
          </w:tcPr>
          <w:p>
            <w:pPr>
              <w:ind w:left="580"/>
              <w:spacing w:after="0"/>
              <w:rPr>
                <w:sz w:val="20"/>
                <w:szCs w:val="20"/>
                <w:color w:val="auto"/>
              </w:rPr>
            </w:pPr>
            <w:r>
              <w:rPr>
                <w:rFonts w:ascii="Arial" w:cs="Arial" w:eastAsia="Arial" w:hAnsi="Arial"/>
                <w:sz w:val="18"/>
                <w:szCs w:val="18"/>
                <w:b w:val="1"/>
                <w:bCs w:val="1"/>
                <w:color w:val="auto"/>
              </w:rPr>
              <w:t>Nominee</w:t>
            </w:r>
          </w:p>
        </w:tc>
        <w:tc>
          <w:tcPr>
            <w:tcW w:w="1900" w:type="dxa"/>
            <w:vAlign w:val="bottom"/>
          </w:tcPr>
          <w:p>
            <w:pPr>
              <w:jc w:val="center"/>
              <w:ind w:left="331"/>
              <w:spacing w:after="0"/>
              <w:rPr>
                <w:sz w:val="20"/>
                <w:szCs w:val="20"/>
                <w:color w:val="auto"/>
              </w:rPr>
            </w:pPr>
            <w:r>
              <w:rPr>
                <w:rFonts w:ascii="Arial" w:cs="Arial" w:eastAsia="Arial" w:hAnsi="Arial"/>
                <w:sz w:val="18"/>
                <w:szCs w:val="18"/>
                <w:b w:val="1"/>
                <w:bCs w:val="1"/>
                <w:color w:val="auto"/>
                <w:w w:val="96"/>
              </w:rPr>
              <w:t>For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Votes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3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James R. Adams</w:t>
            </w:r>
          </w:p>
        </w:tc>
        <w:tc>
          <w:tcPr>
            <w:tcW w:w="19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1,078,583,378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17,016,030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2,969,154</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David L. Boren</w:t>
            </w:r>
          </w:p>
        </w:tc>
        <w:tc>
          <w:tcPr>
            <w:tcW w:w="1900" w:type="dxa"/>
            <w:vAlign w:val="bottom"/>
          </w:tcPr>
          <w:p>
            <w:pPr>
              <w:jc w:val="center"/>
              <w:ind w:left="331"/>
              <w:spacing w:after="0"/>
              <w:rPr>
                <w:sz w:val="20"/>
                <w:szCs w:val="20"/>
                <w:color w:val="auto"/>
              </w:rPr>
            </w:pPr>
            <w:r>
              <w:rPr>
                <w:rFonts w:ascii="Arial" w:cs="Arial" w:eastAsia="Arial" w:hAnsi="Arial"/>
                <w:sz w:val="18"/>
                <w:szCs w:val="18"/>
                <w:color w:val="auto"/>
                <w:w w:val="90"/>
              </w:rPr>
              <w:t>1,070,746,124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25,015,112</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2,807,327</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Daniel A. Carp</w:t>
            </w:r>
          </w:p>
        </w:tc>
        <w:tc>
          <w:tcPr>
            <w:tcW w:w="19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1,066,473,013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29,057,314</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2,038,235</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Carrie S. Cox</w:t>
            </w:r>
          </w:p>
        </w:tc>
        <w:tc>
          <w:tcPr>
            <w:tcW w:w="1900" w:type="dxa"/>
            <w:vAlign w:val="bottom"/>
          </w:tcPr>
          <w:p>
            <w:pPr>
              <w:jc w:val="center"/>
              <w:ind w:left="331"/>
              <w:spacing w:after="0"/>
              <w:rPr>
                <w:sz w:val="20"/>
                <w:szCs w:val="20"/>
                <w:color w:val="auto"/>
              </w:rPr>
            </w:pPr>
            <w:r>
              <w:rPr>
                <w:rFonts w:ascii="Arial" w:cs="Arial" w:eastAsia="Arial" w:hAnsi="Arial"/>
                <w:sz w:val="18"/>
                <w:szCs w:val="18"/>
                <w:color w:val="auto"/>
                <w:w w:val="90"/>
              </w:rPr>
              <w:t>1,076,902,930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18,958,962</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2,706,672</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David R. Goode</w:t>
            </w:r>
          </w:p>
        </w:tc>
        <w:tc>
          <w:tcPr>
            <w:tcW w:w="19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1,067,406,343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28,171,376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2,990,844</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Stephen P. MacMillan</w:t>
            </w:r>
          </w:p>
        </w:tc>
        <w:tc>
          <w:tcPr>
            <w:tcW w:w="1900" w:type="dxa"/>
            <w:vAlign w:val="bottom"/>
          </w:tcPr>
          <w:p>
            <w:pPr>
              <w:jc w:val="center"/>
              <w:ind w:left="331"/>
              <w:spacing w:after="0"/>
              <w:rPr>
                <w:sz w:val="20"/>
                <w:szCs w:val="20"/>
                <w:color w:val="auto"/>
              </w:rPr>
            </w:pPr>
            <w:r>
              <w:rPr>
                <w:rFonts w:ascii="Arial" w:cs="Arial" w:eastAsia="Arial" w:hAnsi="Arial"/>
                <w:sz w:val="18"/>
                <w:szCs w:val="18"/>
                <w:color w:val="auto"/>
                <w:w w:val="90"/>
              </w:rPr>
              <w:t>1,084,232,824</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11,437,458</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2,898,282</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Pamela H. Patsley</w:t>
            </w:r>
          </w:p>
        </w:tc>
        <w:tc>
          <w:tcPr>
            <w:tcW w:w="19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1,027,647,082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68,165,137</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2,756,345</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Wayne R. Sanders</w:t>
            </w:r>
          </w:p>
        </w:tc>
        <w:tc>
          <w:tcPr>
            <w:tcW w:w="1900" w:type="dxa"/>
            <w:vAlign w:val="bottom"/>
          </w:tcPr>
          <w:p>
            <w:pPr>
              <w:jc w:val="center"/>
              <w:ind w:left="331"/>
              <w:spacing w:after="0"/>
              <w:rPr>
                <w:sz w:val="20"/>
                <w:szCs w:val="20"/>
                <w:color w:val="auto"/>
              </w:rPr>
            </w:pPr>
            <w:r>
              <w:rPr>
                <w:rFonts w:ascii="Arial" w:cs="Arial" w:eastAsia="Arial" w:hAnsi="Arial"/>
                <w:sz w:val="18"/>
                <w:szCs w:val="18"/>
                <w:color w:val="auto"/>
                <w:w w:val="90"/>
              </w:rPr>
              <w:t>1,075,578,266</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20,167,634</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2,822,664</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Ruth J. Simmons</w:t>
            </w:r>
          </w:p>
        </w:tc>
        <w:tc>
          <w:tcPr>
            <w:tcW w:w="19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1,050,488,157</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45,398,641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2,678,864</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Richard K. Templeton</w:t>
            </w:r>
          </w:p>
        </w:tc>
        <w:tc>
          <w:tcPr>
            <w:tcW w:w="1900" w:type="dxa"/>
            <w:vAlign w:val="bottom"/>
          </w:tcPr>
          <w:p>
            <w:pPr>
              <w:jc w:val="center"/>
              <w:ind w:left="331"/>
              <w:spacing w:after="0"/>
              <w:rPr>
                <w:sz w:val="20"/>
                <w:szCs w:val="20"/>
                <w:color w:val="auto"/>
              </w:rPr>
            </w:pPr>
            <w:r>
              <w:rPr>
                <w:rFonts w:ascii="Arial" w:cs="Arial" w:eastAsia="Arial" w:hAnsi="Arial"/>
                <w:sz w:val="18"/>
                <w:szCs w:val="18"/>
                <w:color w:val="auto"/>
                <w:w w:val="90"/>
              </w:rPr>
              <w:t>1,068,332,768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27,882,045</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2,353,749</w:t>
            </w: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Christine Todd Whitman</w:t>
            </w:r>
          </w:p>
        </w:tc>
        <w:tc>
          <w:tcPr>
            <w:tcW w:w="19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1,081,978,216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14,030,603</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2,559,742</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25</w:t>
            </w: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460" w:type="dxa"/>
            <w:vAlign w:val="bottom"/>
            <w:gridSpan w:val="7"/>
          </w:tcPr>
          <w:p>
            <w:pPr>
              <w:spacing w:after="0"/>
              <w:rPr>
                <w:sz w:val="20"/>
                <w:szCs w:val="20"/>
                <w:color w:val="auto"/>
              </w:rPr>
            </w:pPr>
            <w:r>
              <w:rPr>
                <w:rFonts w:ascii="Arial" w:cs="Arial" w:eastAsia="Arial" w:hAnsi="Arial"/>
                <w:sz w:val="18"/>
                <w:szCs w:val="18"/>
                <w:color w:val="auto"/>
              </w:rPr>
              <w:t>The Board proposals were approved with the following vote:</w:t>
            </w: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Abstentions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(Other Than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Broker Non-</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Broker Non-</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4"/>
          </w:tcPr>
          <w:p>
            <w:pPr>
              <w:ind w:left="160"/>
              <w:spacing w:after="0"/>
              <w:rPr>
                <w:sz w:val="20"/>
                <w:szCs w:val="20"/>
                <w:color w:val="auto"/>
              </w:rPr>
            </w:pPr>
            <w:r>
              <w:rPr>
                <w:rFonts w:ascii="Arial" w:cs="Arial" w:eastAsia="Arial" w:hAnsi="Arial"/>
                <w:sz w:val="18"/>
                <w:szCs w:val="18"/>
                <w:b w:val="1"/>
                <w:bCs w:val="1"/>
                <w:color w:val="auto"/>
                <w:w w:val="85"/>
              </w:rPr>
              <w:t>Proposal</w:t>
            </w:r>
          </w:p>
        </w:tc>
        <w:tc>
          <w:tcPr>
            <w:tcW w:w="42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For</w:t>
            </w: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Against</w:t>
            </w: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Votes)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Votes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7"/>
              </w:rPr>
              <w:t>Board proposal to ratify the appointment of Ernst &amp; Young LLP</w:t>
            </w: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as the company's independent registered public accounting firm</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for 2009</w:t>
            </w:r>
          </w:p>
        </w:tc>
        <w:tc>
          <w:tcPr>
            <w:tcW w:w="42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1,087,529,468</w:t>
            </w:r>
          </w:p>
        </w:tc>
        <w:tc>
          <w:tcPr>
            <w:tcW w:w="14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9,267,581</w:t>
            </w:r>
          </w:p>
        </w:tc>
        <w:tc>
          <w:tcPr>
            <w:tcW w:w="1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1,779,620</w:t>
            </w:r>
          </w:p>
        </w:tc>
        <w:tc>
          <w:tcPr>
            <w:tcW w:w="1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4"/>
          </w:tcPr>
          <w:p>
            <w:pPr>
              <w:spacing w:after="0" w:line="201" w:lineRule="exact"/>
              <w:rPr>
                <w:sz w:val="20"/>
                <w:szCs w:val="20"/>
                <w:color w:val="auto"/>
              </w:rPr>
            </w:pPr>
            <w:r>
              <w:rPr>
                <w:rFonts w:ascii="Arial" w:cs="Arial" w:eastAsia="Arial" w:hAnsi="Arial"/>
                <w:sz w:val="18"/>
                <w:szCs w:val="18"/>
                <w:color w:val="auto"/>
                <w:w w:val="91"/>
              </w:rPr>
              <w:t>Board proposal to approve the Texas Instruments 2009 Long-Term</w:t>
            </w: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40" w:type="dxa"/>
            <w:vAlign w:val="bottom"/>
            <w:gridSpan w:val="5"/>
          </w:tcPr>
          <w:p>
            <w:pPr>
              <w:ind w:left="160"/>
              <w:spacing w:after="0"/>
              <w:rPr>
                <w:sz w:val="20"/>
                <w:szCs w:val="20"/>
                <w:color w:val="auto"/>
              </w:rPr>
            </w:pPr>
            <w:r>
              <w:rPr>
                <w:rFonts w:ascii="Arial" w:cs="Arial" w:eastAsia="Arial" w:hAnsi="Arial"/>
                <w:sz w:val="18"/>
                <w:szCs w:val="18"/>
                <w:color w:val="auto"/>
              </w:rPr>
              <w:t>Incentive Plan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836,710,324</w:t>
            </w: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105,657,589</w:t>
            </w: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2,534,693</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153,674,063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Board proposal to approve the Texas Instruments 2009 Directors</w:t>
            </w: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Compensation Plan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843,540,401</w:t>
            </w:r>
          </w:p>
        </w:tc>
        <w:tc>
          <w:tcPr>
            <w:tcW w:w="1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99,276,942</w:t>
            </w:r>
          </w:p>
        </w:tc>
        <w:tc>
          <w:tcPr>
            <w:tcW w:w="1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2,075,012</w:t>
            </w:r>
          </w:p>
        </w:tc>
        <w:tc>
          <w:tcPr>
            <w:tcW w:w="1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153,684,314</w:t>
            </w:r>
          </w:p>
        </w:tc>
        <w:tc>
          <w:tcPr>
            <w:tcW w:w="1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60" w:type="dxa"/>
            <w:vAlign w:val="bottom"/>
            <w:gridSpan w:val="7"/>
          </w:tcPr>
          <w:p>
            <w:pPr>
              <w:spacing w:after="0"/>
              <w:rPr>
                <w:sz w:val="20"/>
                <w:szCs w:val="20"/>
                <w:color w:val="auto"/>
              </w:rPr>
            </w:pPr>
            <w:r>
              <w:rPr>
                <w:rFonts w:ascii="Arial" w:cs="Arial" w:eastAsia="Arial" w:hAnsi="Arial"/>
                <w:sz w:val="18"/>
                <w:szCs w:val="18"/>
                <w:color w:val="auto"/>
              </w:rPr>
              <w:t>The stockholder proposal was rejected with the following vote: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Abstentions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(Other Than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Broker Non-</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Broker Non-</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4"/>
          </w:tcPr>
          <w:p>
            <w:pPr>
              <w:ind w:left="160"/>
              <w:spacing w:after="0"/>
              <w:rPr>
                <w:sz w:val="20"/>
                <w:szCs w:val="20"/>
                <w:color w:val="auto"/>
              </w:rPr>
            </w:pPr>
            <w:r>
              <w:rPr>
                <w:rFonts w:ascii="Arial" w:cs="Arial" w:eastAsia="Arial" w:hAnsi="Arial"/>
                <w:sz w:val="18"/>
                <w:szCs w:val="18"/>
                <w:b w:val="1"/>
                <w:bCs w:val="1"/>
                <w:color w:val="auto"/>
                <w:w w:val="85"/>
              </w:rPr>
              <w:t>Proposal</w:t>
            </w:r>
          </w:p>
        </w:tc>
        <w:tc>
          <w:tcPr>
            <w:tcW w:w="42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For</w:t>
            </w: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Against</w:t>
            </w: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Votes)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1"/>
              </w:rPr>
              <w:t>Votes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5"/>
              </w:rPr>
              <w:t>Stockholder proposal regarding separation of roles of Chairman</w:t>
            </w: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and CEO</w:t>
            </w:r>
          </w:p>
        </w:tc>
        <w:tc>
          <w:tcPr>
            <w:tcW w:w="42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401,225,183</w:t>
            </w:r>
          </w:p>
        </w:tc>
        <w:tc>
          <w:tcPr>
            <w:tcW w:w="1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530,247,976</w:t>
            </w:r>
          </w:p>
        </w:tc>
        <w:tc>
          <w:tcPr>
            <w:tcW w:w="1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13,433,656</w:t>
            </w:r>
          </w:p>
        </w:tc>
        <w:tc>
          <w:tcPr>
            <w:tcW w:w="1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153,669,854</w:t>
            </w:r>
          </w:p>
        </w:tc>
        <w:tc>
          <w:tcPr>
            <w:tcW w:w="1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40" w:type="dxa"/>
            <w:vAlign w:val="bottom"/>
            <w:gridSpan w:val="6"/>
          </w:tcPr>
          <w:p>
            <w:pPr>
              <w:ind w:left="200"/>
              <w:spacing w:after="0"/>
              <w:rPr>
                <w:sz w:val="20"/>
                <w:szCs w:val="20"/>
                <w:color w:val="auto"/>
              </w:rPr>
            </w:pPr>
            <w:r>
              <w:rPr>
                <w:rFonts w:ascii="Arial" w:cs="Arial" w:eastAsia="Arial" w:hAnsi="Arial"/>
                <w:sz w:val="18"/>
                <w:szCs w:val="18"/>
                <w:b w:val="1"/>
                <w:bCs w:val="1"/>
                <w:color w:val="auto"/>
              </w:rPr>
              <w:t>ITEM 6. Exhibits.</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8"/>
                <w:szCs w:val="18"/>
                <w:color w:val="auto"/>
                <w:w w:val="93"/>
              </w:rPr>
              <w:t>Designation of</w:t>
            </w:r>
          </w:p>
        </w:tc>
        <w:tc>
          <w:tcPr>
            <w:tcW w:w="4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8"/>
                <w:szCs w:val="18"/>
                <w:color w:val="auto"/>
                <w:w w:val="97"/>
              </w:rPr>
              <w:t>Exhibits in</w:t>
            </w: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This Report</w:t>
            </w:r>
          </w:p>
        </w:tc>
        <w:tc>
          <w:tcPr>
            <w:tcW w:w="4200" w:type="dxa"/>
            <w:vAlign w:val="bottom"/>
          </w:tcPr>
          <w:p>
            <w:pPr>
              <w:spacing w:after="0"/>
              <w:rPr>
                <w:sz w:val="20"/>
                <w:szCs w:val="20"/>
                <w:color w:val="auto"/>
              </w:rPr>
            </w:pPr>
          </w:p>
        </w:tc>
        <w:tc>
          <w:tcPr>
            <w:tcW w:w="2780" w:type="dxa"/>
            <w:vAlign w:val="bottom"/>
            <w:gridSpan w:val="2"/>
          </w:tcPr>
          <w:p>
            <w:pPr>
              <w:ind w:left="80"/>
              <w:spacing w:after="0"/>
              <w:rPr>
                <w:sz w:val="20"/>
                <w:szCs w:val="20"/>
                <w:color w:val="auto"/>
              </w:rPr>
            </w:pPr>
            <w:r>
              <w:rPr>
                <w:rFonts w:ascii="Arial" w:cs="Arial" w:eastAsia="Arial" w:hAnsi="Arial"/>
                <w:sz w:val="18"/>
                <w:szCs w:val="18"/>
                <w:color w:val="auto"/>
              </w:rPr>
              <w:t>Description of Exhibit</w:t>
            </w: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100" w:type="dxa"/>
            <w:vAlign w:val="bottom"/>
            <w:shd w:val="clear" w:color="auto" w:fill="CCEEFF"/>
          </w:tcPr>
          <w:p>
            <w:pPr>
              <w:spacing w:after="0"/>
              <w:rPr>
                <w:sz w:val="17"/>
                <w:szCs w:val="17"/>
                <w:color w:val="auto"/>
              </w:rPr>
            </w:pPr>
          </w:p>
        </w:tc>
        <w:tc>
          <w:tcPr>
            <w:tcW w:w="8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9"/>
              </w:rPr>
              <w:t>Certification of Chief Executive Officer of Periodic Report Pursuant to Rule 13a-15(e) or Rule 15d-15(e).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0" w:type="dxa"/>
            <w:vAlign w:val="bottom"/>
            <w:tcBorders>
              <w:top w:val="single" w:sz="8" w:color="CCEEFF"/>
            </w:tcBorders>
            <w:gridSpan w:val="4"/>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00" w:type="dxa"/>
            <w:vAlign w:val="bottom"/>
            <w:shd w:val="clear" w:color="auto" w:fill="CCEEFF"/>
          </w:tcPr>
          <w:p>
            <w:pPr>
              <w:spacing w:after="0"/>
              <w:rPr>
                <w:sz w:val="17"/>
                <w:szCs w:val="17"/>
                <w:color w:val="auto"/>
              </w:rPr>
            </w:pPr>
          </w:p>
        </w:tc>
        <w:tc>
          <w:tcPr>
            <w:tcW w:w="8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9"/>
              </w:rPr>
              <w:t>Certification of Chief Financial Officer of Periodic Report Pursuant to Rule 13a-15(e) or Rule 15d-15(e).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gridSpan w:val="3"/>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10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by Chief Executive Officer of Periodic Report Pursuant to 18 U.S.C. Section 1350.</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gridSpan w:val="3"/>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10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by Chief Financial Officer of Periodic Report Pursuant to 18 U.S.C. Section 1350.</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2"/>
              </w:rPr>
              <w:t>101.INS</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3"/>
              </w:rPr>
              <w:t>101.SCH</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7"/>
              </w:rPr>
              <w:t>101.CAL</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8"/>
              </w:rPr>
              <w:t>101.LAB</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92"/>
              </w:rPr>
              <w:t>101.DEF</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Document*</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Furnished, not filed.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740" w:right="24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40" w:right="54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4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40" w:right="18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180"/>
        <w:spacing w:after="0"/>
        <w:tabs>
          <w:tab w:leader="none" w:pos="666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2009</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80" w:hanging="18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2009</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80" w:hanging="18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2009</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500" w:right="100" w:hanging="6"/>
        <w:spacing w:after="0" w:line="34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2009,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32"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29, 2009</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500" w:right="100" w:hanging="6"/>
        <w:spacing w:after="0" w:line="342"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2009,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32"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29, 2009</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T"/>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2019-12-10T03:32:00Z</dcterms:created>
  <dcterms:modified xsi:type="dcterms:W3CDTF">2019-12-10T03:32:00Z</dcterms:modified>
</cp:coreProperties>
</file>