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To Prospectus Dated January 4, 2001</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8"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823" w:space="720"/>
            <w:col w:w="6980"/>
          </w:cols>
          <w:pgMar w:left="237" w:top="235" w:right="139" w:bottom="1440" w:gutter="0" w:footer="0" w:header="0"/>
        </w:sectPr>
      </w:pPr>
    </w:p>
    <w:p>
      <w:pPr>
        <w:spacing w:after="0" w:line="164"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TEXAS INSTRUMENTS INCORPORATED</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2,257,113 SHARES OF COMMON STOCK</w:t>
      </w:r>
    </w:p>
    <w:p>
      <w:pPr>
        <w:spacing w:after="0" w:line="183"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spacing w:after="0" w:line="1"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368" w:lineRule="exact"/>
        <w:rPr>
          <w:sz w:val="24"/>
          <w:szCs w:val="24"/>
          <w:color w:val="auto"/>
        </w:rPr>
      </w:pPr>
    </w:p>
    <w:p>
      <w:pPr>
        <w:ind w:left="3" w:right="4060" w:firstLine="1702"/>
        <w:spacing w:after="0" w:line="258"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6" w:lineRule="exact"/>
        <w:rPr>
          <w:sz w:val="24"/>
          <w:szCs w:val="24"/>
          <w:color w:val="auto"/>
        </w:rPr>
      </w:pPr>
    </w:p>
    <w:p>
      <w:pPr>
        <w:ind w:left="3" w:right="4060" w:firstLine="1702"/>
        <w:spacing w:after="0" w:line="239"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47"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2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PRINCIPAL</w:t>
            </w: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2"/>
        </w:trPr>
        <w:tc>
          <w:tcPr>
            <w:tcW w:w="4540" w:type="dxa"/>
            <w:vAlign w:val="bottom"/>
          </w:tcPr>
          <w:p>
            <w:pPr>
              <w:spacing w:after="0"/>
              <w:rPr>
                <w:sz w:val="15"/>
                <w:szCs w:val="15"/>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6"/>
                <w:szCs w:val="16"/>
                <w:color w:val="auto"/>
              </w:rPr>
              <w:t>AMOUNT AT</w:t>
            </w: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2"/>
        </w:trPr>
        <w:tc>
          <w:tcPr>
            <w:tcW w:w="4540" w:type="dxa"/>
            <w:vAlign w:val="bottom"/>
          </w:tcPr>
          <w:p>
            <w:pPr>
              <w:spacing w:after="0"/>
              <w:rPr>
                <w:sz w:val="15"/>
                <w:szCs w:val="15"/>
                <w:color w:val="auto"/>
              </w:rPr>
            </w:pPr>
          </w:p>
        </w:tc>
        <w:tc>
          <w:tcPr>
            <w:tcW w:w="2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MATURITY OF</w:t>
            </w: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2"/>
        </w:trPr>
        <w:tc>
          <w:tcPr>
            <w:tcW w:w="4540" w:type="dxa"/>
            <w:vAlign w:val="bottom"/>
          </w:tcPr>
          <w:p>
            <w:pPr>
              <w:spacing w:after="0"/>
              <w:rPr>
                <w:sz w:val="15"/>
                <w:szCs w:val="15"/>
                <w:color w:val="auto"/>
              </w:rPr>
            </w:pPr>
          </w:p>
        </w:tc>
        <w:tc>
          <w:tcPr>
            <w:tcW w:w="2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NOTES</w:t>
            </w:r>
          </w:p>
        </w:tc>
        <w:tc>
          <w:tcPr>
            <w:tcW w:w="1460" w:type="dxa"/>
            <w:vAlign w:val="bottom"/>
          </w:tcPr>
          <w:p>
            <w:pPr>
              <w:spacing w:after="0"/>
              <w:rPr>
                <w:sz w:val="15"/>
                <w:szCs w:val="15"/>
                <w:color w:val="auto"/>
              </w:rPr>
            </w:pP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SHARES OF</w:t>
            </w:r>
          </w:p>
        </w:tc>
        <w:tc>
          <w:tcPr>
            <w:tcW w:w="1600" w:type="dxa"/>
            <w:vAlign w:val="bottom"/>
          </w:tcPr>
          <w:p>
            <w:pPr>
              <w:spacing w:after="0"/>
              <w:rPr>
                <w:sz w:val="15"/>
                <w:szCs w:val="15"/>
                <w:color w:val="auto"/>
              </w:rPr>
            </w:pPr>
          </w:p>
        </w:tc>
      </w:tr>
      <w:tr>
        <w:trPr>
          <w:trHeight w:val="182"/>
        </w:trPr>
        <w:tc>
          <w:tcPr>
            <w:tcW w:w="4540" w:type="dxa"/>
            <w:vAlign w:val="bottom"/>
          </w:tcPr>
          <w:p>
            <w:pPr>
              <w:spacing w:after="0"/>
              <w:rPr>
                <w:sz w:val="15"/>
                <w:szCs w:val="15"/>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6"/>
                <w:szCs w:val="16"/>
                <w:color w:val="auto"/>
              </w:rPr>
              <w:t>BENEFICIALLY</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PERCENTAGE</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COMMON STOCK</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PERCENTAGE OF</w:t>
            </w:r>
          </w:p>
        </w:tc>
      </w:tr>
      <w:tr>
        <w:trPr>
          <w:trHeight w:val="182"/>
        </w:trPr>
        <w:tc>
          <w:tcPr>
            <w:tcW w:w="4540" w:type="dxa"/>
            <w:vAlign w:val="bottom"/>
          </w:tcPr>
          <w:p>
            <w:pPr>
              <w:spacing w:after="0"/>
              <w:rPr>
                <w:sz w:val="15"/>
                <w:szCs w:val="15"/>
                <w:color w:val="auto"/>
              </w:rPr>
            </w:pPr>
          </w:p>
        </w:tc>
        <w:tc>
          <w:tcPr>
            <w:tcW w:w="2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OWNED THAT</w:t>
            </w:r>
          </w:p>
        </w:tc>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OF NOTES</w:t>
            </w: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THAT MAY</w:t>
            </w:r>
          </w:p>
        </w:tc>
        <w:tc>
          <w:tcPr>
            <w:tcW w:w="160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2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MAY BE SOLD</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15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BE SOLD(1)</w:t>
            </w:r>
          </w:p>
        </w:tc>
        <w:tc>
          <w:tcPr>
            <w:tcW w:w="1600" w:type="dxa"/>
            <w:vAlign w:val="bottom"/>
          </w:tcPr>
          <w:p>
            <w:pPr>
              <w:ind w:left="100"/>
              <w:spacing w:after="0"/>
              <w:rPr>
                <w:sz w:val="20"/>
                <w:szCs w:val="20"/>
                <w:color w:val="auto"/>
              </w:rPr>
            </w:pPr>
            <w:r>
              <w:rPr>
                <w:rFonts w:ascii="Courier New" w:cs="Courier New" w:eastAsia="Courier New" w:hAnsi="Courier New"/>
                <w:sz w:val="16"/>
                <w:szCs w:val="16"/>
                <w:color w:val="auto"/>
              </w:rPr>
              <w:t>OUTSTANDING(2)</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tcPr>
          <w:p>
            <w:pPr>
              <w:spacing w:after="0"/>
              <w:rPr>
                <w:sz w:val="20"/>
                <w:szCs w:val="20"/>
                <w:color w:val="auto"/>
              </w:rPr>
            </w:pPr>
            <w:r>
              <w:rPr>
                <w:rFonts w:ascii="Courier New" w:cs="Courier New" w:eastAsia="Courier New" w:hAnsi="Courier New"/>
                <w:sz w:val="16"/>
                <w:szCs w:val="16"/>
                <w:color w:val="auto"/>
              </w:rPr>
              <w:t>Morgan Stanley Dean Witter Convertible</w:t>
            </w:r>
          </w:p>
        </w:tc>
        <w:tc>
          <w:tcPr>
            <w:tcW w:w="2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$2,000,000</w:t>
            </w:r>
          </w:p>
        </w:tc>
        <w:tc>
          <w:tcPr>
            <w:tcW w:w="14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7"/>
              </w:rPr>
              <w:t>44,995</w:t>
            </w:r>
          </w:p>
        </w:tc>
        <w:tc>
          <w:tcPr>
            <w:tcW w:w="160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Securities Trust</w:t>
            </w: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364"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1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Less than 1%</w:t>
      </w:r>
    </w:p>
    <w:p>
      <w:pPr>
        <w:spacing w:after="0" w:line="186" w:lineRule="exact"/>
        <w:rPr>
          <w:sz w:val="24"/>
          <w:szCs w:val="24"/>
          <w:color w:val="auto"/>
        </w:rPr>
      </w:pPr>
    </w:p>
    <w:p>
      <w:pPr>
        <w:ind w:left="843" w:right="4140" w:hanging="843"/>
        <w:spacing w:after="0" w:line="258" w:lineRule="auto"/>
        <w:tabs>
          <w:tab w:leader="none" w:pos="84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77" w:lineRule="exact"/>
        <w:rPr>
          <w:rFonts w:ascii="Courier New" w:cs="Courier New" w:eastAsia="Courier New" w:hAnsi="Courier New"/>
          <w:sz w:val="15"/>
          <w:szCs w:val="15"/>
          <w:color w:val="auto"/>
        </w:rPr>
      </w:pPr>
    </w:p>
    <w:p>
      <w:pPr>
        <w:ind w:left="843" w:right="3960" w:hanging="843"/>
        <w:spacing w:after="0" w:line="239" w:lineRule="auto"/>
        <w:tabs>
          <w:tab w:leader="none" w:pos="84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1,735,505,241 shares of Texas Instruments common stock issued and outstanding as of March 19, 2001. Assumes the number of shares of Texas Instruments common stock issuable upon conversion of all of that particular holder's notes are outstanding. However, this does not include the conversion of any other holder's notes.</w:t>
      </w:r>
    </w:p>
    <w:p>
      <w:pPr>
        <w:spacing w:after="0" w:line="190" w:lineRule="exact"/>
        <w:rPr>
          <w:sz w:val="24"/>
          <w:szCs w:val="24"/>
          <w:color w:val="auto"/>
        </w:rPr>
      </w:pPr>
    </w:p>
    <w:p>
      <w:pPr>
        <w:ind w:left="3" w:right="4060" w:firstLine="851"/>
        <w:spacing w:after="0" w:line="237"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4" w:lineRule="exact"/>
        <w:rPr>
          <w:sz w:val="24"/>
          <w:szCs w:val="24"/>
          <w:color w:val="auto"/>
        </w:rPr>
      </w:pPr>
    </w:p>
    <w:p>
      <w:pPr>
        <w:jc w:val="right"/>
        <w:ind w:right="396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CRIMINAL OFFENSE.</w:t>
      </w:r>
    </w:p>
    <w:p>
      <w:pPr>
        <w:spacing w:after="0" w:line="183"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The date of this Prospectus Supplement is March 22, 2001.</w:t>
      </w:r>
    </w:p>
    <w:sectPr>
      <w:pgSz w:w="11900" w:h="16838" w:orient="portrait"/>
      <w:cols w:equalWidth="0" w:num="1">
        <w:col w:w="11523"/>
      </w:cols>
      <w:pgMar w:left="237" w:top="23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2019-12-13T07:42:42Z</dcterms:created>
  <dcterms:modified xsi:type="dcterms:W3CDTF">2019-12-13T07:42:42Z</dcterms:modified>
</cp:coreProperties>
</file>