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91"/>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1"/>
        </w:trPr>
        <w:tc>
          <w:tcPr>
            <w:tcW w:w="14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4"/>
          <w:szCs w:val="24"/>
          <w:color w:val="auto"/>
        </w:rPr>
      </w:pPr>
    </w:p>
    <w:p>
      <w:pPr>
        <w:spacing w:after="0" w:line="21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700" w:type="dxa"/>
            <w:vAlign w:val="bottom"/>
            <w:gridSpan w:val="3"/>
            <w:vMerge w:val="continue"/>
          </w:tcPr>
          <w:p>
            <w:pPr>
              <w:spacing w:after="0"/>
              <w:rPr>
                <w:sz w:val="21"/>
                <w:szCs w:val="21"/>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Registrant’s news release dated January 23, 2025, regarding its fourth-quarter and 2024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January 23, 2025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980" w:type="dxa"/>
            <w:vAlign w:val="bottom"/>
          </w:tcPr>
          <w:p>
            <w:pPr>
              <w:spacing w:after="0"/>
              <w:rPr>
                <w:sz w:val="20"/>
                <w:szCs w:val="20"/>
                <w:color w:val="auto"/>
              </w:rPr>
            </w:pPr>
            <w:r>
              <w:rPr>
                <w:rFonts w:ascii="Arial" w:cs="Arial" w:eastAsia="Arial" w:hAnsi="Arial"/>
                <w:sz w:val="18"/>
                <w:szCs w:val="18"/>
                <w:color w:val="auto"/>
              </w:rPr>
              <w:t>Date: January 23, 2025</w:t>
            </w:r>
          </w:p>
        </w:tc>
        <w:tc>
          <w:tcPr>
            <w:tcW w:w="2940" w:type="dxa"/>
            <w:vAlign w:val="bottom"/>
          </w:tcPr>
          <w:p>
            <w:pPr>
              <w:ind w:left="21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Lizardi</w:t>
            </w:r>
          </w:p>
        </w:tc>
      </w:tr>
      <w:tr>
        <w:trPr>
          <w:trHeight w:val="218"/>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Q4 2024 and 2024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DALLAS (Jan. 23, 2025) – Texas Instruments Incorporated (TI) (Nasdaq: TXN) today reported fourth quarter revenue of $4.01 billion, net income of $1.21 billion and earnings per share of $1.30. Earnings per share included a 2-cent benefit that was not in the company's original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3% sequentially and 2% from the same quarter a year ago.</w:t>
      </w:r>
    </w:p>
    <w:p>
      <w:pPr>
        <w:spacing w:after="0" w:line="225"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$6.3 billion for the trailing 12 months again underscored the strength of our business model, the quality of our product portfolio and the benefit of 300mm production. Free cash flow for the same period was $1.5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$3.8 billion in R&amp;D and SG&amp;A, invested $4.8 billion in capital expenditures and returned $5.7 billion to owners.</w:t>
      </w:r>
    </w:p>
    <w:p>
      <w:pPr>
        <w:spacing w:after="0" w:line="139" w:lineRule="exact"/>
        <w:rPr>
          <w:rFonts w:ascii="Arial" w:cs="Arial" w:eastAsia="Arial" w:hAnsi="Arial"/>
          <w:sz w:val="18"/>
          <w:szCs w:val="18"/>
          <w:color w:val="auto"/>
        </w:rPr>
      </w:pPr>
    </w:p>
    <w:p>
      <w:pPr>
        <w:ind w:left="620" w:right="100" w:hanging="329"/>
        <w:spacing w:after="0" w:line="27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first quarter outlook is for revenue in the range of $3.74 billion to $4.06 billion and earnings per share between $0.94 and $1.16. We now expect our 2025 effective tax rate to be about 12%."</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Q4 2024</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5"/>
            <w:vMerge w:val="restart"/>
          </w:tcPr>
          <w:p>
            <w:pPr>
              <w:ind w:left="120"/>
              <w:spacing w:after="0"/>
              <w:rPr>
                <w:sz w:val="20"/>
                <w:szCs w:val="20"/>
                <w:color w:val="auto"/>
              </w:rPr>
            </w:pPr>
            <w:r>
              <w:rPr>
                <w:rFonts w:ascii="Arial" w:cs="Arial" w:eastAsia="Arial" w:hAnsi="Arial"/>
                <w:sz w:val="18"/>
                <w:szCs w:val="18"/>
                <w:color w:val="auto"/>
              </w:rPr>
              <w:t>Q4 2023</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5"/>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4,007</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4,077</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1,377</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1,205</w:t>
            </w:r>
          </w:p>
        </w:tc>
        <w:tc>
          <w:tcPr>
            <w:tcW w:w="340" w:type="dxa"/>
            <w:vAlign w:val="bottom"/>
            <w:gridSpan w:val="5"/>
            <w:shd w:val="clear" w:color="auto" w:fill="DBDBDB"/>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1,371</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585"/>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8"/>
                <w:szCs w:val="18"/>
                <w:color w:val="auto"/>
                <w:w w:val="99"/>
              </w:rPr>
              <w:t>Trailing 12 Months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Q4 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Q4 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jc w:val="center"/>
              <w:ind w:right="600"/>
              <w:spacing w:after="0"/>
              <w:rPr>
                <w:sz w:val="20"/>
                <w:szCs w:val="20"/>
                <w:color w:val="auto"/>
              </w:rPr>
            </w:pPr>
            <w:r>
              <w:rPr>
                <w:rFonts w:ascii="Arial" w:cs="Arial" w:eastAsia="Arial" w:hAnsi="Arial"/>
                <w:sz w:val="18"/>
                <w:szCs w:val="18"/>
                <w:color w:val="auto"/>
              </w:rPr>
              <w:t>Q4 2023</w:t>
            </w:r>
          </w:p>
        </w:tc>
        <w:tc>
          <w:tcPr>
            <w:tcW w:w="1240" w:type="dxa"/>
            <w:vAlign w:val="bottom"/>
          </w:tcPr>
          <w:p>
            <w:pPr>
              <w:ind w:left="2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6,318</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gridSpan w:val="2"/>
            <w:shd w:val="clear" w:color="auto" w:fill="DBDBDB"/>
          </w:tcPr>
          <w:p>
            <w:pPr>
              <w:spacing w:after="0"/>
              <w:rPr>
                <w:sz w:val="19"/>
                <w:szCs w:val="19"/>
                <w:color w:val="auto"/>
              </w:rPr>
            </w:pPr>
          </w:p>
        </w:tc>
        <w:tc>
          <w:tcPr>
            <w:tcW w:w="300" w:type="dxa"/>
            <w:vAlign w:val="bottom"/>
            <w:tcBorders>
              <w:top w:val="single" w:sz="8" w:color="auto"/>
            </w:tcBorders>
            <w:gridSpan w:val="3"/>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6,420</w:t>
            </w:r>
          </w:p>
        </w:tc>
        <w:tc>
          <w:tcPr>
            <w:tcW w:w="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4,820</w:t>
            </w:r>
          </w:p>
        </w:tc>
        <w:tc>
          <w:tcPr>
            <w:tcW w:w="60" w:type="dxa"/>
            <w:vAlign w:val="bottom"/>
          </w:tcPr>
          <w:p>
            <w:pPr>
              <w:spacing w:after="0"/>
              <w:rPr>
                <w:sz w:val="19"/>
                <w:szCs w:val="19"/>
                <w:color w:val="auto"/>
              </w:rPr>
            </w:pPr>
          </w:p>
        </w:tc>
        <w:tc>
          <w:tcPr>
            <w:tcW w:w="340" w:type="dxa"/>
            <w:vAlign w:val="bottom"/>
            <w:gridSpan w:val="5"/>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5,071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1,498</w:t>
            </w:r>
          </w:p>
        </w:tc>
        <w:tc>
          <w:tcPr>
            <w:tcW w:w="60" w:type="dxa"/>
            <w:vAlign w:val="bottom"/>
            <w:shd w:val="clear" w:color="auto" w:fill="DBDBDB"/>
          </w:tcPr>
          <w:p>
            <w:pPr>
              <w:spacing w:after="0"/>
              <w:rPr>
                <w:sz w:val="19"/>
                <w:szCs w:val="19"/>
                <w:color w:val="auto"/>
              </w:rPr>
            </w:pPr>
          </w:p>
        </w:tc>
        <w:tc>
          <w:tcPr>
            <w:tcW w:w="340" w:type="dxa"/>
            <w:vAlign w:val="bottom"/>
            <w:gridSpan w:val="5"/>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1,349</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7.7 %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rPr>
              <w:t>Trailing 12 Months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Q4 2024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Q4 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ind w:left="120"/>
              <w:spacing w:after="0"/>
              <w:rPr>
                <w:sz w:val="20"/>
                <w:szCs w:val="20"/>
                <w:color w:val="auto"/>
              </w:rPr>
            </w:pPr>
            <w:r>
              <w:rPr>
                <w:rFonts w:ascii="Arial" w:cs="Arial" w:eastAsia="Arial" w:hAnsi="Arial"/>
                <w:sz w:val="18"/>
                <w:szCs w:val="18"/>
                <w:color w:val="auto"/>
              </w:rPr>
              <w:t>Q4 2023</w:t>
            </w:r>
          </w:p>
        </w:tc>
        <w:tc>
          <w:tcPr>
            <w:tcW w:w="1240" w:type="dxa"/>
            <w:vAlign w:val="bottom"/>
          </w:tcPr>
          <w:p>
            <w:pPr>
              <w:ind w:left="1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4,795</w:t>
            </w:r>
          </w:p>
        </w:tc>
        <w:tc>
          <w:tcPr>
            <w:tcW w:w="40" w:type="dxa"/>
            <w:vAlign w:val="bottom"/>
            <w:tcBorders>
              <w:top w:val="single" w:sz="8" w:color="auto"/>
            </w:tcBorders>
            <w:gridSpan w:val="2"/>
            <w:shd w:val="clear" w:color="auto" w:fill="DBDBDB"/>
          </w:tcPr>
          <w:p>
            <w:pPr>
              <w:spacing w:after="0"/>
              <w:rPr>
                <w:sz w:val="19"/>
                <w:szCs w:val="19"/>
                <w:color w:val="auto"/>
              </w:rPr>
            </w:pPr>
          </w:p>
        </w:tc>
        <w:tc>
          <w:tcPr>
            <w:tcW w:w="120" w:type="dxa"/>
            <w:vAlign w:val="bottom"/>
            <w:tcBorders>
              <w:top w:val="single" w:sz="8" w:color="DBDBDB"/>
            </w:tcBorders>
            <w:gridSpan w:val="2"/>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4,557</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30"/>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1,777</w:t>
            </w:r>
          </w:p>
        </w:tc>
        <w:tc>
          <w:tcPr>
            <w:tcW w:w="8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5,724</w:t>
            </w:r>
          </w:p>
        </w:tc>
        <w:tc>
          <w:tcPr>
            <w:tcW w:w="340" w:type="dxa"/>
            <w:vAlign w:val="bottom"/>
            <w:gridSpan w:val="5"/>
            <w:shd w:val="clear" w:color="auto" w:fill="DBDBDB"/>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4,850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480" w:type="dxa"/>
            <w:vAlign w:val="bottom"/>
            <w:gridSpan w:val="9"/>
          </w:tcPr>
          <w:p>
            <w:pPr>
              <w:jc w:val="center"/>
              <w:ind w:left="26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20"/>
              <w:spacing w:after="0" w:line="190" w:lineRule="exact"/>
              <w:rPr>
                <w:sz w:val="20"/>
                <w:szCs w:val="20"/>
                <w:color w:val="auto"/>
              </w:rPr>
            </w:pPr>
            <w:r>
              <w:rPr>
                <w:rFonts w:ascii="Arial" w:cs="Arial" w:eastAsia="Arial" w:hAnsi="Arial"/>
                <w:sz w:val="18"/>
                <w:szCs w:val="18"/>
                <w:b w:val="1"/>
                <w:bCs w:val="1"/>
                <w:color w:val="auto"/>
                <w:w w:val="99"/>
              </w:rPr>
              <w:t>For Three Months Ended</w:t>
            </w:r>
          </w:p>
        </w:tc>
        <w:tc>
          <w:tcPr>
            <w:tcW w:w="300" w:type="dxa"/>
            <w:vAlign w:val="bottom"/>
          </w:tcPr>
          <w:p>
            <w:pPr>
              <w:spacing w:after="0"/>
              <w:rPr>
                <w:sz w:val="16"/>
                <w:szCs w:val="16"/>
                <w:color w:val="auto"/>
              </w:rPr>
            </w:pPr>
          </w:p>
        </w:tc>
        <w:tc>
          <w:tcPr>
            <w:tcW w:w="2460" w:type="dxa"/>
            <w:vAlign w:val="bottom"/>
            <w:gridSpan w:val="4"/>
          </w:tcPr>
          <w:p>
            <w:pPr>
              <w:jc w:val="right"/>
              <w:ind w:right="570"/>
              <w:spacing w:after="0" w:line="190"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21"/>
                <w:szCs w:val="21"/>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160" w:type="dxa"/>
            <w:vAlign w:val="bottom"/>
            <w:tcBorders>
              <w:top w:val="single" w:sz="8" w:color="auto"/>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4,007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15,641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 (COR)</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2,314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9,094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1,794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11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1,377</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5,465</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Other income (expense), net (OI&amp;E)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Average shares outstanding:</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3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bottom w:val="single" w:sz="8" w:color="DBDBDB"/>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26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4360" w:type="dxa"/>
            <w:vAlign w:val="bottom"/>
          </w:tcPr>
          <w:p>
            <w:pPr>
              <w:spacing w:after="0"/>
              <w:rPr>
                <w:sz w:val="24"/>
                <w:szCs w:val="24"/>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Supplemental Information</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360" w:type="dxa"/>
            <w:vAlign w:val="bottom"/>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840" w:type="dxa"/>
            <w:vAlign w:val="bottom"/>
            <w:gridSpan w:val="4"/>
            <w:shd w:val="clear" w:color="auto" w:fill="DBDBDB"/>
          </w:tcPr>
          <w:p>
            <w:pPr>
              <w:ind w:left="20"/>
              <w:spacing w:after="0" w:line="176" w:lineRule="exact"/>
              <w:rPr>
                <w:sz w:val="20"/>
                <w:szCs w:val="20"/>
                <w:color w:val="auto"/>
              </w:rPr>
            </w:pPr>
            <w:r>
              <w:rPr>
                <w:rFonts w:ascii="Arial" w:cs="Arial" w:eastAsia="Arial" w:hAnsi="Arial"/>
                <w:sz w:val="18"/>
                <w:szCs w:val="18"/>
                <w:color w:val="auto"/>
              </w:rPr>
              <w:t>Operating taxes (calculated using the estimated annual effective tax</w:t>
            </w: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DBDBDB"/>
          </w:tcPr>
          <w:p>
            <w:pPr>
              <w:spacing w:after="0"/>
              <w:rPr>
                <w:sz w:val="15"/>
                <w:szCs w:val="15"/>
                <w:color w:val="auto"/>
              </w:rPr>
            </w:pPr>
          </w:p>
        </w:tc>
        <w:tc>
          <w:tcPr>
            <w:tcW w:w="300" w:type="dxa"/>
            <w:vAlign w:val="bottom"/>
            <w:vMerge w:val="restart"/>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743</w:t>
            </w:r>
          </w:p>
        </w:tc>
        <w:tc>
          <w:tcPr>
            <w:tcW w:w="12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4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rate)</w:t>
            </w:r>
          </w:p>
        </w:tc>
        <w:tc>
          <w:tcPr>
            <w:tcW w:w="1480" w:type="dxa"/>
            <w:vAlign w:val="bottom"/>
            <w:gridSpan w:val="3"/>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8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1,205</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6,510</w:t>
            </w:r>
          </w:p>
        </w:tc>
      </w:tr>
      <w:tr>
        <w:trPr>
          <w:trHeight w:val="230"/>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5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1,198</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4,775</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6,477</w:t>
            </w:r>
          </w:p>
        </w:tc>
      </w:tr>
      <w:tr>
        <w:trPr>
          <w:trHeight w:val="20"/>
        </w:trPr>
        <w:tc>
          <w:tcPr>
            <w:tcW w:w="56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460" w:type="dxa"/>
            <w:vAlign w:val="bottom"/>
            <w:gridSpan w:val="2"/>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5"/>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1"/>
                <w:szCs w:val="21"/>
                <w:color w:val="auto"/>
              </w:rPr>
            </w:pPr>
          </w:p>
        </w:tc>
        <w:tc>
          <w:tcPr>
            <w:tcW w:w="24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36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3"/>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2,964</w:t>
            </w:r>
          </w:p>
        </w:tc>
      </w:tr>
      <w:tr>
        <w:trPr>
          <w:trHeight w:val="229"/>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5,611</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($21) and ($16)</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1,719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1,787</w:t>
            </w:r>
          </w:p>
        </w:tc>
      </w:tr>
      <w:tr>
        <w:trPr>
          <w:trHeight w:val="230"/>
        </w:trPr>
        <w:tc>
          <w:tcPr>
            <w:tcW w:w="8460" w:type="dxa"/>
            <w:vAlign w:val="bottom"/>
            <w:gridSpan w:val="2"/>
          </w:tcPr>
          <w:p>
            <w:pPr>
              <w:ind w:left="48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8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2,214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2,109</w:t>
            </w:r>
          </w:p>
        </w:tc>
      </w:tr>
      <w:tr>
        <w:trPr>
          <w:trHeight w:val="230"/>
        </w:trPr>
        <w:tc>
          <w:tcPr>
            <w:tcW w:w="8460" w:type="dxa"/>
            <w:vAlign w:val="bottom"/>
            <w:tcBorders>
              <w:bottom w:val="single" w:sz="8" w:color="DBDBDB"/>
            </w:tcBorders>
            <w:gridSpan w:val="2"/>
          </w:tcPr>
          <w:p>
            <w:pPr>
              <w:ind w:left="48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4,527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3,999</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15,026</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15,122</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13,268</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(3,907)</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(3,269)</w:t>
            </w:r>
          </w:p>
        </w:tc>
      </w:tr>
      <w:tr>
        <w:trPr>
          <w:trHeight w:val="223"/>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9,999</w:t>
            </w:r>
          </w:p>
        </w:tc>
      </w:tr>
      <w:tr>
        <w:trPr>
          <w:trHeight w:val="22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3,348</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1,712</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32,348</w:t>
            </w:r>
          </w:p>
        </w:tc>
      </w:tr>
      <w:tr>
        <w:trPr>
          <w:trHeight w:val="20"/>
        </w:trPr>
        <w:tc>
          <w:tcPr>
            <w:tcW w:w="83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802</w:t>
            </w:r>
          </w:p>
        </w:tc>
      </w:tr>
      <w:tr>
        <w:trPr>
          <w:trHeight w:val="229"/>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1,075</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3,643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3,320</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10,624</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1,954</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1,336</w:t>
            </w:r>
          </w:p>
        </w:tc>
      </w:tr>
      <w:tr>
        <w:trPr>
          <w:trHeight w:val="223"/>
        </w:trPr>
        <w:tc>
          <w:tcPr>
            <w:tcW w:w="84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18,606</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w:t>
            </w:r>
          </w:p>
        </w:tc>
      </w:tr>
      <w:tr>
        <w:trPr>
          <w:trHeight w:val="20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52,262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52,283</w:t>
            </w: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2024 – 830; 2023 – 832</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(40,895)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(40,284)</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16,903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16,897</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32,348</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9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480" w:type="dxa"/>
            <w:vAlign w:val="bottom"/>
            <w:gridSpan w:val="8"/>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220" w:type="dxa"/>
            <w:vAlign w:val="bottom"/>
          </w:tcPr>
          <w:p>
            <w:pPr>
              <w:spacing w:after="0"/>
              <w:rPr>
                <w:sz w:val="16"/>
                <w:szCs w:val="16"/>
                <w:color w:val="auto"/>
              </w:rPr>
            </w:pPr>
          </w:p>
        </w:tc>
        <w:tc>
          <w:tcPr>
            <w:tcW w:w="2640" w:type="dxa"/>
            <w:vAlign w:val="bottom"/>
            <w:gridSpan w:val="5"/>
          </w:tcPr>
          <w:p>
            <w:pPr>
              <w:jc w:val="center"/>
              <w:ind w:right="320"/>
              <w:spacing w:after="0" w:line="190" w:lineRule="exact"/>
              <w:rPr>
                <w:sz w:val="20"/>
                <w:szCs w:val="20"/>
                <w:color w:val="auto"/>
              </w:rPr>
            </w:pPr>
            <w:r>
              <w:rPr>
                <w:rFonts w:ascii="Arial" w:cs="Arial" w:eastAsia="Arial" w:hAnsi="Arial"/>
                <w:sz w:val="18"/>
                <w:szCs w:val="18"/>
                <w:b w:val="1"/>
                <w:bCs w:val="1"/>
                <w:color w:val="auto"/>
                <w:w w:val="99"/>
              </w:rPr>
              <w:t>For Three Months Ended</w:t>
            </w:r>
          </w:p>
        </w:tc>
        <w:tc>
          <w:tcPr>
            <w:tcW w:w="300" w:type="dxa"/>
            <w:vAlign w:val="bottom"/>
          </w:tcPr>
          <w:p>
            <w:pPr>
              <w:spacing w:after="0"/>
              <w:rPr>
                <w:sz w:val="16"/>
                <w:szCs w:val="16"/>
                <w:color w:val="auto"/>
              </w:rPr>
            </w:pPr>
          </w:p>
        </w:tc>
        <w:tc>
          <w:tcPr>
            <w:tcW w:w="2460" w:type="dxa"/>
            <w:vAlign w:val="bottom"/>
            <w:gridSpan w:val="4"/>
          </w:tcPr>
          <w:p>
            <w:pPr>
              <w:jc w:val="right"/>
              <w:ind w:right="570"/>
              <w:spacing w:after="0" w:line="190"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43"/>
        </w:trPr>
        <w:tc>
          <w:tcPr>
            <w:tcW w:w="56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21"/>
                <w:szCs w:val="21"/>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1,205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4,799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Amortization of capitalized software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(Gains) losses on sales of assets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Increase (decrease) from changes in:</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597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37"/>
        </w:trPr>
        <w:tc>
          <w:tcPr>
            <w:tcW w:w="55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(1,192)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(4,820)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asset 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(909)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(9,716)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short-term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13,387</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36"/>
        </w:trPr>
        <w:tc>
          <w:tcPr>
            <w:tcW w:w="55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2,980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Repayment of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(1,240)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(4,795)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(2,001)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(2,880)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2,589</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0"/>
        </w:trPr>
        <w:tc>
          <w:tcPr>
            <w:tcW w:w="5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Investment tax credit (ITC) used to reduce income taxes payable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U.S. CHIPS and Science Act</w:t>
            </w: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588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Quarterly segment results</w:t>
            </w: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85"/>
        </w:trPr>
        <w:tc>
          <w:tcPr>
            <w:tcW w:w="6900" w:type="dxa"/>
            <w:vAlign w:val="bottom"/>
            <w:gridSpan w:val="3"/>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rPr>
              <w:t>Q4 2024</w:t>
            </w: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Q4 2023</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223"/>
        </w:trPr>
        <w:tc>
          <w:tcPr>
            <w:tcW w:w="690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80" w:type="dxa"/>
            <w:vAlign w:val="bottom"/>
            <w:tcBorders>
              <w:top w:val="single" w:sz="8" w:color="auto"/>
            </w:tcBorders>
            <w:shd w:val="clear" w:color="auto" w:fill="DBDBDB"/>
          </w:tcPr>
          <w:p>
            <w:pPr>
              <w:spacing w:after="0"/>
              <w:rPr>
                <w:sz w:val="19"/>
                <w:szCs w:val="19"/>
                <w:color w:val="auto"/>
              </w:rPr>
            </w:pP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41 %</w:t>
            </w:r>
          </w:p>
        </w:tc>
      </w:tr>
      <w:tr>
        <w:trPr>
          <w:trHeight w:val="531"/>
        </w:trPr>
        <w:tc>
          <w:tcPr>
            <w:tcW w:w="6900" w:type="dxa"/>
            <w:vAlign w:val="bottom"/>
            <w:gridSpan w:val="3"/>
          </w:tcPr>
          <w:p>
            <w:pPr>
              <w:spacing w:after="0"/>
              <w:rPr>
                <w:sz w:val="20"/>
                <w:szCs w:val="20"/>
                <w:color w:val="auto"/>
              </w:rPr>
            </w:pPr>
            <w:r>
              <w:rPr>
                <w:rFonts w:ascii="Arial" w:cs="Arial" w:eastAsia="Arial" w:hAnsi="Arial"/>
                <w:sz w:val="18"/>
                <w:szCs w:val="18"/>
                <w:i w:val="1"/>
                <w:iCs w:val="1"/>
                <w:color w:val="auto"/>
              </w:rPr>
              <w:t>* Includes restructuring charges/other.</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Annual segment results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85"/>
        </w:trPr>
        <w:tc>
          <w:tcPr>
            <w:tcW w:w="204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860" w:type="dxa"/>
            <w:vAlign w:val="bottom"/>
            <w:tcBorders>
              <w:bottom w:val="single" w:sz="8" w:color="DBDBDB"/>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DBDBDB"/>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DBDBDB"/>
            </w:tcBorders>
          </w:tcPr>
          <w:p>
            <w:pPr>
              <w:spacing w:after="0"/>
              <w:rPr>
                <w:sz w:val="24"/>
                <w:szCs w:val="24"/>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r>
      <w:tr>
        <w:trPr>
          <w:trHeight w:val="223"/>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12,161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13,040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4,608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5,821</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1 %</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For Years Ended</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3"/>
        </w:trPr>
        <w:tc>
          <w:tcPr>
            <w:tcW w:w="6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3"/>
        </w:trPr>
        <w:tc>
          <w:tcPr>
            <w:tcW w:w="666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DBDBDB"/>
            </w:tcBorders>
          </w:tcPr>
          <w:p>
            <w:pPr>
              <w:spacing w:after="0"/>
              <w:rPr>
                <w:sz w:val="19"/>
                <w:szCs w:val="19"/>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6,318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6,420</w:t>
            </w: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(4,820)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(5,071)</w:t>
            </w:r>
          </w:p>
        </w:tc>
        <w:tc>
          <w:tcPr>
            <w:tcW w:w="120" w:type="dxa"/>
            <w:vAlign w:val="bottom"/>
            <w:tcBorders>
              <w:bottom w:val="single" w:sz="8" w:color="DBDBDB"/>
            </w:tcBorders>
          </w:tcPr>
          <w:p>
            <w:pPr>
              <w:spacing w:after="0"/>
              <w:rPr>
                <w:sz w:val="19"/>
                <w:szCs w:val="19"/>
                <w:color w:val="auto"/>
              </w:rPr>
            </w:pPr>
          </w:p>
        </w:tc>
        <w:tc>
          <w:tcPr>
            <w:tcW w:w="1440" w:type="dxa"/>
            <w:vAlign w:val="bottom"/>
            <w:tcBorders>
              <w:bottom w:val="single" w:sz="8" w:color="DBDBDB"/>
            </w:tcBorders>
          </w:tcPr>
          <w:p>
            <w:pPr>
              <w:spacing w:after="0"/>
              <w:rPr>
                <w:sz w:val="19"/>
                <w:szCs w:val="19"/>
                <w:color w:val="auto"/>
              </w:rPr>
            </w:pPr>
          </w:p>
        </w:tc>
      </w:tr>
      <w:tr>
        <w:trPr>
          <w:trHeight w:val="248"/>
        </w:trPr>
        <w:tc>
          <w:tcPr>
            <w:tcW w:w="6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1,498</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1,349</w:t>
            </w:r>
          </w:p>
        </w:tc>
        <w:tc>
          <w:tcPr>
            <w:tcW w:w="15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66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r>
      <w:tr>
        <w:trPr>
          <w:trHeight w:val="204"/>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6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15,641</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17,519</w:t>
            </w:r>
          </w:p>
        </w:tc>
        <w:tc>
          <w:tcPr>
            <w:tcW w:w="1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spacing w:after="0"/>
              <w:rPr>
                <w:sz w:val="21"/>
                <w:szCs w:val="21"/>
                <w:color w:val="auto"/>
              </w:rPr>
            </w:pPr>
          </w:p>
        </w:tc>
      </w:tr>
      <w:tr>
        <w:trPr>
          <w:trHeight w:val="20"/>
        </w:trPr>
        <w:tc>
          <w:tcPr>
            <w:tcW w:w="66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r>
      <w:tr>
        <w:trPr>
          <w:trHeight w:val="203"/>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40.4 %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36.6 %</w:t>
            </w: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r>
      <w:tr>
        <w:trPr>
          <w:trHeight w:val="247"/>
        </w:trPr>
        <w:tc>
          <w:tcPr>
            <w:tcW w:w="66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9.6 %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168"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Includes a cash benefit of $588 million from the U.S. CHIPS and Science Act ITC used to reduce income taxes payable for 2024.</w:t>
      </w:r>
    </w:p>
    <w:p>
      <w:pPr>
        <w:spacing w:after="0" w:line="22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30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and sells analog and embedded processing chips for markets such as industrial, automotive, personal electronics, communications equipment and enterprise systems.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2025-01-23T15:09:57Z</dcterms:created>
  <dcterms:modified xsi:type="dcterms:W3CDTF">2025-01-23T15:09:57Z</dcterms:modified>
</cp:coreProperties>
</file>