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611505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23495</wp:posOffset>
            </wp:positionV>
            <wp:extent cx="5460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42545</wp:posOffset>
            </wp:positionV>
            <wp:extent cx="5460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37"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For the transition period from ___________ to ___________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26035</wp:posOffset>
            </wp:positionV>
            <wp:extent cx="5460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TEXAS INSTRUMENTS INCORPORATED</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26035</wp:posOffset>
            </wp:positionV>
            <wp:extent cx="5477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152" w:lineRule="exact"/>
        <w:rPr>
          <w:sz w:val="24"/>
          <w:szCs w:val="24"/>
          <w:color w:val="auto"/>
        </w:rPr>
      </w:pPr>
    </w:p>
    <w:tbl>
      <w:tblPr>
        <w:tblLayout w:type="fixed"/>
        <w:tblInd w:w="1860" w:type="dxa"/>
        <w:tblCellMar>
          <w:top w:w="0" w:type="dxa"/>
          <w:left w:w="0" w:type="dxa"/>
          <w:bottom w:w="0" w:type="dxa"/>
          <w:right w:w="0" w:type="dxa"/>
        </w:tblCellMar>
      </w:tblPr>
      <w:tr>
        <w:trPr>
          <w:trHeight w:val="215"/>
        </w:trPr>
        <w:tc>
          <w:tcPr>
            <w:tcW w:w="3840" w:type="dxa"/>
            <w:vAlign w:val="bottom"/>
          </w:tcPr>
          <w:p>
            <w:pPr>
              <w:jc w:val="center"/>
              <w:ind w:right="1104"/>
              <w:spacing w:after="0"/>
              <w:rPr>
                <w:sz w:val="20"/>
                <w:szCs w:val="20"/>
                <w:color w:val="auto"/>
              </w:rPr>
            </w:pPr>
            <w:r>
              <w:rPr>
                <w:rFonts w:ascii="Arial" w:cs="Arial" w:eastAsia="Arial" w:hAnsi="Arial"/>
                <w:sz w:val="16"/>
                <w:szCs w:val="16"/>
                <w:b w:val="1"/>
                <w:bCs w:val="1"/>
                <w:color w:val="auto"/>
                <w:w w:val="99"/>
              </w:rPr>
              <w:t>Delaware</w:t>
            </w:r>
          </w:p>
        </w:tc>
        <w:tc>
          <w:tcPr>
            <w:tcW w:w="3520" w:type="dxa"/>
            <w:vAlign w:val="bottom"/>
          </w:tcPr>
          <w:p>
            <w:pPr>
              <w:jc w:val="right"/>
              <w:ind w:right="684"/>
              <w:spacing w:after="0"/>
              <w:rPr>
                <w:sz w:val="20"/>
                <w:szCs w:val="20"/>
                <w:color w:val="auto"/>
              </w:rPr>
            </w:pPr>
            <w:r>
              <w:rPr>
                <w:rFonts w:ascii="Arial" w:cs="Arial" w:eastAsia="Arial" w:hAnsi="Arial"/>
                <w:sz w:val="16"/>
                <w:szCs w:val="16"/>
                <w:b w:val="1"/>
                <w:bCs w:val="1"/>
                <w:color w:val="auto"/>
              </w:rPr>
              <w:t>75-0289970</w:t>
            </w:r>
          </w:p>
        </w:tc>
      </w:tr>
      <w:tr>
        <w:trPr>
          <w:trHeight w:val="196"/>
        </w:trPr>
        <w:tc>
          <w:tcPr>
            <w:tcW w:w="3840" w:type="dxa"/>
            <w:vAlign w:val="bottom"/>
          </w:tcPr>
          <w:p>
            <w:pPr>
              <w:jc w:val="center"/>
              <w:ind w:right="1104"/>
              <w:spacing w:after="0"/>
              <w:rPr>
                <w:sz w:val="20"/>
                <w:szCs w:val="20"/>
                <w:color w:val="auto"/>
              </w:rPr>
            </w:pPr>
            <w:r>
              <w:rPr>
                <w:rFonts w:ascii="Arial" w:cs="Arial" w:eastAsia="Arial" w:hAnsi="Arial"/>
                <w:sz w:val="14"/>
                <w:szCs w:val="14"/>
                <w:b w:val="1"/>
                <w:bCs w:val="1"/>
                <w:color w:val="auto"/>
              </w:rPr>
              <w:t>(State of Incorporation)</w:t>
            </w:r>
          </w:p>
        </w:tc>
        <w:tc>
          <w:tcPr>
            <w:tcW w:w="3520" w:type="dxa"/>
            <w:vAlign w:val="bottom"/>
          </w:tcPr>
          <w:p>
            <w:pPr>
              <w:jc w:val="center"/>
              <w:ind w:left="1084"/>
              <w:spacing w:after="0"/>
              <w:rPr>
                <w:sz w:val="20"/>
                <w:szCs w:val="20"/>
                <w:color w:val="auto"/>
              </w:rPr>
            </w:pPr>
            <w:r>
              <w:rPr>
                <w:rFonts w:ascii="Arial" w:cs="Arial" w:eastAsia="Arial" w:hAnsi="Arial"/>
                <w:sz w:val="14"/>
                <w:szCs w:val="14"/>
                <w:b w:val="1"/>
                <w:bCs w:val="1"/>
                <w:color w:val="auto"/>
              </w:rPr>
              <w:t>(I.R.S. Employer Identification No.)</w:t>
            </w:r>
          </w:p>
        </w:tc>
      </w:tr>
      <w:tr>
        <w:trPr>
          <w:trHeight w:val="506"/>
        </w:trPr>
        <w:tc>
          <w:tcPr>
            <w:tcW w:w="3840" w:type="dxa"/>
            <w:vAlign w:val="bottom"/>
          </w:tcPr>
          <w:p>
            <w:pPr>
              <w:jc w:val="center"/>
              <w:ind w:right="1104"/>
              <w:spacing w:after="0"/>
              <w:rPr>
                <w:sz w:val="20"/>
                <w:szCs w:val="20"/>
                <w:color w:val="auto"/>
              </w:rPr>
            </w:pPr>
            <w:r>
              <w:rPr>
                <w:rFonts w:ascii="Arial" w:cs="Arial" w:eastAsia="Arial" w:hAnsi="Arial"/>
                <w:sz w:val="16"/>
                <w:szCs w:val="16"/>
                <w:b w:val="1"/>
                <w:bCs w:val="1"/>
                <w:color w:val="auto"/>
              </w:rPr>
              <w:t>12500 TI Boulevard, Dallas, Texas</w:t>
            </w:r>
          </w:p>
        </w:tc>
        <w:tc>
          <w:tcPr>
            <w:tcW w:w="3520" w:type="dxa"/>
            <w:vAlign w:val="bottom"/>
          </w:tcPr>
          <w:p>
            <w:pPr>
              <w:jc w:val="right"/>
              <w:ind w:right="884"/>
              <w:spacing w:after="0"/>
              <w:rPr>
                <w:sz w:val="20"/>
                <w:szCs w:val="20"/>
                <w:color w:val="auto"/>
              </w:rPr>
            </w:pPr>
            <w:r>
              <w:rPr>
                <w:rFonts w:ascii="Arial" w:cs="Arial" w:eastAsia="Arial" w:hAnsi="Arial"/>
                <w:sz w:val="16"/>
                <w:szCs w:val="16"/>
                <w:b w:val="1"/>
                <w:bCs w:val="1"/>
                <w:color w:val="auto"/>
              </w:rPr>
              <w:t>75243</w:t>
            </w:r>
          </w:p>
        </w:tc>
      </w:tr>
      <w:tr>
        <w:trPr>
          <w:trHeight w:val="223"/>
        </w:trPr>
        <w:tc>
          <w:tcPr>
            <w:tcW w:w="3840" w:type="dxa"/>
            <w:vAlign w:val="bottom"/>
          </w:tcPr>
          <w:p>
            <w:pPr>
              <w:jc w:val="center"/>
              <w:ind w:right="1084"/>
              <w:spacing w:after="0"/>
              <w:rPr>
                <w:sz w:val="20"/>
                <w:szCs w:val="20"/>
                <w:color w:val="auto"/>
              </w:rPr>
            </w:pPr>
            <w:r>
              <w:rPr>
                <w:rFonts w:ascii="Arial" w:cs="Arial" w:eastAsia="Arial" w:hAnsi="Arial"/>
                <w:sz w:val="14"/>
                <w:szCs w:val="14"/>
                <w:b w:val="1"/>
                <w:bCs w:val="1"/>
                <w:color w:val="auto"/>
              </w:rPr>
              <w:t>(Address of principal executive offices)</w:t>
            </w:r>
          </w:p>
        </w:tc>
        <w:tc>
          <w:tcPr>
            <w:tcW w:w="3520" w:type="dxa"/>
            <w:vAlign w:val="bottom"/>
          </w:tcPr>
          <w:p>
            <w:pPr>
              <w:jc w:val="center"/>
              <w:ind w:left="1064"/>
              <w:spacing w:after="0"/>
              <w:rPr>
                <w:sz w:val="20"/>
                <w:szCs w:val="20"/>
                <w:color w:val="auto"/>
              </w:rPr>
            </w:pPr>
            <w:r>
              <w:rPr>
                <w:rFonts w:ascii="Arial" w:cs="Arial" w:eastAsia="Arial" w:hAnsi="Arial"/>
                <w:sz w:val="14"/>
                <w:szCs w:val="14"/>
                <w:b w:val="1"/>
                <w:bCs w:val="1"/>
                <w:color w:val="auto"/>
              </w:rPr>
              <w:t>(Zip Code)</w:t>
            </w:r>
          </w:p>
        </w:tc>
      </w:tr>
    </w:tbl>
    <w:p>
      <w:pPr>
        <w:spacing w:after="0" w:line="291" w:lineRule="exact"/>
        <w:rPr>
          <w:sz w:val="24"/>
          <w:szCs w:val="24"/>
          <w:color w:val="auto"/>
        </w:rPr>
      </w:pPr>
    </w:p>
    <w:p>
      <w:pPr>
        <w:ind w:left="3100"/>
        <w:spacing w:after="0"/>
        <w:rPr>
          <w:sz w:val="20"/>
          <w:szCs w:val="20"/>
          <w:color w:val="auto"/>
        </w:rPr>
      </w:pPr>
      <w:r>
        <w:rPr>
          <w:rFonts w:ascii="Arial" w:cs="Arial" w:eastAsia="Arial" w:hAnsi="Arial"/>
          <w:sz w:val="16"/>
          <w:szCs w:val="16"/>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57785</wp:posOffset>
            </wp:positionV>
            <wp:extent cx="5477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77510" cy="8890"/>
                    </a:xfrm>
                    <a:prstGeom prst="rect">
                      <a:avLst/>
                    </a:prstGeom>
                    <a:noFill/>
                  </pic:spPr>
                </pic:pic>
              </a:graphicData>
            </a:graphic>
          </wp:anchor>
        </w:drawing>
      </w:r>
    </w:p>
    <w:p>
      <w:pPr>
        <w:spacing w:after="0" w:line="2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 w:lineRule="exact"/>
        <w:rPr>
          <w:sz w:val="24"/>
          <w:szCs w:val="24"/>
          <w:color w:val="auto"/>
        </w:rPr>
      </w:pPr>
    </w:p>
    <w:tbl>
      <w:tblPr>
        <w:tblLayout w:type="fixed"/>
        <w:tblInd w:w="30" w:type="dxa"/>
        <w:tblCellMar>
          <w:top w:w="0" w:type="dxa"/>
          <w:left w:w="0" w:type="dxa"/>
          <w:bottom w:w="0" w:type="dxa"/>
          <w:right w:w="0" w:type="dxa"/>
        </w:tblCellMar>
      </w:tblPr>
      <w:tr>
        <w:trPr>
          <w:trHeight w:val="202"/>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6"/>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TXN</w:t>
            </w:r>
          </w:p>
        </w:tc>
        <w:tc>
          <w:tcPr>
            <w:tcW w:w="5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83"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25" w:lineRule="exact"/>
        <w:rPr>
          <w:sz w:val="24"/>
          <w:szCs w:val="24"/>
          <w:color w:val="auto"/>
        </w:rPr>
      </w:pPr>
    </w:p>
    <w:p>
      <w:pPr>
        <w:ind w:right="1760"/>
        <w:spacing w:after="0" w:line="24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 w:lineRule="exact"/>
        <w:rPr>
          <w:sz w:val="24"/>
          <w:szCs w:val="24"/>
          <w:color w:val="auto"/>
        </w:rPr>
      </w:pPr>
    </w:p>
    <w:p>
      <w:pPr>
        <w:jc w:val="both"/>
        <w:ind w:right="40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1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20"/>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68" w:right="339" w:bottom="1440" w:gutter="0" w:footer="0" w:header="0"/>
        </w:sectPr>
      </w:pP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6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4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060" w:type="dxa"/>
            <w:vAlign w:val="bottom"/>
          </w:tcPr>
          <w:p>
            <w:pPr>
              <w:ind w:left="2120"/>
              <w:spacing w:after="0"/>
              <w:rPr>
                <w:sz w:val="20"/>
                <w:szCs w:val="20"/>
                <w:color w:val="auto"/>
              </w:rPr>
            </w:pPr>
            <w:r>
              <w:rPr>
                <w:rFonts w:ascii="Arial" w:cs="Arial" w:eastAsia="Arial" w:hAnsi="Arial"/>
                <w:sz w:val="16"/>
                <w:szCs w:val="16"/>
                <w:color w:val="auto"/>
              </w:rPr>
              <w:t>Accelerated filer</w:t>
            </w:r>
          </w:p>
        </w:tc>
      </w:tr>
      <w:tr>
        <w:trPr>
          <w:trHeight w:val="243"/>
        </w:trPr>
        <w:tc>
          <w:tcPr>
            <w:tcW w:w="2600" w:type="dxa"/>
            <w:vAlign w:val="bottom"/>
          </w:tcPr>
          <w:p>
            <w:pPr>
              <w:spacing w:after="0"/>
              <w:rPr>
                <w:sz w:val="20"/>
                <w:szCs w:val="20"/>
                <w:color w:val="auto"/>
              </w:rPr>
            </w:pPr>
            <w:r>
              <w:rPr>
                <w:rFonts w:ascii="Arial" w:cs="Arial" w:eastAsia="Arial" w:hAnsi="Arial"/>
                <w:sz w:val="16"/>
                <w:szCs w:val="16"/>
                <w:color w:val="auto"/>
              </w:rPr>
              <w:t>Non-accelerated filer</w:t>
            </w:r>
          </w:p>
        </w:tc>
        <w:tc>
          <w:tcPr>
            <w:tcW w:w="294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06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r>
      <w:tr>
        <w:trPr>
          <w:trHeight w:val="254"/>
        </w:trPr>
        <w:tc>
          <w:tcPr>
            <w:tcW w:w="26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94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060" w:type="dxa"/>
            <w:vAlign w:val="bottom"/>
          </w:tcPr>
          <w:p>
            <w:pPr>
              <w:spacing w:after="0"/>
              <w:rPr>
                <w:sz w:val="22"/>
                <w:szCs w:val="22"/>
                <w:color w:val="auto"/>
              </w:rPr>
            </w:pPr>
          </w:p>
        </w:tc>
      </w:tr>
    </w:tbl>
    <w:p>
      <w:pPr>
        <w:spacing w:after="0" w:line="260" w:lineRule="exact"/>
        <w:rPr>
          <w:sz w:val="24"/>
          <w:szCs w:val="24"/>
          <w:color w:val="auto"/>
        </w:rPr>
      </w:pPr>
    </w:p>
    <w:p>
      <w:pPr>
        <w:ind w:left="20" w:right="20"/>
        <w:spacing w:after="0" w:line="23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2" w:lineRule="exact"/>
        <w:rPr>
          <w:sz w:val="24"/>
          <w:szCs w:val="24"/>
          <w:color w:val="auto"/>
        </w:rPr>
      </w:pPr>
    </w:p>
    <w:p>
      <w:pPr>
        <w:ind w:left="20"/>
        <w:spacing w:after="0" w:line="225"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left="2540" w:right="560" w:hanging="2522"/>
        <w:spacing w:after="0" w:line="316" w:lineRule="auto"/>
        <w:rPr>
          <w:sz w:val="20"/>
          <w:szCs w:val="20"/>
          <w:color w:val="auto"/>
        </w:rPr>
      </w:pPr>
      <w:r>
        <w:rPr>
          <w:rFonts w:ascii="Arial" w:cs="Arial" w:eastAsia="Arial" w:hAnsi="Arial"/>
          <w:sz w:val="16"/>
          <w:szCs w:val="16"/>
          <w:color w:val="auto"/>
        </w:rPr>
        <w:t>The aggregate market value of voting stock held by non-affiliates of the Registrant was approximately $177,340,424,753 as of June 30, 2021. 923,547,062 (Number of shares of common stock outstanding as of January 25, 2022)</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Part III hereof incorporates information by reference to the Registrant’s proxy statement for the 2022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9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680" w:space="260"/>
            <w:col w:w="300"/>
          </w:cols>
          <w:pgMar w:left="320" w:top="106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 Our two reportable segments are Analog and Embedded Processing, and we report the results of our remaining business activities in Other. In 2021, we generated $18.34 billion of revenue.</w:t>
      </w:r>
    </w:p>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decades, we have operated with a passion to create a better world by making electronics more affordable through semiconductors. We were pioneers in the transition from vacuum tubes to transistors and then to integrated circuits. As each generation became more reliable, more affordable and lower in power, semiconductors were used by a growing number of customers and markets. This passion is alive today as we help our customers develop electronics and new applications, particularly in industrial and automotive markets.</w:t>
      </w:r>
    </w:p>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Our ambitions are foundational to ensuring that we operate in a sustainable, socially thoughtful and environmentally responsible manner. When we are successful in achieving these ambitions, our employees, customers, communities and shareholders all win.</w:t>
      </w:r>
    </w:p>
    <w:p>
      <w:pPr>
        <w:spacing w:after="0" w:line="20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engineers, we are fortunate to work on exciting technology which helps our customers innovate to create a better world. Technology is the foundation of our company, but ultimately, our objective and the best metric to measure progress and generate long-term value for owners is the growth of free cash flow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free cash flow per share growth has three elements:</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first element of our strategy is a business model that is focused on analog and embedded processing products and built around four competitive advantages. This business model is the result of a series of strategic decisions made over the years and that continue today. The four sustainable competitive advantages are a strong foundation of manufacturing and technology, a broad portfolio of analog and embedded processing products, the reach of our market channels, and diversity and longevity of our products, markets and customer positions. In combination, these four competitive advantages provide tangible benefits, are difficult to replicate and ultimately separate us from our best peers. 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second element of our strategy to maximize free cash flow per share growth is disciplined allocation of capital. This spans how we select R&amp;D projects, develop new capabilities like TI.com, invest in new manufacturing capacity or how we think about acquisitions and returning cash to our owners. Over a 10-year period from 2012 to 2021, we allocated $79 billion, which reinforces the importance of discipline in capital allocation. The largest allocation over this period was to drive organic growth, which includes investments in R&amp;D, sales and marketing, capital expenditures and working capital for inventory. In this period we allocated just over $8 billion to capital expenditures, and in the years ahead this amount will increase, as we expect it to be the largest driver of long-term free cash flow growth. Beyond that, we also allocated capital to dividends and share repurchases. Dividends are designed to appeal to a broad set of investors, and share repurchases are made with the goal of the accretive capture of future free cash flow for long-term investors. Lastly, for inorganic growth, we allocate to acquisitions that meet our financial and strategic objectives.</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third element of our strategy is efficiency, which we think of as constantly striving for more output for every dollar spent. This is about getting our investments in the most impactful areas to maximize the growth of long-term free cash flow per share; it is not just about optimizing cost-cutting to get to the last dollar of expense. We bring this philosophy of efficiency and continuous improvement to all areas of the company, and this focus on efficiency contributes to revenue growth, improved gross margins, disciplined R&amp;D and SG&amp;A expense, free cash flow margins and ultimately to free cash flow per share growth.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ind w:right="80"/>
        <w:spacing w:after="0" w:line="254"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information</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generally known as “chips,” combine multiple transistors to form a complete electronic circuit. We have a diverse product portfolio that is used to accomplish many different things, such as converting and amplifying signals, interfacing with other devices, managing and distributing power, processing data, canceling noise and improving signal resolution. This broad portfolio includes approximately 80,000 products that are integral to almost every type of electronic equipment.</w:t>
      </w:r>
    </w:p>
    <w:p>
      <w:pPr>
        <w:spacing w:after="0" w:line="20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Analog</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Analog segment generated $ 14.05 billion of revenue in 2021.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As the digitization of electronics continues, there is a growing need and opportunity for analog chips to provide the power to run devices and the critical interfaces with human beings, the real world and other electronic devices. Our Analog products are used in many markets, particularly industrial, automotive and personal electronics.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Sales of our Analog products generated about 77% of our revenue in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Analog segment includes the following major product lines: Power and Signal Chain.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w:t>
      </w:r>
    </w:p>
    <w:p>
      <w:pPr>
        <w:spacing w:after="0" w:line="243"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Power includes products that help customers manage power in electronic systems. Our broad portfolio is designed to manage power requirements across different voltage levels, including battery-management solutions, DC/DC switching regulators, AC/DC and isolated controllers and converters, power switches, linear regulators, voltage references and lighting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Signal Chain</w:t>
      </w:r>
    </w:p>
    <w:p>
      <w:pPr>
        <w:spacing w:after="0" w:line="24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Signal Chain includes products that sense, condition and measure real-world signals to allow information to be transferred or converted for further processing and control. Our Signal Chain products include amplifiers, data converters, interface products, motor drives, clocks, logic and sensing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Processing</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Embedded Processing segment generated $3.05 billion of revenue in 2021. Embedded Processing products are the digital “brains” of many types of electronic equipment. They are designed to handle specific tasks and can be optimized for various combinations of performance, power and cost, depending on the application. Our devices vary from simple, low-cost microcontrollers used in applications such as electric toothbrushes to highly specialized, complex devices such as motor control. Our Embedded Processing products are used in many markets, particularly industrial and automotive.</w:t>
      </w:r>
    </w:p>
    <w:p>
      <w:pPr>
        <w:spacing w:after="0" w:line="205"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Sales of Embedded Processing products generated about 17% of our revenue in 2021.</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Embedded Processing segment includes microcontrollers, digital signal processors (DSPs) and applications processors. Microcontrollers are self-contained systems with a processor core, memory and peripherals that are designed to control a set of specific tasks for electronic equipment. DSPs perform mathematical computations almost instantaneously to process or improve digital data. Applications processors are designed for specific computing activity.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report the results of our remaining business activities in Other, which includes operating segments that do not meet the quantitative thresholds for individually reportable segments and cannot be aggregated with other operating segments. Other generated $ 1.25 billion of revenue in 2021 and includes revenue from DLP</w:t>
      </w:r>
      <w:r>
        <w:rPr>
          <w:rFonts w:ascii="Arial" w:cs="Arial" w:eastAsia="Arial" w:hAnsi="Arial"/>
          <w:sz w:val="10"/>
          <w:szCs w:val="10"/>
          <w:color w:val="auto"/>
        </w:rPr>
        <w:t>®</w:t>
      </w:r>
      <w:r>
        <w:rPr>
          <w:rFonts w:ascii="Arial" w:cs="Arial" w:eastAsia="Arial" w:hAnsi="Arial"/>
          <w:sz w:val="18"/>
          <w:szCs w:val="18"/>
          <w:color w:val="auto"/>
        </w:rPr>
        <w:t xml:space="preserve"> products (primarily used to project high-definition images), calculators and certain custom semiconductors known as application-specific integrated circuits (ASICs).</w:t>
      </w:r>
    </w:p>
    <w:p>
      <w:pPr>
        <w:spacing w:after="0" w:line="20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as well as certain corporate-level items, such as litigation expenses, environmental costs and gains and losses from other activities, including asset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2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table below lists the major markets for our products in 2021 and the estimated percentage of our 2021 revenue that the market represented. The chart also lists, in declining order of our revenue, the sectors within each market.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Market</w:t>
            </w:r>
          </w:p>
        </w:tc>
        <w:tc>
          <w:tcPr>
            <w:tcW w:w="120" w:type="dxa"/>
            <w:vAlign w:val="bottom"/>
            <w:tcBorders>
              <w:bottom w:val="single" w:sz="8" w:color="DBDBDB"/>
            </w:tcBorders>
          </w:tcPr>
          <w:p>
            <w:pPr>
              <w:spacing w:after="0"/>
              <w:rPr>
                <w:sz w:val="16"/>
                <w:szCs w:val="16"/>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Sector</w:t>
            </w:r>
          </w:p>
        </w:tc>
      </w:tr>
      <w:tr>
        <w:trPr>
          <w:trHeight w:val="223"/>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Industrial</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Factory automation &amp; control</w:t>
            </w:r>
          </w:p>
        </w:tc>
      </w:tr>
      <w:tr>
        <w:trPr>
          <w:trHeight w:val="229"/>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(41%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Building automation</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Grid infrastructure</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Medical</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Aerospace &amp; defense</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Test &amp; measurement</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Appliances</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Pro audio, video &amp; signage</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Motor drives</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Power delivery</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Retail automation &amp; payment</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Industrial transport</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Lighting</w:t>
            </w:r>
          </w:p>
        </w:tc>
      </w:tr>
      <w:tr>
        <w:trPr>
          <w:trHeight w:val="239"/>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Automotive</w:t>
            </w: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Infotainment &amp; cluster</w:t>
            </w:r>
          </w:p>
        </w:tc>
      </w:tr>
      <w:tr>
        <w:trPr>
          <w:trHeight w:val="22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(21% of TI revenue)</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Advanced driver assistance systems (ADAS)</w:t>
            </w:r>
          </w:p>
        </w:tc>
      </w:tr>
      <w:tr>
        <w:trPr>
          <w:trHeight w:val="230"/>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Passive safety</w:t>
            </w:r>
          </w:p>
        </w:tc>
      </w:tr>
      <w:tr>
        <w:trPr>
          <w:trHeight w:val="229"/>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Hybrid, electric &amp; powertrain systems</w:t>
            </w:r>
          </w:p>
        </w:tc>
      </w:tr>
      <w:tr>
        <w:trPr>
          <w:trHeight w:val="229"/>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Body electronics &amp; lighting</w:t>
            </w:r>
          </w:p>
        </w:tc>
      </w:tr>
      <w:tr>
        <w:trPr>
          <w:trHeight w:val="229"/>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Personal electronics</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Mobile phones</w:t>
            </w:r>
          </w:p>
        </w:tc>
      </w:tr>
      <w:tr>
        <w:trPr>
          <w:trHeight w:val="230"/>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(24%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Portable electronics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PC &amp; notebooks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Connected peripherals &amp; printers</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Home theater &amp; entertainment</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TV</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Tablets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Wearables (non-medical)</w:t>
            </w:r>
          </w:p>
        </w:tc>
      </w:tr>
      <w:tr>
        <w:trPr>
          <w:trHeight w:val="229"/>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Data storage</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Gaming</w:t>
            </w:r>
          </w:p>
        </w:tc>
      </w:tr>
      <w:tr>
        <w:trPr>
          <w:trHeight w:val="239"/>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Communications equipment</w:t>
            </w: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Wireless infrastructure</w:t>
            </w:r>
          </w:p>
        </w:tc>
      </w:tr>
      <w:tr>
        <w:trPr>
          <w:trHeight w:val="22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(6% of TI revenue)</w:t>
            </w: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Wired networking</w:t>
            </w:r>
          </w:p>
        </w:tc>
      </w:tr>
      <w:tr>
        <w:trPr>
          <w:trHeight w:val="229"/>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Broadband fixed line access</w:t>
            </w:r>
          </w:p>
        </w:tc>
      </w:tr>
      <w:tr>
        <w:trPr>
          <w:trHeight w:val="230"/>
        </w:trPr>
        <w:tc>
          <w:tcPr>
            <w:tcW w:w="1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Datacom module</w:t>
            </w:r>
          </w:p>
        </w:tc>
      </w:tr>
      <w:tr>
        <w:trPr>
          <w:trHeight w:val="229"/>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Enterprise systems</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Data center &amp; enterprise computing</w:t>
            </w:r>
          </w:p>
        </w:tc>
      </w:tr>
      <w:tr>
        <w:trPr>
          <w:trHeight w:val="230"/>
        </w:trPr>
        <w:tc>
          <w:tcPr>
            <w:tcW w:w="55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(6% of TI revenue)</w:t>
            </w: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Enterprise projectors</w:t>
            </w:r>
          </w:p>
        </w:tc>
      </w:tr>
      <w:tr>
        <w:trPr>
          <w:trHeight w:val="230"/>
        </w:trPr>
        <w:tc>
          <w:tcPr>
            <w:tcW w:w="1820" w:type="dxa"/>
            <w:vAlign w:val="bottom"/>
            <w:shd w:val="clear" w:color="auto" w:fill="DBDBDB"/>
          </w:tcPr>
          <w:p>
            <w:pPr>
              <w:spacing w:after="0"/>
              <w:rPr>
                <w:sz w:val="19"/>
                <w:szCs w:val="19"/>
                <w:color w:val="auto"/>
              </w:rPr>
            </w:pPr>
          </w:p>
        </w:tc>
        <w:tc>
          <w:tcPr>
            <w:tcW w:w="3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540" w:type="dxa"/>
            <w:vAlign w:val="bottom"/>
            <w:shd w:val="clear" w:color="auto" w:fill="DBDBDB"/>
          </w:tcPr>
          <w:p>
            <w:pPr>
              <w:spacing w:after="0"/>
              <w:rPr>
                <w:sz w:val="20"/>
                <w:szCs w:val="20"/>
                <w:color w:val="auto"/>
              </w:rPr>
            </w:pPr>
            <w:r>
              <w:rPr>
                <w:rFonts w:ascii="Arial" w:cs="Arial" w:eastAsia="Arial" w:hAnsi="Arial"/>
                <w:sz w:val="18"/>
                <w:szCs w:val="18"/>
                <w:color w:val="auto"/>
              </w:rPr>
              <w:t>Enterprise machine</w:t>
            </w:r>
          </w:p>
        </w:tc>
      </w:tr>
      <w:tr>
        <w:trPr>
          <w:trHeight w:val="239"/>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(calculators and other)</w:t>
            </w:r>
          </w:p>
        </w:tc>
        <w:tc>
          <w:tcPr>
            <w:tcW w:w="120" w:type="dxa"/>
            <w:vAlign w:val="bottom"/>
          </w:tcPr>
          <w:p>
            <w:pPr>
              <w:spacing w:after="0"/>
              <w:rPr>
                <w:sz w:val="20"/>
                <w:szCs w:val="20"/>
                <w:color w:val="auto"/>
              </w:rPr>
            </w:pPr>
          </w:p>
        </w:tc>
        <w:tc>
          <w:tcPr>
            <w:tcW w:w="5540" w:type="dxa"/>
            <w:vAlign w:val="bottom"/>
          </w:tcPr>
          <w:p>
            <w:pPr>
              <w:spacing w:after="0"/>
              <w:rPr>
                <w:sz w:val="20"/>
                <w:szCs w:val="20"/>
                <w:color w:val="auto"/>
              </w:rPr>
            </w:pPr>
          </w:p>
        </w:tc>
      </w:tr>
      <w:tr>
        <w:trPr>
          <w:trHeight w:val="22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(2% of TI revenue)</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r>
      <w:tr>
        <w:trPr>
          <w:trHeight w:val="526"/>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Market characteristics</w:t>
            </w:r>
          </w:p>
        </w:tc>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392"/>
        </w:trPr>
        <w:tc>
          <w:tcPr>
            <w:tcW w:w="5540" w:type="dxa"/>
            <w:vAlign w:val="bottom"/>
            <w:gridSpan w:val="2"/>
          </w:tcPr>
          <w:p>
            <w:pPr>
              <w:spacing w:after="0"/>
              <w:rPr>
                <w:sz w:val="20"/>
                <w:szCs w:val="20"/>
                <w:color w:val="auto"/>
              </w:rPr>
            </w:pPr>
            <w:r>
              <w:rPr>
                <w:rFonts w:ascii="Arial" w:cs="Arial" w:eastAsia="Arial" w:hAnsi="Arial"/>
                <w:sz w:val="18"/>
                <w:szCs w:val="18"/>
                <w:color w:val="auto"/>
              </w:rPr>
              <w:t>Competitive landscape</w:t>
            </w:r>
          </w:p>
        </w:tc>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Despite recent consolidation, the analog and embedded processing markets remain highly fragmented. As a result, we face significant global competition from dozens of large and small companies, including both broad-based suppliers and niche suppliers. Our competitors also include emerging companies, particularly in Asia.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5" w:name="page6"/>
    <w:bookmarkEnd w:id="5"/>
    <w:p>
      <w:pPr>
        <w:ind w:right="40"/>
        <w:spacing w:after="0" w:line="253" w:lineRule="auto"/>
        <w:rPr>
          <w:sz w:val="20"/>
          <w:szCs w:val="20"/>
          <w:color w:val="auto"/>
        </w:rPr>
      </w:pPr>
      <w:r>
        <w:rPr>
          <w:rFonts w:ascii="Arial" w:cs="Arial" w:eastAsia="Arial" w:hAnsi="Arial"/>
          <w:sz w:val="18"/>
          <w:szCs w:val="18"/>
          <w:color w:val="auto"/>
        </w:rPr>
        <w:t>We believe that competitive performance in the semiconductor market generally depends on several factors, including the breadth of a company’s product line, the strength and reach of its channels to market, technological innovation, product development execution, technical support, customer service, quality, reliability, price and manufacturing capacity and capabilities. In addition, manufacturing process and package technologies that provide differentiated levels of performance and a structural cost advantage are competitive factors for our analog products, and customers’ prior investments in software development is a competitive factor for our embedded processing products.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Semiconductor cycles are affected by the significant time and money required to build and maintain semiconductor manufacturing facilities.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1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with the second and third quarters.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distribution</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sell our products to over 100,000 customers. Our customer base is diverse, with more than 40% of our revenue derived from customers outside our largest 100.</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market and sell our products through direct sales channels, including our website and broad sales and applications team, and, to a lesser extent, through distributors. Over the past several years, we have been investing in new capabilities to build closer direct customer relationships. For example, in 2021 about two-thirds of our revenue was direct, and transactions on TI.com grew to about 10% of our revenue, as customers valued the convenience of purchasing online. Closer direct relationships with our customers help to strengthen our reach of market channel advantage and give us access to more customers and more of their design projects, leading to opportunities to sell more of our products into each design. Additionally, broader and deeper access gives us better insight and knowledge of customer needs.</w:t>
      </w:r>
    </w:p>
    <w:p>
      <w:pPr>
        <w:spacing w:after="0" w:line="20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investments in new and improved capabilities to directly support our customers include website and e-commerce enhancements as well as inventory consignment programs and order fulfillment services. We expanded the reach of our TI.com e-commerce channel by offering a localized online experience in many countries, with convenience features such as immediate availability, local currency, payment methods, invoicing and importer of record. In addition to doing business directly with TI, we offer customers the option of using a single worldwide distributor and a few region-specific distributors for order fulfillment.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4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that require substantial investments.</w:t>
      </w:r>
    </w:p>
    <w:p>
      <w:pPr>
        <w:spacing w:after="0" w:line="20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w:t>
      </w:r>
    </w:p>
    <w:p>
      <w:pPr>
        <w:spacing w:after="0" w:line="19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invest in manufacturing technologies and do most of our manufacturing in-house. This strategic decision to make manufacturing and technology a core competitive advantage provides us with tangible benefits of lower manufacturing costs and greater control of our supply chain. We have focused on creating a competitive manufacturing structural cost advantage by investing in our advanced 300-millimeter capacity. An unpackaged chip built on a 300-millimeter wafer costs about 40% less than an unpackaged chip built on a 200-millimeter wafer.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continue to invest to strengthen our competitive advantage in manufacturing and technology as part of our long-term capacity planning.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Progress and investments include:</w:t>
      </w:r>
    </w:p>
    <w:p>
      <w:pPr>
        <w:spacing w:after="0" w:line="225" w:lineRule="exact"/>
        <w:rPr>
          <w:sz w:val="20"/>
          <w:szCs w:val="20"/>
          <w:color w:val="auto"/>
        </w:rPr>
      </w:pPr>
    </w:p>
    <w:p>
      <w:pPr>
        <w:ind w:left="660" w:right="3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construction of RFAB2 (Richardson, Texas), our next 300-millimeter wafer fabrication facility, to begin production in the second half of 2022;</w:t>
      </w:r>
    </w:p>
    <w:p>
      <w:pPr>
        <w:spacing w:after="0" w:line="197"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purchasing a 300-millimeter wafer fabrication facility in Lehi, Utah, to support analog and embedded processing manufacturing, which is expected to begin production in early 2023; and</w:t>
      </w:r>
    </w:p>
    <w:p>
      <w:pPr>
        <w:spacing w:after="0" w:line="197" w:lineRule="exact"/>
        <w:rPr>
          <w:rFonts w:ascii="Arial" w:cs="Arial" w:eastAsia="Arial" w:hAnsi="Arial"/>
          <w:sz w:val="18"/>
          <w:szCs w:val="18"/>
          <w:color w:val="auto"/>
        </w:rPr>
      </w:pPr>
    </w:p>
    <w:p>
      <w:pPr>
        <w:ind w:left="660" w:right="40" w:hanging="328"/>
        <w:spacing w:after="0" w:line="27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planning construction on our next two 300-millimeter wafer fabrication facilities in Sherman, Texas, to begin in 2022. This North Texas site has the potential for up to four fabrication facilities to meet demand over time, as semiconductor growth in electronics, particularly in industrial and automotive markets, is expected to continue well into the future. Production is expected to begin in 2025.</w:t>
      </w:r>
    </w:p>
    <w:p>
      <w:pPr>
        <w:spacing w:after="0" w:line="18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Together, these investments are designed to strengthen our manufacturing and technology competitive advantage, provide us with lower costs and greater control of our supply chain, and support growth over the next 10 to 15 years.</w:t>
      </w:r>
    </w:p>
    <w:p>
      <w:pPr>
        <w:spacing w:after="0" w:line="198"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We assess and are careful to address potential health, safety, and environmental risks presented by our operations, including our manufacturing operations. We care for our environment and work to prevent pollution and the potential risks related to climate change by implementing practices such as recycling and reusing materials, controlling harmful emissions, and properly handling hazardous and restricted substances.</w:t>
      </w:r>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expect to continue to maintain sufficient internal manufacturing capacity to meet the majority of our production needs and to obtain manufacturing equipment to support new technology developments and revenue growth. To supplement our manufacturing capacity and maximize our responsiveness to customer demand, we selectively use the capacity of outside suppliers, commonly known as foundries, and subcontractors. In 2021, we sourced about 20% of our total wafers from external foundries and about 40% of our assembly/test services from subcontractors.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objectives for inventory are to maintain high levels of customer service, maintain stable and competitive lead times, minimize inventory obsolescence and improve manufacturing asset utilization. To meet these objectives and to allow greater flexibility in periods of high demand, our strategy is to build ahead of demand our broad-based products that are used across a diverse set of applications and customers and have low risk of obsolescence. Inventory levels will vary based on market conditions and seasonality.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4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sole-source suppliers. The materials, parts and supplies essential to our business are generally available at present, and we believe that such materials, parts and supplies will be available in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license agreements, which vary in duration, involving rights to our portfolio or those of other companies. We do not consider our business materially dependent upon any one patent or patent license.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4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held by each person named: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DBDBDB"/>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DBDBDB"/>
            </w:tcBorders>
          </w:tcPr>
          <w:p>
            <w:pPr>
              <w:spacing w:after="0"/>
              <w:rPr>
                <w:sz w:val="16"/>
                <w:szCs w:val="16"/>
                <w:color w:val="auto"/>
              </w:rPr>
            </w:pPr>
          </w:p>
        </w:tc>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Ahmad S. Bahai</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Kyle M. Flessner</w:t>
            </w:r>
          </w:p>
        </w:tc>
        <w:tc>
          <w:tcPr>
            <w:tcW w:w="740" w:type="dxa"/>
            <w:vAlign w:val="bottom"/>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Mark S. Gary</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Haviv Ilan</w:t>
            </w:r>
          </w:p>
        </w:tc>
        <w:tc>
          <w:tcPr>
            <w:tcW w:w="740" w:type="dxa"/>
            <w:vAlign w:val="bottom"/>
          </w:tcPr>
          <w:p>
            <w:pPr>
              <w:ind w:left="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Director, Executive Vice President and Chief Operating Officer</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Hagop H. Kozanian</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Rafael R. Lizardi</w:t>
            </w:r>
          </w:p>
        </w:tc>
        <w:tc>
          <w:tcPr>
            <w:tcW w:w="74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29"/>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Mark T. Roberts</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Amichai Ron</w:t>
            </w:r>
          </w:p>
        </w:tc>
        <w:tc>
          <w:tcPr>
            <w:tcW w:w="74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30"/>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Richard K. Templeton</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 Chairman of the Board, President and Chief Executive Officer</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Cynthia Hoff Trochu</w:t>
            </w:r>
          </w:p>
        </w:tc>
        <w:tc>
          <w:tcPr>
            <w:tcW w:w="740" w:type="dxa"/>
            <w:vAlign w:val="bottom"/>
          </w:tcPr>
          <w:p>
            <w:pPr>
              <w:ind w:left="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 Secretary and General Counsel</w:t>
            </w:r>
          </w:p>
        </w:tc>
      </w:tr>
      <w:tr>
        <w:trPr>
          <w:trHeight w:val="230"/>
        </w:trPr>
        <w:tc>
          <w:tcPr>
            <w:tcW w:w="3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Darla H. Whitaker</w:t>
            </w:r>
          </w:p>
        </w:tc>
        <w:tc>
          <w:tcPr>
            <w:tcW w:w="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BDBDB"/>
          </w:tcPr>
          <w:p>
            <w:pPr>
              <w:spacing w:after="0"/>
              <w:rPr>
                <w:sz w:val="19"/>
                <w:szCs w:val="19"/>
                <w:color w:val="auto"/>
              </w:rPr>
            </w:pPr>
          </w:p>
        </w:tc>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Vice President</w:t>
            </w: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Christine A. Witzsche</w:t>
            </w:r>
          </w:p>
        </w:tc>
        <w:tc>
          <w:tcPr>
            <w:tcW w:w="740" w:type="dxa"/>
            <w:vAlign w:val="bottom"/>
          </w:tcPr>
          <w:p>
            <w:pPr>
              <w:ind w:left="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 of office of these officers is from the date of their election until their successor shall have been elected and qualified. All have been employees of the company for more than five years. Messrs. Templeton, Ilan and Lizardi and Mses. Trochu and Whitaker have served as executive officers of the company for more than five years. Messrs. Bahai, Flessner and Kozanian became executive officers of the company in 2018. Mr. Ron became an executive officer in 2019. Mr. Gary became an executive officer in 2020. Mr. Roberts and Ms. Witzsche became executive officers in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47"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At December 31, 2021, we had about 31,000 employees worldwide. Of those, about 87% were in Sales, R&amp;D or manufacturing. Our objective for human capital management is to recruit, develop and retain the best talent possible. As a technology and manufacturing company, our success is grounded in having strong engineering talent and a reliable factory workforce. We have a promote-from-within culture and offer training and rotation programs that provide the opportunity to quickly gain experience in different areas. In 2021, our turnover rate was 9.7%.</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It is important that our employees represent a mix of experiences and backgrounds in order to make our company stronger, more innovative and more inclusive. Inclusion is one of our core values, and we have programs in place to promote diversity and inclusion. We encourage you to review our Corporate Citizenship Report for more information. Nothing in the Corporate Citizenship Report shall be deemed incorporated by reference into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internet address is www.ti.com. Information on our website is not part of this report. We make available free of charge through our Investor Relations website our reports on Forms 10-K, 10-Q and 8-K, and amendments to those reports, as soon as reasonably practicable after they are filed with the Securities and Exchange Commission. Also available through the TI Investor Relations website are reports filed by our directors and executive officers on Forms 3, 4 and 5, and amendments to those reports.</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Available on our website at www.ti.com/corporategovernance: (i) our Corporate Governance Guidelines; (ii) charters for the Audit, Compensation, and Governance and Stockholder Relations Committees of our board of directors; (iii) our code of conduct; and (iv) our Code of Ethics for TI Chief Executive Officer and Senior Finance Officers. Stockholders may request copies of these documents free of charge by writing to Texas Instruments Incorporated, Attention: Investor Relations, P.O. Box 660199, MS 8657, Dallas, Texas, 75266-0199.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many companies, we are susceptible to a potential downturn associated with macroeconomic weakness, which may affect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dividends or share repurchases, and other factors, many of which are beyond our control.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extent to which the COVID-19 pandemic will adversely affect our business, results of operations and financial condition is uncertain.</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global spread of the coronavirus (COVID-19) has created significant uncertainty and economic disruption, both near-term and potentially long-term. We have modified, and might further modify, our business practices in response to the COVID-19 pandemic, related third-party responses, including from government authorities and our suppliers, customers and distributors, and the economic and social ramifications of the disease and societal responses across the markets in which TI operates. The extent to which the COVID-19 pandemic will continue to affect our business, results of operation and financial condition is difficult to predict and depends on numerous evolving factors including: the duration and scope of the pandemic; government, social, business and other actions that have been and will be taken in response to the pandemic; and the effect of the pandemic on short- and long-term general economic conditions. We have experienced, and continue to experience, short- or long-term constrained supply or volatility in customer demand, which could materially and adversely affect our business and 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global operations subject us to risks associated with domestic or international political, social, economic or other conditions.</w:t>
      </w:r>
    </w:p>
    <w:p>
      <w:pPr>
        <w:spacing w:after="0" w:line="225"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We have facilities in more than 30 countries. About 90% of our revenue comes from shipments to locations outside the United States; shipments of products to China-based customers represent about 25% of our revenue. Certain countries where we operate have experienced, and other countries may experience, trade tension that affects global trade and macroeconomic conditions through the enactment of tariffs, import or export restrictions, trade embargoes and sanctions, restrictions on cross-border investment and other trade barriers. Trade tensions impact our ability to deliver products and product support into China, cause Chinese customers to seek alternate suppliers and could otherwise adversely affect our operations and financial results.</w:t>
      </w:r>
    </w:p>
    <w:p>
      <w:pPr>
        <w:spacing w:after="0" w:line="20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exposed to political, social and economic conditions, security risks, terrorism or other hostile acts, health conditions and epidemics, labor conditions, climate change risks and possible disruptions in transportation, communications and information technology networks of the various countries in which we operate.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in conjunction with trade tensions, may restrict us from participating in the China market or may prevent us from competing effectively. Certain competitors possess sufficient financial, technical and management resources to develop and market products that may compete favorably against our products, and consolidation among our competitors may allow them to compete more effectively.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expected demand for our products could have a material adverse effect on our results of operations.</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customers include companies in a wide range of end markets and sectors within those markets. If demand in one or more sectors within our end markets declines or the rate of growth slows, our results of operations may be adversely affected. The cyclical nature of the semiconductor market occasionally leads to significant and rapid increases and decreases in product demand. Additionally, the loss or significant curtailment of purchases by one or more of our large customers, including curtailments due to a change in the design or manufacturing sourcing policies or practices of these customers, the timing of customer or distributor inventory adjustments, changes in demand for customer products, or trade restrictions, may adversely affect our results of operations and financial condition.</w:t>
      </w:r>
    </w:p>
    <w:p>
      <w:pPr>
        <w:spacing w:after="0" w:line="20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results of operations also might suffer because of a general decline in customer demand resulting from, for example: uncertainty regarding the stability of global credit and financial markets; natural events, epidemics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ability to match inventory and production with the product mix needed to fill orders may affect our ability to meet a quarter’s revenue forecast. Due to strong demand, our manufacturing lead times for some products are longer than normal, and lead times might continue to extend. We manufacture products with the intent to provide high levels of customer service. Our manufacturing forecasts are based on multiple assumptions, and if inaccurate, could cause us to hold inadequate, excess or obsolete inventory that would reduce our profit margins and adversely affect our results of operations and financial condition.</w:t>
      </w:r>
    </w:p>
    <w:p>
      <w:pPr>
        <w:spacing w:after="0" w:line="20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u w:val="single" w:color="auto"/>
          <w:color w:val="auto"/>
        </w:rPr>
        <w:t>Our operating results and our reputation could be adversely affected by cybersecurity events, breaches, disruptions or other incidents relating to our information technology systems.</w:t>
      </w:r>
    </w:p>
    <w:p>
      <w:pPr>
        <w:spacing w:after="0" w:line="19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Breaches, disruptions or other incidents relating to our information technology systems or the systems of our customers, vendors and other third parties could be caused by factors such as computer viruses, system failures, restricted network access, unauthorized access, terrorism, employee malfeasance, or human error. These events could, among other things, compromise our information technology networks; result in corrupt or lost data or the unauthorized release of our, our customers’ or our suppliers’ confidential or proprietary information; cause a disruption to our manufacturing and other operations; result in the release of personal data; or cause us to incur costs associated with increased protection, remediation, regulatory inquiries or penalties, or claims for damages, any of which could adversely affect our operating results and our reputation. Cybersecurity or other threats to our information technology systems or the systems of our customers, vendors and other third parties are frequent and constantly evolving, thereby increasing the difficulty of defending against them.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ind w:right="880"/>
        <w:spacing w:after="0" w:line="261" w:lineRule="auto"/>
        <w:rPr>
          <w:sz w:val="20"/>
          <w:szCs w:val="20"/>
          <w:color w:val="auto"/>
        </w:rPr>
      </w:pPr>
      <w:r>
        <w:rPr>
          <w:rFonts w:ascii="Arial" w:cs="Arial" w:eastAsia="Arial" w:hAnsi="Arial"/>
          <w:sz w:val="18"/>
          <w:szCs w:val="18"/>
          <w:u w:val="single" w:color="auto"/>
          <w:color w:val="auto"/>
        </w:rPr>
        <w:t>Our ability to successfully implement strategic, business and organizational changes could affect our business plans and results of operations.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time to time, we undertake strategic, business and organizational changes, including acquisitions, divestitures and restructuring actions, to support or carry out our objectives. For example, the purchase of our 300-millimeter semiconductor factory in Lehi, Utah in 2021. If we do not successfully implement these changes, our business plans and operating results could be adversely affected. We may not achieve or sustain the expected growth, cost savings or other benefits of strategic, business and organizational changes, and charges associated with these actions could differ materially in amount and timing from our expectations.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operate.</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manufacturing, data and design facilities and other operations in locations subject to natural occurrences such as severe weather, geological events or epidemics that could disrupt operations. Climate change might exacerbate these occurrences or cause natural disasters to occur with greater frequency. A natural disaster that results in a prolonged disruption, particularly where we have principal manufacturing and design operations, as listed in the Properties section in Item 2, may adversely affect our results and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Rapid technological change in markets we serve requires us to develop new technologies and products.</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in a timely and cost-effective manner. We make significant investments in research and development to improve existing technology and products, develop new products to meet changing customer demands, and improve our production processes. In some cases, we might not realize a return or the expected return on our investments because they are generally made before commercial viability can be assured. Further, projects that are commercially viable may not contribute to our operating results until at least a few years after they are completed.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supply chain and manufacturing risks.</w:t>
      </w:r>
    </w:p>
    <w:p>
      <w:pPr>
        <w:spacing w:after="0" w:line="225"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 rely on third parties to supply us with goods and services in a cost-effective and timely manner. Our access to needed goods and services may be adversely affected by potential disputes with suppliers or disruptions in our own or suppliers’ operations as a result of, for example: quality excursions; uncertainty regarding the stability of global credit and financial markets; domestic or international political, social, economic and other conditions; natural events or epidemics in the locations in which our suppliers operate; or limited or delayed access to and high costs of key materials, natural resources, services and utilities. Additionally, a breach or other incident relating to our suppliers’ information technology systems could result in a release of confidential or proprietary information. If our suppliers are unable to access credit markets and other sources of needed liquidity, we may be unable to obtain needed supplies, collect accounts receivable or access needed technology.</w:t>
      </w:r>
    </w:p>
    <w:p>
      <w:pPr>
        <w:spacing w:after="0" w:line="20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particular, our manufacturing processes and critical manufacturing equipment, and those of our suppliers, require that certain key materials, natural resources, services and utilities be available. Suppliers of these items have and might continue to extend lead times, limit supply or increase prices due to factors beyond our control. Limited or delayed access to and high costs of key materials, natural resources, services and utilities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 that we change the sourcing of materials we cannot identify as conflict-free.</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inability to timely implement new manufacturing technologies or install manufacturing equipment could adversely affect our results of operations. We have made and will continue to make significant investments in manufacturing capacity, and we might not realize our expected return on those investments. We subcontract a portion of our wafer fabrication and assembly and testing of our products, and we depend on third parties to provide advanced logic manufacturing process technology development.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in a timely, cost-effective, and appropriate manner, the possibility of suppliers’ imposition of increased costs on us and the unauthorized disclosure or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ind w:right="960"/>
        <w:spacing w:after="0" w:line="261" w:lineRule="auto"/>
        <w:rPr>
          <w:sz w:val="20"/>
          <w:szCs w:val="20"/>
          <w:color w:val="auto"/>
        </w:rPr>
      </w:pPr>
      <w:r>
        <w:rPr>
          <w:rFonts w:ascii="Arial" w:cs="Arial" w:eastAsia="Arial" w:hAnsi="Arial"/>
          <w:sz w:val="18"/>
          <w:szCs w:val="18"/>
          <w:u w:val="single" w:color="auto"/>
          <w:color w:val="auto"/>
        </w:rPr>
        <w:t>Our results of operations and our reputation could be affected by warranty claims, product liability claims, product recalls or legal proceedings.</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Claims based on warranty, product liability, epidemic or delivery failures, or other grounds relating to our products, software, manufacturing, services, designs, communications or cybersecurity could lead to significant expenses as we defend the claims or pay damage awards or settlements. In the event of a claim, we would also incur costs if we decide to compensate the affected customer or end consumer. Any such claims may also cause us to write off the value of related inventory. We maintain product liability insurance, but there is no guarantee that such insurance will be available or adequate to protect against all such claims. In addition, it is possible for a customer to recall a product containing a TI part, for example, with respect to products used in automotive applications or handheld electronics, which may cause us to incur costs and expenses relating to the recall. Any of these events could adversely affect our results of operations, financial condition and reputation.</w:t>
      </w:r>
    </w:p>
    <w:p>
      <w:pPr>
        <w:spacing w:after="0" w:line="20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u w:val="single" w:color="auto"/>
          <w:color w:val="auto"/>
        </w:rPr>
        <w:t>Our results of operations could be adversely affected by distributors’ promotion of competing product lines or our distributors’ financial performance.</w:t>
      </w:r>
    </w:p>
    <w:p>
      <w:pPr>
        <w:spacing w:after="0" w:line="19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2021, about one-third of our revenue was generated from sales of our products through distributors. Our distributors carry competing product lines, and our sales could be affected if semiconductor distributors promote competing products over our products. Moreover, our results of operations could be affected if our distributors suffer financial difficulties that result in their inability to pay amounts owed to us. Disputes with current or former distributors could be disruptive or harmful to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margins vary.</w:t>
      </w:r>
    </w:p>
    <w:p>
      <w:pPr>
        <w:spacing w:after="0" w:line="22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profit margins vary due to a number of factors, which may include customer demand and shipment volume; our manufacturing processes; product mix; inventory levels; tariffs; freight costs; and new accounting pronouncements or changes in existing accounting practices or standards. In addition, we operate in a highly competitive market environment that might adversely affect pricing for our products. Because we own much of our manufacturing capacity, a significant portion of our operating costs is fixed. In general, these fixed costs do not decline with reductions in customer demand or factory loadings, and can adversely affect profit margins as a result.</w:t>
      </w:r>
    </w:p>
    <w:p>
      <w:pPr>
        <w:spacing w:after="0" w:line="205"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pacing w:after="0" w:line="19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continued success depends in part on the retention and recruitment of skilled personnel, as well as the effective management of succession for key employees. Skilled and experienced personnel in our industry, including engineering, management, marketing, technical and staff personnel, are in high demand and competition for their talents is intense. There can be no assurance that we will be able to successfully retain and recruit the key engineering, management and technical personnel that we require to execute our business strategy. Our ability to recruit internationally or deploy employees to various locations may be limited by immigration laws and policies, including changes to, or the administration or interpretation of, those laws and policies.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could be affected by the complex laws, rules and regulations to which our business is subject.</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subject to complex laws, rules and regulations affecting our domestic and international operations relating to, for example, the environment and climate change; safety; health; trade; bribery and corruption; financial reporting; tax; data privacy and protection; labor and employment; competition; market access; epidemics; intellectual property ownership and infringement; and the movement of currency. Compliance with these laws, rules and regulations may be onerous and expensive and could restrict our ability to manufacture or ship our products and operate our business. If we do not comply or if we become subject to enforcement activity, we could be subject to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3" w:right="419" w:bottom="1440" w:gutter="0" w:footer="0" w:header="0"/>
        </w:sectPr>
      </w:pPr>
    </w:p>
    <w:bookmarkStart w:id="12" w:name="page13"/>
    <w:bookmarkEnd w:id="12"/>
    <w:p>
      <w:pPr>
        <w:ind w:right="180"/>
        <w:spacing w:after="0" w:line="254" w:lineRule="auto"/>
        <w:rPr>
          <w:sz w:val="20"/>
          <w:szCs w:val="20"/>
          <w:color w:val="auto"/>
        </w:rPr>
      </w:pPr>
      <w:r>
        <w:rPr>
          <w:rFonts w:ascii="Arial" w:cs="Arial" w:eastAsia="Arial" w:hAnsi="Arial"/>
          <w:sz w:val="18"/>
          <w:szCs w:val="18"/>
          <w:color w:val="auto"/>
        </w:rPr>
        <w:t>Increased focus from government authorities, investors, customers and other key stakeholders on environmental, social and governance (ESG) matters has led to new and more stringent reporting standards and disclosure requirements. As the nature, scope and complexity of ESG reporting, diligence and disclosure requirements expand, we might have to undertake costly efforts to control, assess and report on ESG metrics.</w:t>
      </w:r>
    </w:p>
    <w:p>
      <w:pPr>
        <w:spacing w:after="0" w:line="20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material or process might not be available, or might not be available at reasonable cost.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 rate to increase, including a change in the jurisdictions in which our profits are earned and taxed; a change in the mix of profits from those jurisdictions; changes in available tax credits or deductions, including for amounts relating to stock compensation; changes in applicable tax rates; changes in tariff regulations or surcharges; changes in accounting principles; or adverse resolution of audits by taxing authorities. We have deferred tax assets on our balance sheet. Changes in applicable tax laws and regulations or in our business performance could affect our ability to realize those deferred tax assets, which could also affect our results of operations.</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we are subject to laws and regulations in various jurisdictions that determine how much profit has been earned and when it is subject to taxation in that jurisdiction. These laws and regulations can be complex and subject to interpretation. Changes in these laws and regulations, including those that align with the Organisation for Economic Cooperation and Development’s Base Erosion and Profit Shifting recommendations, could affect the locations where we are deemed to earn income, which could in turn affect our results of operations. Each quarter we forecast our tax expense based on our forecast of our performance for the year. If that performance forecast changes, our forecasted tax expense will change.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maintain freedom of operation.</w:t>
      </w:r>
    </w:p>
    <w:p>
      <w:pPr>
        <w:spacing w:after="0" w:line="22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Access to worldwide markets depends in part on the continued strength of our intellectual property portfolio in all jurisdictions where we conduct business. There can be no assurance that, as our business evolves, we will obtain the necessary intellectual property rights, or that we will be able to independently develop the technology, software or know-how necessary to conduct our business or that we can do so without infringing the intellectual property rights of others. To the extent that we have to rely on technology from others for which a license is required, there can be no assurance that we will be able to obtain such a license at all or on terms we consider reasonable. We, directly and indirectly, face infringement claims from third parties, including non-practicing entities that have acquired patents to pursue enforcement actions against other companies. We also face infringement claims where we or our customers make, use or sell products and where the intellectual property laws may be less established or less predictable. These assertions, whether or not of any merit,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2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actively enforce and protect our own intellectual property rights. However, our efforts cannot prevent all misappropriation or improper use of our protected technology and information, including, for example, third parties’ use of our patented or copyrighted technology, or our trade secrets in their products without the right to do so, or third parties’ sale of counterfeit products bearing our trademark. The risk of unfair copying or cloning may impede our ability to sell our products. The laws of countries where we operate may not protect our intellectual property rights to the same extent as U.S.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related to our financing activities and other risks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our other risk factors, many of which are beyond our control. In addition, our obligation to make principal and interest payments could divert funds that otherwise might be invested in our operations or returned to shareholders, or could cause us to raise funds by, for example, issuing new debt or equity or selling assets.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and liquidity could be affected by changes in the financial markets.</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maintain bank accounts, a portfolio of investments, access to one or more multiyear revolving credit agreements and the ability to issue debt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impairments of our goodwill could adversely affect our results of operations.</w:t>
      </w:r>
    </w:p>
    <w:p>
      <w:pPr>
        <w:spacing w:after="0" w:line="22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We have a significant amount of goodwill on our consolidated balance sheet. Charges associated with impairments of goodwill could adversely affect our financial condition and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Properties</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Analog</w:t>
            </w:r>
          </w:p>
        </w:tc>
        <w:tc>
          <w:tcPr>
            <w:tcW w:w="120" w:type="dxa"/>
            <w:vAlign w:val="bottom"/>
            <w:vMerge w:val="restart"/>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Embedded</w:t>
            </w:r>
          </w:p>
        </w:tc>
        <w:tc>
          <w:tcPr>
            <w:tcW w:w="0" w:type="dxa"/>
            <w:vAlign w:val="bottom"/>
          </w:tcPr>
          <w:p>
            <w:pPr>
              <w:spacing w:after="0"/>
              <w:rPr>
                <w:sz w:val="1"/>
                <w:szCs w:val="1"/>
                <w:color w:val="auto"/>
              </w:rPr>
            </w:pPr>
          </w:p>
        </w:tc>
      </w:tr>
      <w:tr>
        <w:trPr>
          <w:trHeight w:val="175"/>
        </w:trPr>
        <w:tc>
          <w:tcPr>
            <w:tcW w:w="8700" w:type="dxa"/>
            <w:vAlign w:val="bottom"/>
            <w:tcBorders>
              <w:bottom w:val="single" w:sz="8" w:color="DBDBDB"/>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DBDBDB"/>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Processing</w:t>
            </w:r>
          </w:p>
        </w:tc>
        <w:tc>
          <w:tcPr>
            <w:tcW w:w="0" w:type="dxa"/>
            <w:vAlign w:val="bottom"/>
          </w:tcPr>
          <w:p>
            <w:pPr>
              <w:spacing w:after="0"/>
              <w:rPr>
                <w:sz w:val="1"/>
                <w:szCs w:val="1"/>
                <w:color w:val="auto"/>
              </w:rPr>
            </w:pPr>
          </w:p>
        </w:tc>
      </w:tr>
      <w:tr>
        <w:trPr>
          <w:trHeight w:val="223"/>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North Texas (Dallas, Richardson and Sherman)</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Lehi, Utah</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Houston, Texas</w:t>
            </w:r>
          </w:p>
        </w:tc>
        <w:tc>
          <w:tcPr>
            <w:tcW w:w="1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Tucson, Arizona</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Santa Clara, California</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South Portland, Maine</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Chengdu, China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Shanghai, China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Freising, Germany</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Bangalore, India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Aizu, Japan</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Miho, Japan</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Kuala Lumpur, Malaysia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Melaka, Malaysia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Aguascalientes, Mexico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Baguio, Philippines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Pampanga (Clark), Philippines †</w:t>
            </w:r>
          </w:p>
        </w:tc>
        <w:tc>
          <w:tcPr>
            <w:tcW w:w="13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Taipei, Taiwan †</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Leased.</w:t>
      </w:r>
    </w:p>
    <w:p>
      <w:pPr>
        <w:spacing w:after="0" w:line="23" w:lineRule="exact"/>
        <w:rPr>
          <w:sz w:val="20"/>
          <w:szCs w:val="20"/>
          <w:color w:val="auto"/>
        </w:rPr>
      </w:pPr>
    </w:p>
    <w:p>
      <w:pPr>
        <w:ind w:left="720" w:hanging="69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Portions of the facilities are leased and owned. This may include land leases.</w:t>
      </w:r>
    </w:p>
    <w:p>
      <w:pPr>
        <w:spacing w:after="0" w:line="30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Our facilities in the United States contained approximately 14.9 million square feet at December 31, 2021, of which approximately 0.3 million square feet were leased. Our facilities outside the United States contained approximately 10.2 million square feet at December 31, 2021, of which approximately 1.5 million square feet were leased.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2021, we occupied substantially all of the space in our facilities.</w:t>
      </w:r>
    </w:p>
    <w:p>
      <w:pPr>
        <w:spacing w:after="0" w:line="22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five years. We believe our current properties are suitable and adequate for their intended purpose.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4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TI common stock is quoted on The Nasdaq Global Select Market under the ticker symbol TXN. At December 31, 2021, we had 12,151 stockholders of record.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fourth quarter of 2021.</w:t>
      </w:r>
    </w:p>
    <w:p>
      <w:pPr>
        <w:sectPr>
          <w:pgSz w:w="11900" w:h="16838" w:orient="portrait"/>
          <w:cols w:equalWidth="0" w:num="1">
            <w:col w:w="11200"/>
          </w:cols>
          <w:pgMar w:left="320" w:top="1197" w:right="379"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Total Number of Shares</w:t>
            </w:r>
          </w:p>
        </w:tc>
        <w:tc>
          <w:tcPr>
            <w:tcW w:w="1160" w:type="dxa"/>
            <w:vAlign w:val="bottom"/>
          </w:tcPr>
          <w:p>
            <w:pPr>
              <w:jc w:val="center"/>
              <w:ind w:left="68"/>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76"/>
        </w:trPr>
        <w:tc>
          <w:tcPr>
            <w:tcW w:w="2360" w:type="dxa"/>
            <w:vAlign w:val="bottom"/>
            <w:vMerge w:val="continue"/>
          </w:tcPr>
          <w:p>
            <w:pPr>
              <w:spacing w:after="0"/>
              <w:rPr>
                <w:sz w:val="15"/>
                <w:szCs w:val="15"/>
                <w:color w:val="auto"/>
              </w:rPr>
            </w:pP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Purchased</w:t>
            </w:r>
          </w:p>
        </w:tc>
        <w:tc>
          <w:tcPr>
            <w:tcW w:w="1160" w:type="dxa"/>
            <w:vAlign w:val="bottom"/>
          </w:tcPr>
          <w:p>
            <w:pPr>
              <w:jc w:val="center"/>
              <w:ind w:left="68"/>
              <w:spacing w:after="0"/>
              <w:rPr>
                <w:sz w:val="20"/>
                <w:szCs w:val="20"/>
                <w:color w:val="auto"/>
              </w:rPr>
            </w:pPr>
            <w:r>
              <w:rPr>
                <w:rFonts w:ascii="Arial" w:cs="Arial" w:eastAsia="Arial" w:hAnsi="Arial"/>
                <w:sz w:val="14"/>
                <w:szCs w:val="14"/>
                <w:b w:val="1"/>
                <w:bCs w:val="1"/>
                <w:color w:val="auto"/>
              </w:rPr>
              <w:t>Paid 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jc w:val="center"/>
              <w:ind w:right="28"/>
              <w:spacing w:after="0"/>
              <w:rPr>
                <w:sz w:val="20"/>
                <w:szCs w:val="20"/>
                <w:color w:val="auto"/>
              </w:rPr>
            </w:pPr>
            <w:r>
              <w:rPr>
                <w:rFonts w:ascii="Arial" w:cs="Arial" w:eastAsia="Arial" w:hAnsi="Arial"/>
                <w:sz w:val="14"/>
                <w:szCs w:val="14"/>
                <w:b w:val="1"/>
                <w:bCs w:val="1"/>
                <w:color w:val="auto"/>
              </w:rPr>
              <w:t>Total Number of Shares</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1700" w:type="dxa"/>
            <w:vAlign w:val="bottom"/>
          </w:tcPr>
          <w:p>
            <w:pPr>
              <w:jc w:val="center"/>
              <w:ind w:right="28"/>
              <w:spacing w:after="0"/>
              <w:rPr>
                <w:sz w:val="20"/>
                <w:szCs w:val="20"/>
                <w:color w:val="auto"/>
              </w:rPr>
            </w:pPr>
            <w:r>
              <w:rPr>
                <w:rFonts w:ascii="Arial" w:cs="Arial" w:eastAsia="Arial" w:hAnsi="Arial"/>
                <w:sz w:val="14"/>
                <w:szCs w:val="14"/>
                <w:b w:val="1"/>
                <w:bCs w:val="1"/>
                <w:color w:val="auto"/>
              </w:rPr>
              <w:t>Purchased as Part of</w:t>
            </w:r>
          </w:p>
        </w:tc>
        <w:tc>
          <w:tcPr>
            <w:tcW w:w="1960" w:type="dxa"/>
            <w:vAlign w:val="bottom"/>
          </w:tcPr>
          <w:p>
            <w:pPr>
              <w:jc w:val="center"/>
              <w:ind w:left="8"/>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1700" w:type="dxa"/>
            <w:vAlign w:val="bottom"/>
          </w:tcPr>
          <w:p>
            <w:pPr>
              <w:jc w:val="center"/>
              <w:ind w:right="48"/>
              <w:spacing w:after="0"/>
              <w:rPr>
                <w:sz w:val="20"/>
                <w:szCs w:val="20"/>
                <w:color w:val="auto"/>
              </w:rPr>
            </w:pPr>
            <w:r>
              <w:rPr>
                <w:rFonts w:ascii="Arial" w:cs="Arial" w:eastAsia="Arial" w:hAnsi="Arial"/>
                <w:sz w:val="14"/>
                <w:szCs w:val="14"/>
                <w:b w:val="1"/>
                <w:bCs w:val="1"/>
                <w:color w:val="auto"/>
              </w:rPr>
              <w:t>Publicly Announced</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auto"/>
              </w:rPr>
              <w:t>Purchased Under the Plans</w:t>
            </w:r>
          </w:p>
        </w:tc>
      </w:tr>
      <w:tr>
        <w:trPr>
          <w:trHeight w:val="190"/>
        </w:trPr>
        <w:tc>
          <w:tcPr>
            <w:tcW w:w="1700" w:type="dxa"/>
            <w:vAlign w:val="bottom"/>
          </w:tcPr>
          <w:p>
            <w:pPr>
              <w:jc w:val="center"/>
              <w:ind w:right="48"/>
              <w:spacing w:after="0"/>
              <w:rPr>
                <w:sz w:val="20"/>
                <w:szCs w:val="20"/>
                <w:color w:val="auto"/>
              </w:rPr>
            </w:pPr>
            <w:r>
              <w:rPr>
                <w:rFonts w:ascii="Arial" w:cs="Arial" w:eastAsia="Arial" w:hAnsi="Arial"/>
                <w:sz w:val="14"/>
                <w:szCs w:val="14"/>
                <w:b w:val="1"/>
                <w:bCs w:val="1"/>
                <w:color w:val="auto"/>
              </w:rPr>
              <w:t>Plans or Programs (a)</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auto"/>
              </w:rPr>
              <w:t>or Programs (a)</w:t>
            </w:r>
          </w:p>
        </w:tc>
      </w:tr>
    </w:tbl>
    <w:p>
      <w:pPr>
        <w:spacing w:after="0" w:line="13" w:lineRule="exact"/>
        <w:rPr>
          <w:sz w:val="20"/>
          <w:szCs w:val="20"/>
          <w:color w:val="auto"/>
        </w:rPr>
      </w:pPr>
    </w:p>
    <w:p>
      <w:pPr>
        <w:sectPr>
          <w:pgSz w:w="11900" w:h="16838" w:orient="portrait"/>
          <w:cols w:equalWidth="0" w:num="2">
            <w:col w:w="7200" w:space="300"/>
            <w:col w:w="3700"/>
          </w:cols>
          <w:pgMar w:left="320" w:top="1197" w:right="3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1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October 1, 2021 through October 31, 2021</w:t>
            </w:r>
          </w:p>
        </w:tc>
        <w:tc>
          <w:tcPr>
            <w:tcW w:w="120" w:type="dxa"/>
            <w:vAlign w:val="bottom"/>
            <w:tcBorders>
              <w:top w:val="single" w:sz="8" w:color="DBDBDB"/>
            </w:tcBorders>
            <w:shd w:val="clear" w:color="auto" w:fill="DBDBDB"/>
          </w:tcPr>
          <w:p>
            <w:pPr>
              <w:spacing w:after="0"/>
              <w:rPr>
                <w:sz w:val="19"/>
                <w:szCs w:val="19"/>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109,100</w:t>
            </w:r>
          </w:p>
        </w:tc>
        <w:tc>
          <w:tcPr>
            <w:tcW w:w="4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187.94</w:t>
            </w:r>
          </w:p>
        </w:tc>
        <w:tc>
          <w:tcPr>
            <w:tcW w:w="4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109,100</w:t>
            </w:r>
          </w:p>
        </w:tc>
        <w:tc>
          <w:tcPr>
            <w:tcW w:w="12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10.23</w:t>
            </w:r>
          </w:p>
        </w:tc>
        <w:tc>
          <w:tcPr>
            <w:tcW w:w="1080" w:type="dxa"/>
            <w:vAlign w:val="bottom"/>
            <w:tcBorders>
              <w:top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billion</w:t>
            </w: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November 1, 2021 through November 30, 2021</w:t>
            </w:r>
          </w:p>
        </w:tc>
        <w:tc>
          <w:tcPr>
            <w:tcW w:w="1260" w:type="dxa"/>
            <w:vAlign w:val="bottom"/>
          </w:tcPr>
          <w:p>
            <w:pPr>
              <w:jc w:val="right"/>
              <w:spacing w:after="0"/>
              <w:rPr>
                <w:sz w:val="20"/>
                <w:szCs w:val="20"/>
                <w:color w:val="auto"/>
              </w:rPr>
            </w:pPr>
            <w:r>
              <w:rPr>
                <w:rFonts w:ascii="Arial" w:cs="Arial" w:eastAsia="Arial" w:hAnsi="Arial"/>
                <w:sz w:val="18"/>
                <w:szCs w:val="18"/>
                <w:color w:val="auto"/>
              </w:rPr>
              <w:t>364,797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190.55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351,373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10.16</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w:t>
            </w:r>
          </w:p>
        </w:tc>
      </w:tr>
      <w:tr>
        <w:trPr>
          <w:trHeight w:val="229"/>
        </w:trPr>
        <w:tc>
          <w:tcPr>
            <w:tcW w:w="42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December 1, 2021 through December 31, 2021</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314,834</w:t>
            </w:r>
          </w:p>
        </w:tc>
        <w:tc>
          <w:tcPr>
            <w:tcW w:w="44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190.89</w:t>
            </w:r>
          </w:p>
        </w:tc>
        <w:tc>
          <w:tcPr>
            <w:tcW w:w="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314,834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10.10</w:t>
            </w:r>
          </w:p>
        </w:tc>
        <w:tc>
          <w:tcPr>
            <w:tcW w:w="1080" w:type="dxa"/>
            <w:vAlign w:val="bottom"/>
            <w:shd w:val="clear" w:color="auto" w:fill="DBDBDB"/>
          </w:tcPr>
          <w:p>
            <w:pPr>
              <w:ind w:left="40"/>
              <w:spacing w:after="0"/>
              <w:rPr>
                <w:sz w:val="20"/>
                <w:szCs w:val="20"/>
                <w:color w:val="auto"/>
              </w:rPr>
            </w:pPr>
            <w:r>
              <w:rPr>
                <w:rFonts w:ascii="Arial" w:cs="Arial" w:eastAsia="Arial" w:hAnsi="Arial"/>
                <w:sz w:val="18"/>
                <w:szCs w:val="18"/>
                <w:color w:val="auto"/>
              </w:rPr>
              <w:t>billion</w:t>
            </w:r>
          </w:p>
        </w:tc>
      </w:tr>
      <w:tr>
        <w:trPr>
          <w:trHeight w:val="22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788,731</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190.33</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775,307</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10.10</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 (c)</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right="320" w:hanging="332"/>
        <w:spacing w:after="0" w:line="261"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$12.0 billion of additional shares of TI common stock announced September 20, 2018.</w:t>
      </w:r>
    </w:p>
    <w:p>
      <w:pPr>
        <w:spacing w:after="0" w:line="89" w:lineRule="exact"/>
        <w:rPr>
          <w:rFonts w:ascii="Arial" w:cs="Arial" w:eastAsia="Arial" w:hAnsi="Arial"/>
          <w:sz w:val="18"/>
          <w:szCs w:val="18"/>
          <w:color w:val="auto"/>
        </w:rPr>
      </w:pPr>
    </w:p>
    <w:p>
      <w:pPr>
        <w:ind w:left="340" w:right="640" w:hanging="332"/>
        <w:spacing w:after="0" w:line="261"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open-market purchases, 13,424 shares of common stock were surrendered by employees to satisfy tax withholding obligations in connection with the vesting of restricted stock units.</w:t>
      </w:r>
    </w:p>
    <w:p>
      <w:pPr>
        <w:spacing w:after="0" w:line="89" w:lineRule="exact"/>
        <w:rPr>
          <w:rFonts w:ascii="Arial" w:cs="Arial" w:eastAsia="Arial" w:hAnsi="Arial"/>
          <w:sz w:val="18"/>
          <w:szCs w:val="18"/>
          <w:color w:val="auto"/>
        </w:rPr>
      </w:pPr>
    </w:p>
    <w:p>
      <w:pPr>
        <w:ind w:left="340" w:right="760" w:hanging="332"/>
        <w:spacing w:after="0" w:line="261"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December 31, 2021, this amount consisted of the remaining portion of the $12.0 billion authorized in September 2018. No expiration date has been specified for this authorization.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 longer required per the amendments to Regulation S-K that eliminate Item 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Technology is the foundation of our company, but ultimately, our objective and the best metric to measure progress and generate long-term value for owners is the growth of free cash flow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free cash flow per share growth has three elements:</w:t>
      </w:r>
    </w:p>
    <w:p>
      <w:pPr>
        <w:spacing w:after="0" w:line="225" w:lineRule="exact"/>
        <w:rPr>
          <w:sz w:val="20"/>
          <w:szCs w:val="20"/>
          <w:color w:val="auto"/>
        </w:rPr>
      </w:pPr>
    </w:p>
    <w:p>
      <w:pPr>
        <w:ind w:left="660" w:right="120" w:hanging="328"/>
        <w:spacing w:after="0" w:line="261"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980" w:right="20" w:hanging="324"/>
        <w:spacing w:after="0" w:line="261" w:lineRule="auto"/>
        <w:tabs>
          <w:tab w:leader="none" w:pos="975" w:val="left"/>
        </w:tabs>
        <w:numPr>
          <w:ilvl w:val="1"/>
          <w:numId w:val="6"/>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89" w:lineRule="exact"/>
        <w:rPr>
          <w:rFonts w:ascii="Arial" w:cs="Arial" w:eastAsia="Arial" w:hAnsi="Arial"/>
          <w:sz w:val="18"/>
          <w:szCs w:val="18"/>
          <w:color w:val="auto"/>
        </w:rPr>
      </w:pPr>
    </w:p>
    <w:p>
      <w:pPr>
        <w:jc w:val="both"/>
        <w:ind w:left="980" w:right="740" w:hanging="324"/>
        <w:spacing w:after="0" w:line="291" w:lineRule="auto"/>
        <w:tabs>
          <w:tab w:leader="none" w:pos="974"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65" w:lineRule="exact"/>
        <w:rPr>
          <w:rFonts w:ascii="Arial" w:cs="Arial" w:eastAsia="Arial" w:hAnsi="Arial"/>
          <w:sz w:val="17"/>
          <w:szCs w:val="17"/>
          <w:color w:val="auto"/>
        </w:rPr>
      </w:pPr>
    </w:p>
    <w:p>
      <w:pPr>
        <w:ind w:left="980" w:right="320" w:hanging="324"/>
        <w:spacing w:after="0" w:line="261" w:lineRule="auto"/>
        <w:tabs>
          <w:tab w:leader="none" w:pos="957" w:val="left"/>
        </w:tabs>
        <w:numPr>
          <w:ilvl w:val="1"/>
          <w:numId w:val="6"/>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90" w:lineRule="exact"/>
        <w:rPr>
          <w:sz w:val="20"/>
          <w:szCs w:val="20"/>
          <w:color w:val="auto"/>
        </w:rPr>
      </w:pPr>
    </w:p>
    <w:p>
      <w:pPr>
        <w:ind w:left="660"/>
        <w:spacing w:after="0" w:line="256"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94" w:lineRule="exact"/>
        <w:rPr>
          <w:sz w:val="20"/>
          <w:szCs w:val="20"/>
          <w:color w:val="auto"/>
        </w:rPr>
      </w:pPr>
    </w:p>
    <w:p>
      <w:pPr>
        <w:ind w:left="660" w:right="640" w:hanging="328"/>
        <w:spacing w:after="0" w:line="261"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89"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20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98" w:lineRule="exact"/>
        <w:rPr>
          <w:sz w:val="20"/>
          <w:szCs w:val="20"/>
          <w:color w:val="auto"/>
        </w:rPr>
      </w:pPr>
    </w:p>
    <w:p>
      <w:pPr>
        <w:ind w:left="660" w:right="8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980" w:right="560" w:hanging="324"/>
        <w:spacing w:after="0" w:line="261" w:lineRule="auto"/>
        <w:tabs>
          <w:tab w:leader="none" w:pos="976" w:val="left"/>
        </w:tabs>
        <w:numPr>
          <w:ilvl w:val="1"/>
          <w:numId w:val="8"/>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89" w:lineRule="exact"/>
        <w:rPr>
          <w:rFonts w:ascii="Arial" w:cs="Arial" w:eastAsia="Arial" w:hAnsi="Arial"/>
          <w:sz w:val="18"/>
          <w:szCs w:val="18"/>
          <w:color w:val="auto"/>
        </w:rPr>
      </w:pPr>
    </w:p>
    <w:p>
      <w:pPr>
        <w:ind w:left="980" w:right="140" w:hanging="324"/>
        <w:spacing w:after="0" w:line="261" w:lineRule="auto"/>
        <w:tabs>
          <w:tab w:leader="none" w:pos="976" w:val="left"/>
        </w:tabs>
        <w:numPr>
          <w:ilvl w:val="1"/>
          <w:numId w:val="8"/>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89" w:lineRule="exact"/>
        <w:rPr>
          <w:rFonts w:ascii="Arial" w:cs="Arial" w:eastAsia="Arial" w:hAnsi="Arial"/>
          <w:sz w:val="18"/>
          <w:szCs w:val="18"/>
          <w:color w:val="auto"/>
        </w:rPr>
      </w:pPr>
    </w:p>
    <w:p>
      <w:pPr>
        <w:ind w:left="980" w:right="240" w:hanging="324"/>
        <w:spacing w:after="0" w:line="261" w:lineRule="auto"/>
        <w:tabs>
          <w:tab w:leader="none" w:pos="976" w:val="left"/>
        </w:tabs>
        <w:numPr>
          <w:ilvl w:val="1"/>
          <w:numId w:val="8"/>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7" w:name="page18"/>
    <w:bookmarkEnd w:id="17"/>
    <w:p>
      <w:pPr>
        <w:ind w:left="980" w:right="60" w:hanging="324"/>
        <w:spacing w:after="0" w:line="254"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results of operations provides details of our financial results for 2021 and 2020 and year-to-year comparisons between 2021 and 2020. Discussion of 2019 items and year-to-year comparisons between 2020 and 2019 that are not included in this Form 10-K can be found in “Management’s discussion and analysis of financial condition and results of operations” in Part II, Item 7 of the Company’s Annual Report on Form 10-K for the year ended December 31, 2020.</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coronavirus (COVID-19) pandemic and its effects are impacting and will likely continue to impact market conditions and business operations across industries worldwide, including at TI. Therefore, we remain cautious about how the economy might behave for the next few years and continue to monitor potential impact on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strategic focus is on analog and embedded processing products sold into six end markets: industrial, automotive, personal electronics, communications equipment, enterprise systems and other. While all end markets represent good opportunities, we place additional strategic emphasis on designing and selling those products into the industrial and automotive markets, which we believe represent the best growth opportunities. Gross margin of 67.5% reflected the quality of our product portfolio, as well as the efficiency of our manufacturing strategy, including the benefit of 300-millimeter production.</w:t>
      </w:r>
    </w:p>
    <w:p>
      <w:pPr>
        <w:spacing w:after="0" w:line="202"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Our focus on analog and embedded processing allows us to generate strong cash flow from operations. Our cash flow from operations of $8.76 billion underscored the strength of our business model. Free cash flow was $6.29 billion and represented 34.3% of revenue. During 2021, we returned $4.41 billion to shareholders through dividends and stock repurchases. Over the same period, our dividend represented 62% of free cash flow, underscoring its sustainability.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2021 compared with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$18.34 billion increased $3.88 billion, or 27%, due to higher revenue from Analog and, to a lesser extent, Embedded Processing.</w:t>
      </w:r>
    </w:p>
    <w:p>
      <w:pPr>
        <w:spacing w:after="0" w:line="225"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Gross profit of $12.38 billion was up $3.11 billion, or 34%, primarily due to higher revenue. As a percentage of revenue, gross profit increased to 67.5% from 64.1%.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$3.22 billion compared with $3.15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$142 million compared with $198 million and were non-cash.</w:t>
      </w:r>
    </w:p>
    <w:p>
      <w:pPr>
        <w:spacing w:after="0" w:line="22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Restructuring charges/other was $54 million due to integration charges at our Lehi, Utah, manufacturing facility partially offset by gains on sales of assets, compared with $24 million due to an Embedded Processing action in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$8.96 billion, or 48.8% of revenue, compared with $5.89 billion, or 40.8% of revenue.</w:t>
      </w:r>
    </w:p>
    <w:p>
      <w:pPr>
        <w:spacing w:after="0" w:line="22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Other income and expense (OI&amp;E) was $ 143 million of income compared with $313 million of income, which decreased primarily due to lower royalty income. See Note 11 to the financial statements.</w:t>
      </w:r>
    </w:p>
    <w:p>
      <w:pPr>
        <w:spacing w:after="0" w:line="19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provision for income taxes was $1.15 billion compared with $422 million. This increase was due to higher income before income taxes and lower discrete tax benefits compared to 2020, which included a $249 million benefit from the settlement of a depreciation-related uncertain tax position.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 w:name="page19"/>
    <w:bookmarkEnd w:id="18"/>
    <w:p>
      <w:pPr>
        <w:ind w:right="260"/>
        <w:spacing w:after="0" w:line="256" w:lineRule="auto"/>
        <w:rPr>
          <w:sz w:val="20"/>
          <w:szCs w:val="20"/>
          <w:color w:val="auto"/>
        </w:rPr>
      </w:pPr>
      <w:r>
        <w:rPr>
          <w:rFonts w:ascii="Arial" w:cs="Arial" w:eastAsia="Arial" w:hAnsi="Arial"/>
          <w:sz w:val="18"/>
          <w:szCs w:val="18"/>
          <w:color w:val="auto"/>
        </w:rPr>
        <w:t>Our annual operating tax rate, which does not include discrete tax items, was 14% in both periods. We use “annual operating tax rate” to describe the estimated annual effective tax rate. Our effective tax rate, which includes discrete tax items, was 13% in 2021 compared with 7% in 2020. See Note 4 to the financial statements for a reconciliation of the U.S. statutory corporate tax rate to our effective tax 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$7.77 billion compared with $5.60 billion. EPS was $8.26 compared with $5.97.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 – 2021 compared with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6"/>
                <w:szCs w:val="16"/>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3"/>
        </w:trPr>
        <w:tc>
          <w:tcPr>
            <w:tcW w:w="6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14,050</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10,886</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7,393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6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52.6 %</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45.1 %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310"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Analog revenue increased in both product lines, led by Signal Chain. Operating profit increased primarily due to higher revenue and associated gross profit.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6"/>
                <w:szCs w:val="16"/>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3"/>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3,049</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1,174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38.5 %</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Operating profit increased primarily due to higher revenue and associated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6"/>
                <w:szCs w:val="16"/>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r>
      <w:tr>
        <w:trPr>
          <w:trHeight w:val="223"/>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1,245</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30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29"/>
        </w:trPr>
        <w:tc>
          <w:tcPr>
            <w:tcW w:w="6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31.6 %</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23.8 %</w:t>
            </w: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$240 million, and operating profit increased $154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the end of 2021, total cash (cash and cash equivalents plus short-term investments) was $9.74 billion, an increase of $3.17 billion from the end of 2020.</w:t>
      </w:r>
    </w:p>
    <w:p>
      <w:pPr>
        <w:spacing w:after="0" w:line="19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Accounts receivable were $1.70 billion, an increase of $287 million compared with the end of 2020. Days sales outstanding at the end of 2021 were 32 compared with 31 at the end of 2020.</w:t>
      </w:r>
    </w:p>
    <w:p>
      <w:pPr>
        <w:spacing w:after="0" w:line="19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Inventory was $1.91 billion, a decrease of $45 million from the end of 2020. Days of inventory at the end of 2021 were 116 compared with 123 at the end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access to debt markets. We also have a variable rate, revolving credit facility. As of December 31, 2021, our credit facility was undrawn, and we had no commercial paper outstanding. Cash flows from operating activities for 2021 were $8.76 billion, an increase of $2.62 billion due to higher net income and lower cash used for working capital.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9" w:name="page20"/>
    <w:bookmarkEnd w:id="19"/>
    <w:p>
      <w:pPr>
        <w:ind w:right="160"/>
        <w:spacing w:after="0" w:line="225" w:lineRule="auto"/>
        <w:rPr>
          <w:sz w:val="20"/>
          <w:szCs w:val="20"/>
          <w:color w:val="auto"/>
        </w:rPr>
      </w:pPr>
      <w:r>
        <w:rPr>
          <w:rFonts w:ascii="Arial" w:cs="Arial" w:eastAsia="Arial" w:hAnsi="Arial"/>
          <w:sz w:val="18"/>
          <w:szCs w:val="18"/>
          <w:color w:val="auto"/>
        </w:rPr>
        <w:t>Investing activities for 2021 used $4.10 billion compared with $922 million in 2020. Capital expenditures were $2.46 billion compared with $649 million in 2020 and were primarily for semiconductor manufacturing equipment and facilities in both periods, including the purchase of our 300-millimeter semiconductor factory in Lehi, Utah, during 2021. As we continue to invest to strengthen our competitive advantage in manufacturing and technology as part of our long-term capacity planning, we expect our capital expenditures to be higher than historical levels. Short-term investments used cash of $1.65 billion in 2021 compared with $241 million in 2020.</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Financing activities for 2021 used $3.14 billion compared with $4.55 billion in 2020. In 2021, we received net proceeds of $1.50 billion from the issuance of fixed-rate, long-term debt and retired maturing debt of $550 million. In 2020, we received net proceeds of $1.50 billion from the issuance of fixed-rate, long-term debt and retired maturing debt of $500 million. Dividends paid in 2021 were $ 3.89 billion compared with $3.43 billion in 2020, reflecting an increased dividend rate. We used $527 million to repurchase 2.9 million shares of our common stock compared with $2.55 billion used in 2020 to repurchase 23.4 million shares. Employee exercises of stock options provided cash proceeds of $377 million compared with $470 million in 2020.</w:t>
      </w:r>
    </w:p>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had $4.63 billion of cash and cash equivalents and $5.11 billion of short-term investments as of December 31, 2021. We believe we have the necessary financial resources and operating plans to fund our working capital needs, capital expenditures, dividend and debt-related payments and other business requirements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20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For Years Ended December 31,</w:t>
            </w:r>
          </w:p>
        </w:tc>
      </w:tr>
      <w:tr>
        <w:trPr>
          <w:trHeight w:val="183"/>
        </w:trPr>
        <w:tc>
          <w:tcPr>
            <w:tcW w:w="808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3"/>
        </w:trPr>
        <w:tc>
          <w:tcPr>
            <w:tcW w:w="8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8,756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6,139</w:t>
            </w:r>
          </w:p>
        </w:tc>
      </w:tr>
      <w:tr>
        <w:trPr>
          <w:trHeight w:val="230"/>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(2,462)</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(649)</w:t>
            </w:r>
          </w:p>
        </w:tc>
      </w:tr>
      <w:tr>
        <w:trPr>
          <w:trHeight w:val="248"/>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6,294</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color w:val="auto"/>
              </w:rPr>
              <w:t>5,490</w:t>
            </w: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r>
        <w:trPr>
          <w:trHeight w:val="204"/>
        </w:trPr>
        <w:tc>
          <w:tcPr>
            <w:tcW w:w="80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48"/>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18,344</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ind w:right="153"/>
              <w:spacing w:after="0"/>
              <w:rPr>
                <w:sz w:val="20"/>
                <w:szCs w:val="20"/>
                <w:color w:val="auto"/>
              </w:rPr>
            </w:pPr>
            <w:r>
              <w:rPr>
                <w:rFonts w:ascii="Arial" w:cs="Arial" w:eastAsia="Arial" w:hAnsi="Arial"/>
                <w:sz w:val="18"/>
                <w:szCs w:val="18"/>
                <w:color w:val="auto"/>
              </w:rPr>
              <w:t>14,461</w:t>
            </w: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8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8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47.7 %</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42.5 %</w:t>
            </w:r>
          </w:p>
        </w:tc>
      </w:tr>
      <w:tr>
        <w:trPr>
          <w:trHeight w:val="239"/>
        </w:trPr>
        <w:tc>
          <w:tcPr>
            <w:tcW w:w="808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38.0 %</w:t>
            </w:r>
          </w:p>
        </w:tc>
      </w:tr>
    </w:tbl>
    <w:p>
      <w:pPr>
        <w:spacing w:after="0" w:line="30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accounting policies are more fully described in Note 2 of the consolidated financial statements. As disclosed in Note 2, the preparation of consolidated financial statements in conformity with U.S. GAAP requires management to make estimates and assumptions about future events that affect the amounts reported in the financial statements and accompanying notes. However, based on facts and circumstances inherent in developing estimates and assumptions, management believes it is unlikely that applying other estimates and assumptions would have a material impact on the financial statements. We consider the following accounting policies to be those that are most important to the portrayal of our financial condition and that require a higher degree of judgment.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interpretation and application of complex tax laws, and significant judgment is necessary to (i) determine whether, based on the technical merits, a tax position is more likely than not to be sustained and (ii) measure the amount of tax benefit that qualifies for recognition. We recognize potential liabilities for anticipated tax audit issues in the United States and other tax jurisdictions based on an estimate of the ultimate resolution of whether, and the extent to which, additional taxes will be due. Although we believe the estimates are reasonable, no assurance can be given that the final outcome of these matters will not be different from what is reflected in the historical income tax provisions and accruals.</w:t>
      </w:r>
    </w:p>
    <w:p>
      <w:pPr>
        <w:spacing w:after="0" w:line="2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Our judgment regarding future recoverability of our deferred tax assets may change due to various factors, including changes in U.S. or international tax laws and changes in market conditions and their impact on our assessment of taxable income in future periods. These changes, if any, may require adjustments to the valuation allowances and an accompanying reduction or increase in net income in the period when such determinations are made.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Inventory is valued net of allowances for unsalable or obsolete raw materials, work in process and finished goods. Statistical allowances are determined quarterly for raw materials and work in 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considered unlikely to be sold. A specific allowance for each material type will be carried if there is a significant event not captured by the statistical allowance, such as an end-of-life part or demand with imminent risk of cancellation. Allowances are also calculated quarterly for instances where inventoried costs for individual products are in excess of the net realizable value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the financial statements for a discussion of our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4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U.S. dollar is our functional currency for financial reporting. Our non-U.S. entities own assets or liabilities denominated in U.S. dollars or other currencies, and exchange rate fluctuations in those jurisdictions may impact our effective tax rate.</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balance sheet also reflects amounts remeasured from non-U.S. dollar currencies. Because most of the aggregate non-U.S. dollar balance sheet exposure is hedged by forward currency exchange contracts, which are based on year-end 2021 balances and currency exchange rates, a hypothetical 10% plus or minus fluctuation in non-U.S. currency exchange rates relative to the U.S. dollar would result in a pretax currency exchange gain or loss of approximately $1 million.</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use these forward currency exchange contracts to reduce the earnings impact that exchange rate fluctuations may have on our non-U.S. dollar net balance sheet exposures. As of December 31, 2021, we had forward currency exchange contracts outstanding with a notional value of $313 million to hedge net balance sheet exposures (including $127 million to sell Japanese yen, $82 million to sell British pounds and $42 million to sell euros). Similar hedging activities existed at year-end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have the following potential exposure to changes in interest rates: (i) the effect of changes in interest rates on the fair value of our investments in cash equivalents and short-term investments, which could produce a gain or a loss; and (ii) the effect of changes in interest rates on the fair value of our debt.</w:t>
      </w:r>
    </w:p>
    <w:p>
      <w:pPr>
        <w:spacing w:after="0" w:line="2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December 31, 2021, a hypothetical 100 basis point increase in interest rates would decrease the fair value of our investments in cash equivalents and short-term investments by about $15 million and decrease the fair value of our long-term debt by $715 million. Because interest rates on our long-term debt are fixed, changes in interest rates would not affect the cash flows associated with long-term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2021 include the following:</w:t>
      </w:r>
    </w:p>
    <w:p>
      <w:pPr>
        <w:spacing w:after="0" w:line="207" w:lineRule="exact"/>
        <w:rPr>
          <w:sz w:val="20"/>
          <w:szCs w:val="20"/>
          <w:color w:val="auto"/>
        </w:rPr>
      </w:pPr>
    </w:p>
    <w:p>
      <w:pPr>
        <w:ind w:left="660" w:right="240" w:hanging="328"/>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mutual funds </w:t>
      </w:r>
      <w:r>
        <w:rPr>
          <w:rFonts w:ascii="Arial" w:cs="Arial" w:eastAsia="Arial" w:hAnsi="Arial"/>
          <w:sz w:val="18"/>
          <w:szCs w:val="18"/>
          <w:color w:val="auto"/>
        </w:rPr>
        <w:t>– includes mutual funds that were selected to generate returns that offset changes in certain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deferred compensation arrangements. The mutual funds hold a variety of debt and equity investments.</w:t>
      </w:r>
    </w:p>
    <w:p>
      <w:pPr>
        <w:spacing w:after="0" w:line="53" w:lineRule="exact"/>
        <w:rPr>
          <w:rFonts w:ascii="Arial" w:cs="Arial" w:eastAsia="Arial" w:hAnsi="Arial"/>
          <w:sz w:val="18"/>
          <w:szCs w:val="18"/>
          <w:color w:val="auto"/>
        </w:rPr>
      </w:pPr>
    </w:p>
    <w:p>
      <w:pPr>
        <w:ind w:left="660" w:right="120" w:hanging="328"/>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venture capital funds </w:t>
      </w:r>
      <w:r>
        <w:rPr>
          <w:rFonts w:ascii="Arial" w:cs="Arial" w:eastAsia="Arial" w:hAnsi="Arial"/>
          <w:sz w:val="18"/>
          <w:szCs w:val="18"/>
          <w:color w:val="auto"/>
        </w:rPr>
        <w:t>– includes investments in limited partnerships (accounted for under either the equity method or</w:t>
      </w:r>
      <w:r>
        <w:rPr>
          <w:rFonts w:ascii="Arial" w:cs="Arial" w:eastAsia="Arial" w:hAnsi="Arial"/>
          <w:sz w:val="18"/>
          <w:szCs w:val="18"/>
          <w:i w:val="1"/>
          <w:iCs w:val="1"/>
          <w:color w:val="auto"/>
        </w:rPr>
        <w:t xml:space="preserve"> </w:t>
      </w:r>
      <w:r>
        <w:rPr>
          <w:rFonts w:ascii="Arial" w:cs="Arial" w:eastAsia="Arial" w:hAnsi="Arial"/>
          <w:sz w:val="18"/>
          <w:szCs w:val="18"/>
          <w:color w:val="auto"/>
        </w:rPr>
        <w:t>at cost with adjustments to observable market changes or impairments).</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 includes non-marketable (non-publicly traded) equity securities.</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certain deferred compensation liabilities. Non-marketable equity securities and certain venture capital funds are stated at cost minus impairment, if any, plus or minus changes resulting from qualifying observable price changes. Investments in the remaining venture capital funds are stated using the equity method. See Note 6 to the financial statements for details of equity and other long-term investments.</w:t>
      </w:r>
    </w:p>
    <w:p>
      <w:pPr>
        <w:spacing w:after="0" w:line="2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also utilize total return swaps to economically hedge exposure to changes in liabilities related to the equity market risks of certain deferred compensation arrangements with employees. Gains or losses from changes in the fair value of these total return swaps generally offset the related losses or gains on the deferred compensation liabilities.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List of financial statements: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for each of the three years in the period ended December 31,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Comprehensive income for each of the three years in the period ended December 31,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 sheets as of December 31, 2021 and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flows for each of the three years in the period ended December 31,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Stockholders’ equity for each of the three years in the period ended December 31,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 (PCAOB ID: 42)</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97" w:right="5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5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22"/>
                <w:szCs w:val="22"/>
                <w:color w:val="auto"/>
              </w:rPr>
            </w:pPr>
          </w:p>
        </w:tc>
      </w:tr>
      <w:tr>
        <w:trPr>
          <w:trHeight w:val="183"/>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18,344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14,461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14,383</w:t>
            </w:r>
          </w:p>
        </w:tc>
      </w:tr>
      <w:tr>
        <w:trPr>
          <w:trHeight w:val="229"/>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12,376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9,269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9,164</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1,666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1,645</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Acquisition charges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Restructuring charges/other</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8,960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5,723</w:t>
            </w: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8,919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6,017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5,728</w:t>
            </w:r>
          </w:p>
        </w:tc>
      </w:tr>
      <w:tr>
        <w:trPr>
          <w:trHeight w:val="230"/>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48"/>
        </w:trPr>
        <w:tc>
          <w:tcPr>
            <w:tcW w:w="7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7,769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5,595</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5,017</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Earnings per common share (EPS):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0"/>
        </w:trPr>
        <w:tc>
          <w:tcPr>
            <w:tcW w:w="72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8"/>
        </w:trPr>
        <w:tc>
          <w:tcPr>
            <w:tcW w:w="73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8.26</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5.24</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r>
      <w:tr>
        <w:trPr>
          <w:trHeight w:val="20"/>
        </w:trPr>
        <w:tc>
          <w:tcPr>
            <w:tcW w:w="72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8"/>
        </w:trPr>
        <w:tc>
          <w:tcPr>
            <w:tcW w:w="73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936</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952</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0" w:right="780"/>
        <w:spacing w:after="0" w:line="227"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7,769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5,017</w:t>
            </w:r>
          </w:p>
        </w:tc>
      </w:tr>
      <w:tr>
        <w:trPr>
          <w:trHeight w:val="230"/>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7,736</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4,986</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5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22"/>
                <w:szCs w:val="22"/>
                <w:color w:val="auto"/>
              </w:rPr>
            </w:pPr>
          </w:p>
        </w:tc>
      </w:tr>
      <w:tr>
        <w:trPr>
          <w:trHeight w:val="183"/>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7,769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5,017</w:t>
            </w: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($56), $3 and ($37)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($8), ($9) and ($13)</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Prior service credit of defined benefit plans: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$0, $0 and $0</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6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48"/>
        </w:trPr>
        <w:tc>
          <w:tcPr>
            <w:tcW w:w="7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7,972</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5,143</w:t>
            </w:r>
          </w:p>
        </w:tc>
      </w:tr>
      <w:tr>
        <w:trPr>
          <w:trHeight w:val="20"/>
        </w:trPr>
        <w:tc>
          <w:tcPr>
            <w:tcW w:w="72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57"/>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2"/>
                <w:szCs w:val="22"/>
                <w:color w:val="auto"/>
              </w:rPr>
            </w:pPr>
          </w:p>
        </w:tc>
      </w:tr>
      <w:tr>
        <w:trPr>
          <w:trHeight w:val="183"/>
        </w:trPr>
        <w:tc>
          <w:tcPr>
            <w:tcW w:w="86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2020</w:t>
            </w:r>
          </w:p>
        </w:tc>
      </w:tr>
      <w:tr>
        <w:trPr>
          <w:trHeight w:val="21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4,631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3,107</w:t>
            </w: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3,461</w:t>
            </w: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($8) and ($11)</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1,701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1,414</w:t>
            </w:r>
          </w:p>
        </w:tc>
      </w:tr>
      <w:tr>
        <w:trPr>
          <w:trHeight w:val="230"/>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868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1,067</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964</w:t>
            </w:r>
          </w:p>
        </w:tc>
      </w:tr>
      <w:tr>
        <w:trPr>
          <w:trHeight w:val="229"/>
        </w:trPr>
        <w:tc>
          <w:tcPr>
            <w:tcW w:w="868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1,910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1,955</w:t>
            </w:r>
          </w:p>
        </w:tc>
      </w:tr>
      <w:tr>
        <w:trPr>
          <w:trHeight w:val="229"/>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13,685</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10,239</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7,858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5,781</w:t>
            </w: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(2,717)</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(2,512)</w:t>
            </w: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3,269</w:t>
            </w: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748</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770</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24,676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r>
      <w:tr>
        <w:trPr>
          <w:trHeight w:val="20"/>
        </w:trPr>
        <w:tc>
          <w:tcPr>
            <w:tcW w:w="85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2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653</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23"/>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2,569</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2,390</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7,241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6,248</w:t>
            </w:r>
          </w:p>
        </w:tc>
      </w:tr>
      <w:tr>
        <w:trPr>
          <w:trHeight w:val="229"/>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1,367</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1,305</w:t>
            </w:r>
          </w:p>
        </w:tc>
      </w:tr>
      <w:tr>
        <w:trPr>
          <w:trHeight w:val="223"/>
        </w:trPr>
        <w:tc>
          <w:tcPr>
            <w:tcW w:w="86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11,343</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10,164</w:t>
            </w:r>
          </w:p>
        </w:tc>
      </w:tr>
      <w:tr>
        <w:trPr>
          <w:trHeight w:val="210"/>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2,333</w:t>
            </w:r>
          </w:p>
        </w:tc>
      </w:tr>
      <w:tr>
        <w:trPr>
          <w:trHeight w:val="230"/>
        </w:trPr>
        <w:tc>
          <w:tcPr>
            <w:tcW w:w="86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45,919</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42,051</w:t>
            </w: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68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2021 – 817; 2020 – 821</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(36,800)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(36,578)</w:t>
            </w:r>
          </w:p>
        </w:tc>
      </w:tr>
      <w:tr>
        <w:trPr>
          <w:trHeight w:val="230"/>
        </w:trPr>
        <w:tc>
          <w:tcPr>
            <w:tcW w:w="8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8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13,333</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9,187</w:t>
            </w: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24,676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22"/>
                <w:szCs w:val="22"/>
                <w:color w:val="auto"/>
              </w:rPr>
            </w:pPr>
          </w:p>
        </w:tc>
      </w:tr>
      <w:tr>
        <w:trPr>
          <w:trHeight w:val="183"/>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1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7,769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5,595</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5,017</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73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36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8,756</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6,139</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6,649</w:t>
            </w:r>
          </w:p>
        </w:tc>
      </w:tr>
      <w:tr>
        <w:trPr>
          <w:trHeight w:val="237"/>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(10,124)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(3,444)</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8,478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5,545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2,309</w:t>
            </w:r>
          </w:p>
        </w:tc>
      </w:tr>
      <w:tr>
        <w:trPr>
          <w:trHeight w:val="230"/>
        </w:trPr>
        <w:tc>
          <w:tcPr>
            <w:tcW w:w="736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(4,095)</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(1,920)</w:t>
            </w:r>
          </w:p>
        </w:tc>
      </w:tr>
      <w:tr>
        <w:trPr>
          <w:trHeight w:val="236"/>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(3,008)</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(2,553)</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(2,960)</w:t>
            </w:r>
          </w:p>
        </w:tc>
      </w:tr>
      <w:tr>
        <w:trPr>
          <w:trHeight w:val="230"/>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73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73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(3,137)</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w:t>
            </w:r>
          </w:p>
        </w:tc>
      </w:tr>
      <w:tr>
        <w:trPr>
          <w:trHeight w:val="236"/>
        </w:trPr>
        <w:tc>
          <w:tcPr>
            <w:tcW w:w="72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3,107</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2,438</w:t>
            </w: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r>
      <w:tr>
        <w:trPr>
          <w:trHeight w:val="20"/>
        </w:trPr>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Stockholders’ Equity</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6"/>
        </w:trPr>
        <w:tc>
          <w:tcPr>
            <w:tcW w:w="51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480" w:type="dxa"/>
            <w:vAlign w:val="bottom"/>
            <w:tcBorders>
              <w:top w:val="single" w:sz="8" w:color="auto"/>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December 31, 2018</w:t>
            </w: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37,906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(32,130)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($3.21 per share)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December 31, 2019</w:t>
            </w:r>
          </w:p>
        </w:tc>
        <w:tc>
          <w:tcPr>
            <w:tcW w:w="4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39,898</w:t>
            </w: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(34,495)</w:t>
            </w: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Dividends declared and paid ($3.72 per share)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Stock repurchases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 equivalents on RSUs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Balance, December 31, 2020</w:t>
            </w:r>
          </w:p>
        </w:tc>
        <w:tc>
          <w:tcPr>
            <w:tcW w:w="4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spacing w:after="0"/>
              <w:rPr>
                <w:sz w:val="19"/>
                <w:szCs w:val="19"/>
                <w:color w:val="auto"/>
              </w:rPr>
            </w:pP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42,051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(36,578)</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bottom w:val="single" w:sz="8" w:color="auto"/>
            </w:tcBorders>
            <w:shd w:val="clear" w:color="auto" w:fill="DBDBDB"/>
          </w:tcPr>
          <w:p>
            <w:pPr>
              <w:spacing w:after="0"/>
              <w:rPr>
                <w:sz w:val="19"/>
                <w:szCs w:val="19"/>
                <w:color w:val="auto"/>
              </w:rPr>
            </w:pP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2021</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7,769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Dividends declared and paid ($4.21 per share)</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(3,886)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repurchases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(532)</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top w:val="single" w:sz="8" w:color="DBDBDB"/>
              <w:bottom w:val="single" w:sz="8" w:color="DBDBDB"/>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Balance, December 31, 2021</w:t>
            </w:r>
          </w:p>
        </w:tc>
        <w:tc>
          <w:tcPr>
            <w:tcW w:w="48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2,630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45,919</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(36,800)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See accompanying notes.</w:t>
            </w:r>
          </w:p>
        </w:tc>
        <w:tc>
          <w:tcPr>
            <w:tcW w:w="4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5100" w:type="dxa"/>
            <w:vAlign w:val="bottom"/>
          </w:tcPr>
          <w:p>
            <w:pPr>
              <w:spacing w:after="0"/>
              <w:rPr>
                <w:sz w:val="24"/>
                <w:szCs w:val="24"/>
                <w:color w:val="auto"/>
              </w:rPr>
            </w:pPr>
          </w:p>
        </w:tc>
        <w:tc>
          <w:tcPr>
            <w:tcW w:w="740" w:type="dxa"/>
            <w:vAlign w:val="bottom"/>
            <w:gridSpan w:val="3"/>
          </w:tcPr>
          <w:p>
            <w:pPr>
              <w:jc w:val="right"/>
              <w:ind w:right="30"/>
              <w:spacing w:after="0"/>
              <w:rPr>
                <w:sz w:val="20"/>
                <w:szCs w:val="20"/>
                <w:color w:val="auto"/>
              </w:rPr>
            </w:pPr>
            <w:r>
              <w:rPr>
                <w:rFonts w:ascii="Arial" w:cs="Arial" w:eastAsia="Arial" w:hAnsi="Arial"/>
                <w:sz w:val="18"/>
                <w:szCs w:val="18"/>
                <w:color w:val="auto"/>
              </w:rPr>
              <w:t>28</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47"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w:t>
      </w:r>
    </w:p>
    <w:p>
      <w:pPr>
        <w:spacing w:after="0" w:line="95" w:lineRule="exact"/>
        <w:rPr>
          <w:sz w:val="20"/>
          <w:szCs w:val="20"/>
          <w:color w:val="auto"/>
        </w:rPr>
      </w:pPr>
    </w:p>
    <w:p>
      <w:pPr>
        <w:ind w:left="660" w:right="180" w:hanging="328"/>
        <w:spacing w:after="0" w:line="25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97"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98"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(see Note 11);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20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We have no material intersegment revenue. The accounting policies of the segments are consistent with those described in the summary of significant accounting policies and practices.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Segment information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6"/>
                <w:szCs w:val="16"/>
                <w:color w:val="auto"/>
              </w:rPr>
            </w:pPr>
          </w:p>
        </w:tc>
      </w:tr>
      <w:tr>
        <w:trPr>
          <w:trHeight w:val="183"/>
        </w:trPr>
        <w:tc>
          <w:tcPr>
            <w:tcW w:w="736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0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14,050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10,886</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10,223</w:t>
            </w:r>
          </w:p>
        </w:tc>
      </w:tr>
      <w:tr>
        <w:trPr>
          <w:trHeight w:val="229"/>
        </w:trPr>
        <w:tc>
          <w:tcPr>
            <w:tcW w:w="7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3,049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2,570</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2,943</w:t>
            </w:r>
          </w:p>
        </w:tc>
      </w:tr>
      <w:tr>
        <w:trPr>
          <w:trHeight w:val="230"/>
        </w:trPr>
        <w:tc>
          <w:tcPr>
            <w:tcW w:w="73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1,245</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18,344</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14,461</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14,383</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7,393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4,477</w:t>
            </w:r>
          </w:p>
        </w:tc>
      </w:tr>
      <w:tr>
        <w:trPr>
          <w:trHeight w:val="229"/>
        </w:trPr>
        <w:tc>
          <w:tcPr>
            <w:tcW w:w="7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1,174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907</w:t>
            </w:r>
          </w:p>
        </w:tc>
      </w:tr>
      <w:tr>
        <w:trPr>
          <w:trHeight w:val="230"/>
        </w:trPr>
        <w:tc>
          <w:tcPr>
            <w:tcW w:w="73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profit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8,960</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5,894</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5,723</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4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following geographic area information includes revenue, based on product shipment destination, and property, plant and equipment, based on physical location. The geographic revenue information does not necessarily reflect end demand by geography because our products tend to be shipped to the locations where our customers manufacture their products.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6"/>
                <w:szCs w:val="16"/>
                <w:color w:val="auto"/>
              </w:rPr>
            </w:pPr>
          </w:p>
        </w:tc>
      </w:tr>
      <w:tr>
        <w:trPr>
          <w:trHeight w:val="183"/>
        </w:trPr>
        <w:tc>
          <w:tcPr>
            <w:tcW w:w="736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0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1,906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1,827</w:t>
            </w:r>
          </w:p>
        </w:tc>
      </w:tr>
      <w:tr>
        <w:trPr>
          <w:trHeight w:val="229"/>
        </w:trPr>
        <w:tc>
          <w:tcPr>
            <w:tcW w:w="7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Asia (a)</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12,185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9,541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8,650</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2,802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2,707</w:t>
            </w:r>
          </w:p>
        </w:tc>
      </w:tr>
      <w:tr>
        <w:trPr>
          <w:trHeight w:val="230"/>
        </w:trPr>
        <w:tc>
          <w:tcPr>
            <w:tcW w:w="7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Japan</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w:t>
            </w:r>
          </w:p>
        </w:tc>
      </w:tr>
      <w:tr>
        <w:trPr>
          <w:trHeight w:val="229"/>
        </w:trPr>
        <w:tc>
          <w:tcPr>
            <w:tcW w:w="73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18,344</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14,461</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14,383</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right="20" w:hanging="332"/>
        <w:spacing w:after="0" w:line="256" w:lineRule="auto"/>
        <w:tabs>
          <w:tab w:leader="none" w:pos="3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from products shipped into China was $10.0 billion, $8.0 billion and $7.2 billion in 2021, 2020 and 2019, respectively, which includes shipments to customers that manufacture in China and then export end products to their customers around the world, as well as distributors that transship inventory through China to service other countries.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866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r>
      <w:tr>
        <w:trPr>
          <w:trHeight w:val="210"/>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r>
      <w:tr>
        <w:trPr>
          <w:trHeight w:val="230"/>
        </w:trPr>
        <w:tc>
          <w:tcPr>
            <w:tcW w:w="8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3,648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2,036</w:t>
            </w:r>
          </w:p>
        </w:tc>
      </w:tr>
      <w:tr>
        <w:trPr>
          <w:trHeight w:val="229"/>
        </w:trPr>
        <w:tc>
          <w:tcPr>
            <w:tcW w:w="8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Asia (a)</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1,292</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1,005</w:t>
            </w:r>
          </w:p>
        </w:tc>
      </w:tr>
      <w:tr>
        <w:trPr>
          <w:trHeight w:val="230"/>
        </w:trPr>
        <w:tc>
          <w:tcPr>
            <w:tcW w:w="866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Japan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86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8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property, plant and equipment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5,141</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3,269</w:t>
            </w:r>
          </w:p>
        </w:tc>
      </w:tr>
      <w:tr>
        <w:trPr>
          <w:trHeight w:val="20"/>
        </w:trPr>
        <w:tc>
          <w:tcPr>
            <w:tcW w:w="86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right="160" w:hanging="332"/>
        <w:spacing w:after="0" w:line="256" w:lineRule="auto"/>
        <w:tabs>
          <w:tab w:leader="none" w:pos="3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Property, plant and equipment at our two sites in the Philippines was $370 million and $333 million as of December 31, 2021 and 2020, respectively. Property, plant and equipment at our sites in China was $570 million and $370 million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Major customer</w:t>
      </w:r>
    </w:p>
    <w:p>
      <w:pPr>
        <w:spacing w:after="0" w:line="24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One of our end customers accounted for 9%, 10% and 8% of revenue in 2021, 2020 and 2019, respectively, recognized primarily in our Analog segment. No end customer accounted for 10% or more of revenue in 2021 or 2019.</w:t>
      </w:r>
    </w:p>
    <w:p>
      <w:pPr>
        <w:spacing w:after="0" w:line="198"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4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The basis of these financial statements is comparable for all periods presented herein.</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and share amounts in the financial statements and tables in these notes, except per-share amounts, are presented in millions unless otherwise indicated. We have reclassified certain amounts in the prior periods’ financial statements to conform to the 2021 presentation.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generate revenue primarily from the sale of semiconductor products, either directly to a customer or to a distributor, and recognize revenue when control is transferred. Control is considered transferred when title and risk of loss pass, when the customer becomes obligated to pay and, where required, when the customer has accepted the products. This transfer generally occurs at a point in time upon shipment or delivery to the customer or distributor, depending upon the terms of the sales order. Payment for sales to customers and distributors is generally due on our standard commercial terms. For sales to distributors, payment is not contingent upon resale of the products.</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from sales of our products that are subject to inventory consignment agreements is recognized at a point in time, when the customer or distributor pulls product from consignment inventory that we store at designated locations. Delivery and transfer of control occur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2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revenue recognized is adjusted based on allowances, which are prepared on a portfolio basis using a most likely amount methodology based on analysis of historical data and contractual terms. These allowances, which are not material, generally include adjustments for pricing arrangements, product returns, incentives and credit losses. We recognize shipping fees, if any, received from customers in revenue. We include the related shipping and handling costs in cost of revenue. The majority of our customers pay these fees directly to third parties.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expense advertising and other promotional costs as incurred. This expense was $27 million, $28 million and $30 million in 2021,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related to events that have been recognized in the financial statements or tax returns. We record a valuation allowance when it is more likely than not that some or all of the deferred tax assets will not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assessed taxes</w:t>
      </w:r>
    </w:p>
    <w:p>
      <w:pPr>
        <w:spacing w:after="0" w:line="2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Consolidated Statements of Income on a net (excluded from revenue) basis.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We determine if an arrangement is a lease at inception. Leases are included in other long-term assets, accrued expenses and other liabilities, and other long-term liabilities on our Consolidated Balance Sheets.</w:t>
      </w:r>
    </w:p>
    <w:p>
      <w:pPr>
        <w:spacing w:after="0" w:line="19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Lease assets represent our right to use underlying assets for the lease term, and lease liabilities represent our obligations to make lease payments over the lease term. On the commencement date, leases are evaluated for classification, and assets and liabilities are recognized based on the present value of lease payments over the lease term. We use our incremental borrowing rate based on the information available at commencement in determining the present value of lease payments. Operating lease expense is generally recognized on a straight-line basis over the lease term. Our lease values include options to extend or not to terminate the lease when it is reasonably certain that we will exercise such options.</w:t>
      </w:r>
    </w:p>
    <w:p>
      <w:pPr>
        <w:spacing w:after="0" w:line="2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agreements with lease and non-lease components, which are accounted for as a single lease component. Leases with an initial lease term of 12 months or less are not recorded on the balance sheet; we recognize lease expense for these leases on a straight-line basis over the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For Years Ended December 31,</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EPS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EPS</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209"/>
        </w:trPr>
        <w:tc>
          <w:tcPr>
            <w:tcW w:w="2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200" w:type="dxa"/>
            <w:vAlign w:val="bottom"/>
            <w:tcBorders>
              <w:top w:val="single" w:sz="8" w:color="auto"/>
            </w:tcBorders>
            <w:shd w:val="clear" w:color="auto" w:fill="DBDBDB"/>
          </w:tcPr>
          <w:p>
            <w:pPr>
              <w:spacing w:after="0"/>
              <w:rPr>
                <w:sz w:val="18"/>
                <w:szCs w:val="18"/>
                <w:color w:val="auto"/>
              </w:rPr>
            </w:pPr>
          </w:p>
        </w:tc>
        <w:tc>
          <w:tcPr>
            <w:tcW w:w="6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8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6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8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7,769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8"/>
                <w:szCs w:val="18"/>
                <w:color w:val="auto"/>
                <w:w w:val="99"/>
              </w:rPr>
              <w:t>(27)</w:t>
            </w: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140"/>
              <w:spacing w:after="0" w:line="168" w:lineRule="exact"/>
              <w:rPr>
                <w:sz w:val="20"/>
                <w:szCs w:val="20"/>
                <w:color w:val="auto"/>
              </w:rPr>
            </w:pPr>
            <w:r>
              <w:rPr>
                <w:rFonts w:ascii="Arial" w:cs="Arial" w:eastAsia="Arial" w:hAnsi="Arial"/>
                <w:sz w:val="18"/>
                <w:szCs w:val="18"/>
                <w:color w:val="auto"/>
              </w:rPr>
              <w:t>Income allocated to common</w:t>
            </w: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7,736</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923</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8.38</w:t>
            </w:r>
          </w:p>
        </w:tc>
        <w:tc>
          <w:tcPr>
            <w:tcW w:w="10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4,985</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40"/>
              <w:spacing w:after="0" w:line="190" w:lineRule="exact"/>
              <w:rPr>
                <w:sz w:val="20"/>
                <w:szCs w:val="20"/>
                <w:color w:val="auto"/>
              </w:rPr>
            </w:pPr>
            <w:r>
              <w:rPr>
                <w:rFonts w:ascii="Arial" w:cs="Arial" w:eastAsia="Arial" w:hAnsi="Arial"/>
                <w:sz w:val="18"/>
                <w:szCs w:val="18"/>
                <w:color w:val="auto"/>
              </w:rPr>
              <w:t>stock</w:t>
            </w:r>
          </w:p>
        </w:tc>
        <w:tc>
          <w:tcPr>
            <w:tcW w:w="2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8"/>
                <w:szCs w:val="18"/>
                <w:color w:val="auto"/>
              </w:rPr>
              <w:t>921</w:t>
            </w:r>
          </w:p>
        </w:tc>
        <w:tc>
          <w:tcPr>
            <w:tcW w:w="300" w:type="dxa"/>
            <w:vAlign w:val="bottom"/>
            <w:gridSpan w:val="2"/>
          </w:tcPr>
          <w:p>
            <w:pPr>
              <w:jc w:val="right"/>
              <w:ind w:right="80"/>
              <w:spacing w:after="0" w:line="190"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6.05</w:t>
            </w: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936</w:t>
            </w:r>
          </w:p>
        </w:tc>
        <w:tc>
          <w:tcPr>
            <w:tcW w:w="300" w:type="dxa"/>
            <w:vAlign w:val="bottom"/>
            <w:gridSpan w:val="2"/>
          </w:tcPr>
          <w:p>
            <w:pPr>
              <w:jc w:val="right"/>
              <w:ind w:right="80"/>
              <w:spacing w:after="0" w:line="190"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29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20" w:type="dxa"/>
            <w:vAlign w:val="bottom"/>
            <w:shd w:val="clear" w:color="auto" w:fill="DBDBDB"/>
          </w:tcPr>
          <w:p>
            <w:pPr>
              <w:ind w:left="140"/>
              <w:spacing w:after="0" w:line="155" w:lineRule="exact"/>
              <w:rPr>
                <w:sz w:val="20"/>
                <w:szCs w:val="20"/>
                <w:color w:val="auto"/>
              </w:rPr>
            </w:pPr>
            <w:r>
              <w:rPr>
                <w:rFonts w:ascii="Arial" w:cs="Arial" w:eastAsia="Arial" w:hAnsi="Arial"/>
                <w:sz w:val="17"/>
                <w:szCs w:val="17"/>
                <w:color w:val="auto"/>
              </w:rPr>
              <w:t>Dilutive effect of stock</w:t>
            </w:r>
          </w:p>
        </w:tc>
        <w:tc>
          <w:tcPr>
            <w:tcW w:w="20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compensation plans</w:t>
            </w:r>
          </w:p>
        </w:tc>
        <w:tc>
          <w:tcPr>
            <w:tcW w:w="2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2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2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7,769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8"/>
                <w:szCs w:val="18"/>
                <w:color w:val="auto"/>
                <w:w w:val="99"/>
              </w:rPr>
              <w:t>(27)</w:t>
            </w:r>
          </w:p>
        </w:tc>
        <w:tc>
          <w:tcPr>
            <w:tcW w:w="100" w:type="dxa"/>
            <w:vAlign w:val="bottom"/>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140"/>
              <w:spacing w:after="0" w:line="168" w:lineRule="exact"/>
              <w:rPr>
                <w:sz w:val="20"/>
                <w:szCs w:val="20"/>
                <w:color w:val="auto"/>
              </w:rPr>
            </w:pPr>
            <w:r>
              <w:rPr>
                <w:rFonts w:ascii="Arial" w:cs="Arial" w:eastAsia="Arial" w:hAnsi="Arial"/>
                <w:sz w:val="18"/>
                <w:szCs w:val="18"/>
                <w:color w:val="auto"/>
              </w:rPr>
              <w:t>Income allocated to common</w:t>
            </w: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7,736</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8.26</w:t>
            </w:r>
          </w:p>
        </w:tc>
        <w:tc>
          <w:tcPr>
            <w:tcW w:w="10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40"/>
              <w:spacing w:after="0" w:line="190" w:lineRule="exact"/>
              <w:rPr>
                <w:sz w:val="20"/>
                <w:szCs w:val="20"/>
                <w:color w:val="auto"/>
              </w:rPr>
            </w:pPr>
            <w:r>
              <w:rPr>
                <w:rFonts w:ascii="Arial" w:cs="Arial" w:eastAsia="Arial" w:hAnsi="Arial"/>
                <w:sz w:val="18"/>
                <w:szCs w:val="18"/>
                <w:color w:val="auto"/>
              </w:rPr>
              <w:t>stock</w:t>
            </w:r>
          </w:p>
        </w:tc>
        <w:tc>
          <w:tcPr>
            <w:tcW w:w="2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00" w:type="dxa"/>
            <w:vAlign w:val="bottom"/>
            <w:gridSpan w:val="2"/>
          </w:tcPr>
          <w:p>
            <w:pPr>
              <w:jc w:val="right"/>
              <w:ind w:right="80"/>
              <w:spacing w:after="0" w:line="190"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5.97</w:t>
            </w: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gridSpan w:val="2"/>
          </w:tcPr>
          <w:p>
            <w:pPr>
              <w:jc w:val="right"/>
              <w:ind w:right="80"/>
              <w:spacing w:after="0" w:line="190"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Potentially dilutive securities representing 3 million, 4 million and 6 million shares of common stock that were outstanding in 2021, 2020 and 2019 respectively, were excluded from the computation of diluted earnings per common share during these periods because their effect would have been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present investments on our Consolidated Balance Sheets as cash equivalents, short-term investments or other long-term assets. See Note 6 for additional information.</w:t>
      </w:r>
    </w:p>
    <w:p>
      <w:pPr>
        <w:spacing w:after="0" w:line="180" w:lineRule="exact"/>
        <w:rPr>
          <w:sz w:val="20"/>
          <w:szCs w:val="20"/>
          <w:color w:val="auto"/>
        </w:rPr>
      </w:pPr>
    </w:p>
    <w:p>
      <w:pPr>
        <w:ind w:left="66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The primary objectives of our cash equivalent and short-term investment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to preserve capital and maintain liquidity while generating appropriate returns. We consider investments in available-for-sale debt securities with maturities of 90 days or less from the date of our investment to be cash equivalents. We consider investments in available-for-sale debt securities with maturities beyond 90 days from the date of our investment as being available for use in current operations and include them in short-term investments.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ind w:left="660" w:right="420" w:hanging="328"/>
        <w:spacing w:after="0" w:line="28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Other long-term assets </w:t>
      </w:r>
      <w:r>
        <w:rPr>
          <w:rFonts w:ascii="Arial" w:cs="Arial" w:eastAsia="Arial" w:hAnsi="Arial"/>
          <w:sz w:val="18"/>
          <w:szCs w:val="18"/>
          <w:color w:val="auto"/>
        </w:rPr>
        <w:t>– Long-term investments, which are included within other long-term assets on our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consist of mutual funds, venture capital funds and non-marketable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 acquisition-related intangibles; and other capitalized costs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Impairments of long-lived assets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14"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Goodwill is reviewed for impairment annually in the fourth quarter or more frequently if certain impairment indicators arise. We perform a qualitative assessment to determine if it is more likely than not that the fair value of a reporting unit is less than its carrying value, including goodwill. If, as a result of the qualitative assessment, we determine that it is more likely than not that the fair value of a reporting unit is less than its carrying value, then we perform the quantitative goodwill impairment test. See Note 11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functional currency for our non-U.S. subsidiaries is the U.S. dollar. Accounts recorded in currencies other than the U.S. dollar are remeasured into the functional currency. Current assets (except inventories), deferred taxes, other long-term assets,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calculated at the appropriate daily rate of exchange. Currency exchange gains and losses from remeasurement are credited or charged to OI&amp;E.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204"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ind w:right="860"/>
        <w:spacing w:after="0" w:line="261"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were not material. We do not use derivatives for speculative or trading purposes.</w:t>
      </w:r>
    </w:p>
    <w:p>
      <w:pPr>
        <w:spacing w:after="0" w:line="225"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 compensation</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stock options outstanding to participants under long-term incentive plans. The option price per share may not be less than the fair market value of our common stock on the date of the grant. The options have a 10-year term, generally vest ratably over four years and continue to vest after the option recipient retires.</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also have RSUs outstanding to participants under long-term incentive plans. Each RSU represents the right to receive one share of TI common stock, issued on the vesting date, which is generally four years after the date of grant. RSUs continue to vest after the recipient retires. Holders of RSUs receive an annual cash payment equivalent to the dividends paid on our common stock. The fair value per share of RSUs is generally determined based on the closing price of our common stock on the date of grant.</w:t>
      </w:r>
    </w:p>
    <w:p>
      <w:pPr>
        <w:spacing w:after="0" w:line="20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director deferred compensation accounts.</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also have an employee stock purchase plan (ESPP) under which options are offered to all eligible employees in amounts based on a percentage of the employee’s compensation, subject to a cap. Under the plan, the option price per share is 85% of the fair market value on the exercise date. As of December 31, 2021, 33 million shares remain available for future issuance under this plan.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stock compensation expense recognized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6"/>
                <w:szCs w:val="16"/>
                <w:color w:val="auto"/>
              </w:rPr>
            </w:pPr>
          </w:p>
        </w:tc>
      </w:tr>
      <w:tr>
        <w:trPr>
          <w:trHeight w:val="183"/>
        </w:trPr>
        <w:tc>
          <w:tcPr>
            <w:tcW w:w="7360" w:type="dxa"/>
            <w:vAlign w:val="bottom"/>
            <w:tcBorders>
              <w:bottom w:val="single" w:sz="8" w:color="DBDBDB"/>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23"/>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w:t>
            </w:r>
          </w:p>
        </w:tc>
        <w:tc>
          <w:tcPr>
            <w:tcW w:w="800" w:type="dxa"/>
            <w:vAlign w:val="bottom"/>
            <w:shd w:val="clear" w:color="auto" w:fill="DBDBDB"/>
          </w:tcPr>
          <w:p>
            <w:pPr>
              <w:jc w:val="right"/>
              <w:ind w:right="599"/>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R&amp;D</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SG&amp;A</w:t>
            </w:r>
          </w:p>
        </w:tc>
        <w:tc>
          <w:tcPr>
            <w:tcW w:w="80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DBDBDB"/>
          </w:tcPr>
          <w:p>
            <w:pPr>
              <w:spacing w:after="0"/>
              <w:rPr>
                <w:sz w:val="21"/>
                <w:szCs w:val="21"/>
                <w:color w:val="auto"/>
              </w:rPr>
            </w:pPr>
          </w:p>
        </w:tc>
        <w:tc>
          <w:tcPr>
            <w:tcW w:w="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spacing w:after="0"/>
              <w:rPr>
                <w:sz w:val="21"/>
                <w:szCs w:val="21"/>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400" w:type="dxa"/>
            <w:vAlign w:val="bottom"/>
            <w:tcBorders>
              <w:top w:val="single" w:sz="8" w:color="auto"/>
              <w:bottom w:val="single" w:sz="8" w:color="auto"/>
            </w:tcBorders>
            <w:shd w:val="clear" w:color="auto" w:fill="DBDBDB"/>
          </w:tcPr>
          <w:p>
            <w:pPr>
              <w:spacing w:after="0"/>
              <w:rPr>
                <w:sz w:val="21"/>
                <w:szCs w:val="21"/>
                <w:color w:val="auto"/>
              </w:rPr>
            </w:pP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These amounts include expenses related to non-qualified stock options, RSUs and stock options offered under our ESPP and are net of estimated forfeitures.</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recognize compensation expense for non-qualified stock options and RSUs on a straight-line basis over the minimum service period required for vesting of the award, adjusting for estimated forfeitures based on historical activity. Awards issued to employees who are retirement eligible or nearing retirement eligibility are expensed on an accelerated basis. Options issued under our ESPP are expensed over a three-month period.</w:t>
      </w:r>
    </w:p>
    <w:p>
      <w:pPr>
        <w:spacing w:after="0" w:line="20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December 31, 2021, total future compensation related to equity awards not yet recognized in our Consolidated Statements of Income was $271 million, which we expect to recognize over a weighted average period of 1.7 years.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Fair value methods and assumptions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account for all awards granted under our various stock compensation plans at fair value.</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estimate the fair values for non-qualified stock options using the Black-Scholes-Merton option-pricing model with the following weighted average assumptions: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Years Ended December 31,</w:t>
            </w:r>
          </w:p>
        </w:tc>
        <w:tc>
          <w:tcPr>
            <w:tcW w:w="1040" w:type="dxa"/>
            <w:vAlign w:val="bottom"/>
            <w:tcBorders>
              <w:bottom w:val="single" w:sz="8" w:color="auto"/>
            </w:tcBorders>
          </w:tcPr>
          <w:p>
            <w:pPr>
              <w:spacing w:after="0"/>
              <w:rPr>
                <w:sz w:val="16"/>
                <w:szCs w:val="16"/>
                <w:color w:val="auto"/>
              </w:rPr>
            </w:pPr>
          </w:p>
        </w:tc>
      </w:tr>
      <w:tr>
        <w:trPr>
          <w:trHeight w:val="183"/>
        </w:trPr>
        <w:tc>
          <w:tcPr>
            <w:tcW w:w="66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3"/>
        </w:trPr>
        <w:tc>
          <w:tcPr>
            <w:tcW w:w="6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40.78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22.08</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Weighted average assumptions used: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Expected lives (in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6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Risk-free interest rates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0.72 %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2.66 %</w:t>
            </w:r>
          </w:p>
        </w:tc>
      </w:tr>
      <w:tr>
        <w:trPr>
          <w:trHeight w:val="239"/>
        </w:trPr>
        <w:tc>
          <w:tcPr>
            <w:tcW w:w="6680" w:type="dxa"/>
            <w:vAlign w:val="bottom"/>
          </w:tcPr>
          <w:p>
            <w:pPr>
              <w:ind w:left="140"/>
              <w:spacing w:after="0"/>
              <w:rPr>
                <w:sz w:val="20"/>
                <w:szCs w:val="20"/>
                <w:color w:val="auto"/>
              </w:rPr>
            </w:pPr>
            <w:r>
              <w:rPr>
                <w:rFonts w:ascii="Arial" w:cs="Arial" w:eastAsia="Arial" w:hAnsi="Arial"/>
                <w:sz w:val="18"/>
                <w:szCs w:val="18"/>
                <w:color w:val="auto"/>
              </w:rPr>
              <w:t>Expected dividend yields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2.41 %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2.95 %</w:t>
            </w:r>
          </w:p>
        </w:tc>
      </w:tr>
    </w:tbl>
    <w:p>
      <w:pPr>
        <w:spacing w:after="0" w:line="30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use market-based measures of implied volatility to determine expected volatility on all options granted. We determine expected lives of options based on the historical option exercise experience of our option holders using a rolling 10-year average.</w:t>
      </w:r>
    </w:p>
    <w:p>
      <w:pPr>
        <w:spacing w:after="0" w:line="19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Expected dividend yields are based on the annualized approved quarterly dividend rate and the current market price of our common stock at the time of grant. No assumption for a future dividend rate change is included unless there is an approved plan to change the dividend in the near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and director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186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Stock Options</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RSUs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Weighted Average</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9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Exercise Price per</w:t>
            </w:r>
          </w:p>
        </w:tc>
        <w:tc>
          <w:tcPr>
            <w:tcW w:w="260" w:type="dxa"/>
            <w:vAlign w:val="bottom"/>
          </w:tcPr>
          <w:p>
            <w:pPr>
              <w:spacing w:after="0"/>
              <w:rPr>
                <w:sz w:val="11"/>
                <w:szCs w:val="11"/>
                <w:color w:val="auto"/>
              </w:rPr>
            </w:pPr>
          </w:p>
        </w:tc>
        <w:tc>
          <w:tcPr>
            <w:tcW w:w="104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5"/>
        </w:trPr>
        <w:tc>
          <w:tcPr>
            <w:tcW w:w="564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7"/>
              </w:rPr>
              <w:t>Share</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Outstanding grants, December 31, 2020</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56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79.69</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40" w:type="dxa"/>
            <w:vAlign w:val="bottom"/>
            <w:shd w:val="clear" w:color="auto" w:fill="DBDBDB"/>
          </w:tcPr>
          <w:p>
            <w:pPr>
              <w:jc w:val="center"/>
              <w:ind w:left="695"/>
              <w:spacing w:after="0"/>
              <w:rPr>
                <w:sz w:val="20"/>
                <w:szCs w:val="20"/>
                <w:color w:val="auto"/>
              </w:rPr>
            </w:pPr>
            <w:r>
              <w:rPr>
                <w:rFonts w:ascii="Arial" w:cs="Arial" w:eastAsia="Arial" w:hAnsi="Arial"/>
                <w:sz w:val="18"/>
                <w:szCs w:val="18"/>
                <w:color w:val="auto"/>
                <w:w w:val="99"/>
              </w:rPr>
              <w:t>5</w:t>
            </w:r>
          </w:p>
        </w:tc>
        <w:tc>
          <w:tcPr>
            <w:tcW w:w="520" w:type="dxa"/>
            <w:vAlign w:val="bottom"/>
            <w:gridSpan w:val="4"/>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Granted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169.52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ind w:left="695"/>
              <w:spacing w:after="0"/>
              <w:rPr>
                <w:sz w:val="20"/>
                <w:szCs w:val="20"/>
                <w:color w:val="auto"/>
              </w:rPr>
            </w:pPr>
            <w:r>
              <w:rPr>
                <w:rFonts w:ascii="Arial" w:cs="Arial" w:eastAsia="Arial" w:hAnsi="Arial"/>
                <w:sz w:val="18"/>
                <w:szCs w:val="18"/>
                <w:b w:val="1"/>
                <w:bCs w:val="1"/>
                <w:color w:val="auto"/>
                <w:w w:val="9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176.08</w:t>
            </w:r>
          </w:p>
        </w:tc>
        <w:tc>
          <w:tcPr>
            <w:tcW w:w="0" w:type="dxa"/>
            <w:vAlign w:val="bottom"/>
          </w:tcPr>
          <w:p>
            <w:pPr>
              <w:spacing w:after="0"/>
              <w:rPr>
                <w:sz w:val="1"/>
                <w:szCs w:val="1"/>
                <w:color w:val="auto"/>
              </w:rPr>
            </w:pPr>
          </w:p>
        </w:tc>
      </w:tr>
      <w:tr>
        <w:trPr>
          <w:trHeight w:val="230"/>
        </w:trPr>
        <w:tc>
          <w:tcPr>
            <w:tcW w:w="56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Stock options exercised/RSUs vested</w:t>
            </w:r>
          </w:p>
        </w:tc>
        <w:tc>
          <w:tcPr>
            <w:tcW w:w="96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65.89</w:t>
            </w:r>
          </w:p>
        </w:tc>
        <w:tc>
          <w:tcPr>
            <w:tcW w:w="12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center"/>
              <w:ind w:left="695"/>
              <w:spacing w:after="0"/>
              <w:rPr>
                <w:sz w:val="20"/>
                <w:szCs w:val="20"/>
                <w:color w:val="auto"/>
              </w:rPr>
            </w:pPr>
            <w:r>
              <w:rPr>
                <w:rFonts w:ascii="Arial" w:cs="Arial" w:eastAsia="Arial" w:hAnsi="Arial"/>
                <w:sz w:val="18"/>
                <w:szCs w:val="18"/>
                <w:b w:val="1"/>
                <w:bCs w:val="1"/>
                <w:color w:val="auto"/>
                <w:w w:val="99"/>
              </w:rPr>
              <w:t>(2)</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81.31</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grants, December 31, 2021 (a)</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91.58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ind w:left="695"/>
              <w:spacing w:after="0"/>
              <w:rPr>
                <w:sz w:val="20"/>
                <w:szCs w:val="20"/>
                <w:color w:val="auto"/>
              </w:rPr>
            </w:pPr>
            <w:r>
              <w:rPr>
                <w:rFonts w:ascii="Arial" w:cs="Arial" w:eastAsia="Arial" w:hAnsi="Arial"/>
                <w:sz w:val="18"/>
                <w:szCs w:val="18"/>
                <w:b w:val="1"/>
                <w:bCs w:val="1"/>
                <w:color w:val="auto"/>
                <w:w w:val="99"/>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124.80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600" w:type="dxa"/>
            <w:vAlign w:val="bottom"/>
            <w:gridSpan w:val="2"/>
          </w:tcPr>
          <w:p>
            <w:pPr>
              <w:spacing w:after="0"/>
              <w:rPr>
                <w:sz w:val="20"/>
                <w:szCs w:val="20"/>
                <w:color w:val="auto"/>
              </w:rPr>
            </w:pPr>
            <w:r>
              <w:rPr>
                <w:rFonts w:ascii="Arial" w:cs="Arial" w:eastAsia="Arial" w:hAnsi="Arial"/>
                <w:sz w:val="18"/>
                <w:szCs w:val="18"/>
                <w:color w:val="auto"/>
              </w:rPr>
              <w:t>(a) Forfeited and expired shares were not material.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8"/>
          </w:tcPr>
          <w:p>
            <w:pPr>
              <w:jc w:val="center"/>
              <w:ind w:left="375"/>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640" w:type="dxa"/>
            <w:vAlign w:val="bottom"/>
            <w:tcBorders>
              <w:bottom w:val="single" w:sz="8" w:color="DBDBDB"/>
            </w:tcBorders>
          </w:tcPr>
          <w:p>
            <w:pPr>
              <w:spacing w:after="0"/>
              <w:rPr>
                <w:sz w:val="15"/>
                <w:szCs w:val="15"/>
                <w:color w:val="auto"/>
              </w:rPr>
            </w:pPr>
          </w:p>
        </w:tc>
        <w:tc>
          <w:tcPr>
            <w:tcW w:w="960" w:type="dxa"/>
            <w:vAlign w:val="bottom"/>
            <w:tcBorders>
              <w:bottom w:val="single" w:sz="8" w:color="DBDBDB"/>
            </w:tcBorders>
          </w:tcPr>
          <w:p>
            <w:pPr>
              <w:spacing w:after="0"/>
              <w:rPr>
                <w:sz w:val="15"/>
                <w:szCs w:val="15"/>
                <w:color w:val="auto"/>
              </w:rPr>
            </w:pPr>
          </w:p>
        </w:tc>
        <w:tc>
          <w:tcPr>
            <w:tcW w:w="340" w:type="dxa"/>
            <w:vAlign w:val="bottom"/>
            <w:tcBorders>
              <w:bottom w:val="single" w:sz="8" w:color="DBDBDB"/>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Weighted average grant date fair value per share for RSUs</w:t>
            </w: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176.08</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130.59</w:t>
            </w:r>
          </w:p>
        </w:tc>
        <w:tc>
          <w:tcPr>
            <w:tcW w:w="520" w:type="dxa"/>
            <w:vAlign w:val="bottom"/>
            <w:gridSpan w:val="4"/>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106.58</w:t>
            </w:r>
          </w:p>
        </w:tc>
        <w:tc>
          <w:tcPr>
            <w:tcW w:w="0" w:type="dxa"/>
            <w:vAlign w:val="bottom"/>
          </w:tcPr>
          <w:p>
            <w:pPr>
              <w:spacing w:after="0"/>
              <w:rPr>
                <w:sz w:val="1"/>
                <w:szCs w:val="1"/>
                <w:color w:val="auto"/>
              </w:rPr>
            </w:pPr>
          </w:p>
        </w:tc>
      </w:tr>
      <w:tr>
        <w:trPr>
          <w:trHeight w:val="230"/>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Total grant date fair value of shares vested for RSUs</w:t>
            </w:r>
          </w:p>
        </w:tc>
        <w:tc>
          <w:tcPr>
            <w:tcW w:w="34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Aggregate intrinsic value of options exercised</w:t>
            </w:r>
          </w:p>
        </w:tc>
        <w:tc>
          <w:tcPr>
            <w:tcW w:w="340" w:type="dxa"/>
            <w:vAlign w:val="bottom"/>
            <w:shd w:val="clear" w:color="auto" w:fill="DBDBDB"/>
          </w:tcPr>
          <w:p>
            <w:pPr>
              <w:spacing w:after="0"/>
              <w:rPr>
                <w:sz w:val="19"/>
                <w:szCs w:val="19"/>
                <w:color w:val="auto"/>
              </w:rPr>
            </w:pPr>
          </w:p>
        </w:tc>
        <w:tc>
          <w:tcPr>
            <w:tcW w:w="560" w:type="dxa"/>
            <w:vAlign w:val="bottom"/>
            <w:gridSpan w:val="2"/>
            <w:shd w:val="clear" w:color="auto" w:fill="DBDBDB"/>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611</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681</w:t>
            </w:r>
          </w:p>
        </w:tc>
        <w:tc>
          <w:tcPr>
            <w:tcW w:w="520" w:type="dxa"/>
            <w:vAlign w:val="bottom"/>
            <w:gridSpan w:val="4"/>
            <w:shd w:val="clear" w:color="auto" w:fill="DBDBDB"/>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37 million shares remain available for future issuance under these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stock options outstanding as of December 31, 2021,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5"/>
          </w:tcPr>
          <w:p>
            <w:pPr>
              <w:jc w:val="center"/>
              <w:ind w:left="944"/>
              <w:spacing w:after="0"/>
              <w:rPr>
                <w:sz w:val="20"/>
                <w:szCs w:val="20"/>
                <w:color w:val="auto"/>
              </w:rPr>
            </w:pPr>
            <w:r>
              <w:rPr>
                <w:rFonts w:ascii="Arial" w:cs="Arial" w:eastAsia="Arial" w:hAnsi="Arial"/>
                <w:sz w:val="14"/>
                <w:szCs w:val="14"/>
                <w:b w:val="1"/>
                <w:bCs w:val="1"/>
                <w:color w:val="auto"/>
              </w:rPr>
              <w:t>Stock Options Outstanding</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14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 Average</w:t>
            </w: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6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Exercise Price Range</w:t>
            </w:r>
          </w:p>
        </w:tc>
        <w:tc>
          <w:tcPr>
            <w:tcW w:w="100" w:type="dxa"/>
            <w:vAlign w:val="bottom"/>
            <w:vMerge w:val="restart"/>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Outstanding</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Life</w:t>
            </w:r>
          </w:p>
        </w:tc>
        <w:tc>
          <w:tcPr>
            <w:tcW w:w="13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Exercise Price per</w:t>
            </w:r>
          </w:p>
        </w:tc>
        <w:tc>
          <w:tcPr>
            <w:tcW w:w="0" w:type="dxa"/>
            <w:vAlign w:val="bottom"/>
          </w:tcPr>
          <w:p>
            <w:pPr>
              <w:spacing w:after="0"/>
              <w:rPr>
                <w:sz w:val="1"/>
                <w:szCs w:val="1"/>
                <w:color w:val="auto"/>
              </w:rPr>
            </w:pPr>
          </w:p>
        </w:tc>
      </w:tr>
      <w:tr>
        <w:trPr>
          <w:trHeight w:val="175"/>
        </w:trPr>
        <w:tc>
          <w:tcPr>
            <w:tcW w:w="6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DBDBDB"/>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23"/>
        </w:trPr>
        <w:tc>
          <w:tcPr>
            <w:tcW w:w="70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$ 28.13 to 193.58</w:t>
            </w:r>
          </w:p>
        </w:tc>
        <w:tc>
          <w:tcPr>
            <w:tcW w:w="1320" w:type="dxa"/>
            <w:vAlign w:val="bottom"/>
            <w:shd w:val="clear" w:color="auto" w:fill="DBDBDB"/>
          </w:tcPr>
          <w:p>
            <w:pPr>
              <w:jc w:val="right"/>
              <w:ind w:right="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 Fully</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Vested and</w:t>
            </w:r>
          </w:p>
        </w:tc>
        <w:tc>
          <w:tcPr>
            <w:tcW w:w="200" w:type="dxa"/>
            <w:vAlign w:val="bottom"/>
          </w:tcPr>
          <w:p>
            <w:pPr>
              <w:spacing w:after="0"/>
              <w:rPr>
                <w:sz w:val="11"/>
                <w:szCs w:val="11"/>
                <w:color w:val="auto"/>
              </w:rPr>
            </w:pPr>
          </w:p>
        </w:tc>
        <w:tc>
          <w:tcPr>
            <w:tcW w:w="11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35"/>
        </w:trPr>
        <w:tc>
          <w:tcPr>
            <w:tcW w:w="8480" w:type="dxa"/>
            <w:vAlign w:val="bottom"/>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Expected to Vest</w:t>
            </w:r>
          </w:p>
        </w:tc>
        <w:tc>
          <w:tcPr>
            <w:tcW w:w="2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5"/>
                <w:szCs w:val="15"/>
                <w:color w:val="auto"/>
              </w:rPr>
            </w:pPr>
          </w:p>
        </w:tc>
        <w:tc>
          <w:tcPr>
            <w:tcW w:w="1120" w:type="dxa"/>
            <w:vAlign w:val="bottom"/>
          </w:tcPr>
          <w:p>
            <w:pPr>
              <w:jc w:val="right"/>
              <w:ind w:right="176"/>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223"/>
        </w:trPr>
        <w:tc>
          <w:tcPr>
            <w:tcW w:w="8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Options outstanding (shares)</w:t>
            </w:r>
          </w:p>
        </w:tc>
        <w:tc>
          <w:tcPr>
            <w:tcW w:w="160" w:type="dxa"/>
            <w:vAlign w:val="bottom"/>
            <w:tcBorders>
              <w:top w:val="single" w:sz="8" w:color="auto"/>
            </w:tcBorders>
            <w:shd w:val="clear" w:color="auto" w:fill="DBDBDB"/>
          </w:tcPr>
          <w:p>
            <w:pPr>
              <w:spacing w:after="0"/>
              <w:rPr>
                <w:sz w:val="19"/>
                <w:szCs w:val="19"/>
                <w:color w:val="auto"/>
              </w:rPr>
            </w:pP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Weighted average remaining contractual life (in years)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8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exercise price per share</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90.97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Intrinsic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580" w:hanging="332"/>
        <w:spacing w:after="0" w:line="261" w:lineRule="auto"/>
        <w:tabs>
          <w:tab w:leader="none" w:pos="3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effects of expected forfeitures. Excluding the effects of expected forfeitures, the aggregate intrinsic value of stock options outstanding was $2.42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shares outstanding and treasury shares</w:t>
      </w:r>
    </w:p>
    <w:p>
      <w:pPr>
        <w:spacing w:after="0" w:line="24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Treasury shares were acquired in connection with the board-authorized stock repurchase program. As of December 31, 2021, $10.10 billion of stock repurchase authorizations remain, and no expiration date has been specified.</w:t>
      </w:r>
    </w:p>
    <w:p>
      <w:pPr>
        <w:spacing w:after="0" w:line="19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Our practice is to issue shares of common stock from treasury shares upon exercise of stock options, distribution of director deferred compensation and vesting of RSUs. The following table reflects the changes in our treasury shares: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center"/>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4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821</w:t>
            </w:r>
          </w:p>
        </w:tc>
        <w:tc>
          <w:tcPr>
            <w:tcW w:w="4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Shares issued</w:t>
            </w:r>
          </w:p>
        </w:tc>
        <w:tc>
          <w:tcPr>
            <w:tcW w:w="40" w:type="dxa"/>
            <w:vAlign w:val="bottom"/>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Balance, December 31</w:t>
            </w:r>
          </w:p>
        </w:tc>
        <w:tc>
          <w:tcPr>
            <w:tcW w:w="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Arial" w:cs="Arial" w:eastAsia="Arial" w:hAnsi="Arial"/>
                <w:sz w:val="18"/>
                <w:szCs w:val="18"/>
                <w:color w:val="auto"/>
              </w:rPr>
              <w:t>The effects on cash flows are as follows:</w:t>
            </w: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0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040" w:type="dxa"/>
            <w:vAlign w:val="bottom"/>
            <w:tcBorders>
              <w:bottom w:val="single" w:sz="8" w:color="DBDBDB"/>
            </w:tcBorders>
          </w:tcPr>
          <w:p>
            <w:pPr>
              <w:spacing w:after="0"/>
              <w:rPr>
                <w:sz w:val="15"/>
                <w:szCs w:val="15"/>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DBDBDB"/>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common stock transactions (a)</w:t>
            </w:r>
          </w:p>
        </w:tc>
        <w:tc>
          <w:tcPr>
            <w:tcW w:w="900" w:type="dxa"/>
            <w:vAlign w:val="bottom"/>
            <w:gridSpan w:val="2"/>
            <w:shd w:val="clear" w:color="auto" w:fill="DBDBDB"/>
          </w:tcPr>
          <w:p>
            <w:pPr>
              <w:jc w:val="right"/>
              <w:ind w:right="78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377</w:t>
            </w:r>
          </w:p>
        </w:tc>
        <w:tc>
          <w:tcPr>
            <w:tcW w:w="40" w:type="dxa"/>
            <w:vAlign w:val="bottom"/>
            <w:shd w:val="clear" w:color="auto" w:fill="DBDBDB"/>
          </w:tcPr>
          <w:p>
            <w:pPr>
              <w:spacing w:after="0"/>
              <w:rPr>
                <w:sz w:val="19"/>
                <w:szCs w:val="19"/>
                <w:color w:val="auto"/>
              </w:rPr>
            </w:pPr>
          </w:p>
        </w:tc>
        <w:tc>
          <w:tcPr>
            <w:tcW w:w="38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 benefit realized from stock compensation</w:t>
            </w:r>
          </w:p>
        </w:tc>
        <w:tc>
          <w:tcPr>
            <w:tcW w:w="900" w:type="dxa"/>
            <w:vAlign w:val="bottom"/>
            <w:gridSpan w:val="2"/>
            <w:shd w:val="clear" w:color="auto" w:fill="DBDBDB"/>
          </w:tcPr>
          <w:p>
            <w:pPr>
              <w:jc w:val="right"/>
              <w:ind w:right="78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175</w:t>
            </w:r>
          </w:p>
        </w:tc>
        <w:tc>
          <w:tcPr>
            <w:tcW w:w="40" w:type="dxa"/>
            <w:vAlign w:val="bottom"/>
            <w:shd w:val="clear" w:color="auto" w:fill="DBDBDB"/>
          </w:tcPr>
          <w:p>
            <w:pPr>
              <w:spacing w:after="0"/>
              <w:rPr>
                <w:sz w:val="19"/>
                <w:szCs w:val="19"/>
                <w:color w:val="auto"/>
              </w:rPr>
            </w:pPr>
          </w:p>
        </w:tc>
        <w:tc>
          <w:tcPr>
            <w:tcW w:w="38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Reduction to deferred tax asset</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4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Excess tax benefit for stock compensation</w:t>
            </w:r>
          </w:p>
        </w:tc>
        <w:tc>
          <w:tcPr>
            <w:tcW w:w="900" w:type="dxa"/>
            <w:vAlign w:val="bottom"/>
            <w:gridSpan w:val="2"/>
            <w:shd w:val="clear" w:color="auto" w:fill="DBDBDB"/>
          </w:tcPr>
          <w:p>
            <w:pPr>
              <w:jc w:val="right"/>
              <w:ind w:right="78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w:t>
            </w:r>
          </w:p>
        </w:tc>
        <w:tc>
          <w:tcPr>
            <w:tcW w:w="40" w:type="dxa"/>
            <w:vAlign w:val="bottom"/>
            <w:shd w:val="clear" w:color="auto" w:fill="DBDBDB"/>
          </w:tcPr>
          <w:p>
            <w:pPr>
              <w:spacing w:after="0"/>
              <w:rPr>
                <w:sz w:val="21"/>
                <w:szCs w:val="21"/>
                <w:color w:val="auto"/>
              </w:rPr>
            </w:pPr>
          </w:p>
        </w:tc>
        <w:tc>
          <w:tcPr>
            <w:tcW w:w="38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70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0" w:firstLine="8"/>
        <w:spacing w:after="0" w:line="500"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Net of taxes paid for employee shares withheld of $53 million, $53 million and $52 million in 2021, 2020 and 2019, respectively. 4. </w:t>
      </w:r>
      <w:r>
        <w:rPr>
          <w:rFonts w:ascii="Arial" w:cs="Arial" w:eastAsia="Arial" w:hAnsi="Arial"/>
          <w:sz w:val="18"/>
          <w:szCs w:val="18"/>
          <w:u w:val="single" w:color="auto"/>
          <w:color w:val="auto"/>
        </w:rPr>
        <w:t>Income taxes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is comprised of the following components: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Years Ended December 31,</w:t>
            </w:r>
          </w:p>
        </w:tc>
        <w:tc>
          <w:tcPr>
            <w:tcW w:w="920" w:type="dxa"/>
            <w:vAlign w:val="bottom"/>
            <w:tcBorders>
              <w:bottom w:val="single" w:sz="8" w:color="auto"/>
            </w:tcBorders>
          </w:tcPr>
          <w:p>
            <w:pPr>
              <w:spacing w:after="0"/>
              <w:rPr>
                <w:sz w:val="16"/>
                <w:szCs w:val="16"/>
                <w:color w:val="auto"/>
              </w:rPr>
            </w:pPr>
          </w:p>
        </w:tc>
      </w:tr>
      <w:tr>
        <w:trPr>
          <w:trHeight w:val="183"/>
        </w:trPr>
        <w:tc>
          <w:tcPr>
            <w:tcW w:w="704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3"/>
        </w:trPr>
        <w:tc>
          <w:tcPr>
            <w:tcW w:w="7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7,998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5,210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4,915</w:t>
            </w:r>
          </w:p>
        </w:tc>
      </w:tr>
      <w:tr>
        <w:trPr>
          <w:trHeight w:val="229"/>
        </w:trPr>
        <w:tc>
          <w:tcPr>
            <w:tcW w:w="7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Non-U.S.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48"/>
        </w:trPr>
        <w:tc>
          <w:tcPr>
            <w:tcW w:w="7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8,919</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5,728</w:t>
            </w:r>
          </w:p>
        </w:tc>
      </w:tr>
      <w:tr>
        <w:trPr>
          <w:trHeight w:val="20"/>
        </w:trPr>
        <w:tc>
          <w:tcPr>
            <w:tcW w:w="704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Provision for income taxes is comprised of the following components: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rPr>
              <w:t>For Years Ended December 31,</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83"/>
        </w:trPr>
        <w:tc>
          <w:tcPr>
            <w:tcW w:w="1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83"/>
        </w:trPr>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r>
      <w:tr>
        <w:trPr>
          <w:trHeight w:val="223"/>
        </w:trPr>
        <w:tc>
          <w:tcPr>
            <w:tcW w:w="1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U.S. federal</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948</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925</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Non-U.S.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state</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gridSpan w:val="2"/>
            <w:shd w:val="clear" w:color="auto" w:fill="DBDBDB"/>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15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1"/>
        </w:trPr>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Principal reconciling items from the U.S. statutory income tax rate to the effective tax rate (provision for income taxes as a percentage of income before income taxes) are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326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rPr>
              <w:t>For Years Ended December 31,</w:t>
            </w:r>
          </w:p>
        </w:tc>
        <w:tc>
          <w:tcPr>
            <w:tcW w:w="940" w:type="dxa"/>
            <w:vAlign w:val="bottom"/>
            <w:tcBorders>
              <w:bottom w:val="single" w:sz="8" w:color="auto"/>
            </w:tcBorders>
          </w:tcPr>
          <w:p>
            <w:pPr>
              <w:spacing w:after="0"/>
              <w:rPr>
                <w:sz w:val="16"/>
                <w:szCs w:val="16"/>
                <w:color w:val="auto"/>
              </w:rPr>
            </w:pPr>
          </w:p>
        </w:tc>
      </w:tr>
      <w:tr>
        <w:trPr>
          <w:trHeight w:val="183"/>
        </w:trPr>
        <w:tc>
          <w:tcPr>
            <w:tcW w:w="7020" w:type="dxa"/>
            <w:vAlign w:val="bottom"/>
            <w:tcBorders>
              <w:bottom w:val="single" w:sz="8" w:color="DBDBDB"/>
            </w:tcBorders>
          </w:tcPr>
          <w:p>
            <w:pPr>
              <w:spacing w:after="0"/>
              <w:rPr>
                <w:sz w:val="15"/>
                <w:szCs w:val="15"/>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r>
      <w:tr>
        <w:trPr>
          <w:trHeight w:val="223"/>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statutory income tax rate</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U.S. tax benefit for foreign derived intangible income</w:t>
            </w:r>
          </w:p>
        </w:tc>
        <w:tc>
          <w:tcPr>
            <w:tcW w:w="1340" w:type="dxa"/>
            <w:vAlign w:val="bottom"/>
          </w:tcPr>
          <w:p>
            <w:pPr>
              <w:jc w:val="right"/>
              <w:ind w:right="114"/>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(4.9)</w:t>
            </w:r>
          </w:p>
        </w:tc>
      </w:tr>
      <w:tr>
        <w:trPr>
          <w:trHeight w:val="229"/>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excess tax benefit for stock compensation</w:t>
            </w:r>
          </w:p>
        </w:tc>
        <w:tc>
          <w:tcPr>
            <w:tcW w:w="1340" w:type="dxa"/>
            <w:vAlign w:val="bottom"/>
            <w:shd w:val="clear" w:color="auto" w:fill="DBDBDB"/>
          </w:tcPr>
          <w:p>
            <w:pPr>
              <w:jc w:val="right"/>
              <w:ind w:right="114"/>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(3.1)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U.S. R&amp;D tax credit</w:t>
            </w:r>
          </w:p>
        </w:tc>
        <w:tc>
          <w:tcPr>
            <w:tcW w:w="1340" w:type="dxa"/>
            <w:vAlign w:val="bottom"/>
          </w:tcPr>
          <w:p>
            <w:pPr>
              <w:jc w:val="right"/>
              <w:ind w:right="114"/>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(1.4)</w:t>
            </w:r>
          </w:p>
        </w:tc>
      </w:tr>
      <w:tr>
        <w:trPr>
          <w:trHeight w:val="229"/>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Impact of changes in uncertain tax positions</w:t>
            </w:r>
          </w:p>
        </w:tc>
        <w:tc>
          <w:tcPr>
            <w:tcW w:w="1340" w:type="dxa"/>
            <w:vAlign w:val="bottom"/>
            <w:shd w:val="clear" w:color="auto" w:fill="DBDBDB"/>
          </w:tcPr>
          <w:p>
            <w:pPr>
              <w:jc w:val="right"/>
              <w:ind w:right="114"/>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(0.1)</w:t>
            </w:r>
          </w:p>
        </w:tc>
      </w:tr>
      <w:tr>
        <w:trPr>
          <w:trHeight w:val="230"/>
        </w:trPr>
        <w:tc>
          <w:tcPr>
            <w:tcW w:w="7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DBDBDB"/>
            </w:tcBorders>
          </w:tcPr>
          <w:p>
            <w:pPr>
              <w:spacing w:after="0"/>
              <w:rPr>
                <w:sz w:val="19"/>
                <w:szCs w:val="19"/>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0.9</w:t>
            </w:r>
          </w:p>
        </w:tc>
      </w:tr>
      <w:tr>
        <w:trPr>
          <w:trHeight w:val="248"/>
        </w:trPr>
        <w:tc>
          <w:tcPr>
            <w:tcW w:w="7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12.9 %</w:t>
            </w:r>
          </w:p>
        </w:tc>
        <w:tc>
          <w:tcPr>
            <w:tcW w:w="10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12.4 %</w:t>
            </w:r>
          </w:p>
        </w:tc>
      </w:tr>
      <w:tr>
        <w:trPr>
          <w:trHeight w:val="20"/>
        </w:trPr>
        <w:tc>
          <w:tcPr>
            <w:tcW w:w="7020" w:type="dxa"/>
            <w:vAlign w:val="bottom"/>
            <w:tcBorders>
              <w:top w:val="single" w:sz="8" w:color="DBDBDB"/>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earnings represented by non-cash operating assets, such as fixed assets and inventory, will continue to be permanently reinvested outside the United States. Provisions of the U.S. Tax Cuts and Jobs Act (the Tax Act), such as the one-time tax on indefinitely reinvested earnings and the global intangible low-taxed income (GILTI) tax for years beginning in 2018, eliminate any additional U.S. taxation resulting from repatriation of earnings of non-U.S. subsidiaries to the United States. Consequently, no U.S. tax provision has been made for the future remittance of these earnings. However, withholding or distribution taxes in certain non-U.S. jurisdictions will be incurred upon repatriation of available cash to the United States. A provision has been made for deferred taxes on these undistributed earnings to the extent that repatriation of the available cash to the United States is expected to result in a tax liability. As of December 31, 2021, we have no basis differences that would result in material unrecognized deferred tax liabilities.</w:t>
      </w:r>
    </w:p>
    <w:p>
      <w:pPr>
        <w:spacing w:after="0" w:line="20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have made an allowable policy election to account for the effects of GILTI as a component of income tax expense in the period in which the tax is incurred.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primary components of deferred tax assets and liabilities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3"/>
        </w:trPr>
        <w:tc>
          <w:tcPr>
            <w:tcW w:w="8680" w:type="dxa"/>
            <w:vAlign w:val="bottom"/>
            <w:tcBorders>
              <w:bottom w:val="single" w:sz="8" w:color="DBDBDB"/>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1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7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760" w:type="dxa"/>
            <w:vAlign w:val="bottom"/>
          </w:tcPr>
          <w:p>
            <w:pPr>
              <w:jc w:val="right"/>
              <w:ind w:right="55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loss and tax credit carryforwards</w:t>
            </w:r>
          </w:p>
        </w:tc>
        <w:tc>
          <w:tcPr>
            <w:tcW w:w="76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Inventories and related reserves</w:t>
            </w:r>
          </w:p>
        </w:tc>
        <w:tc>
          <w:tcPr>
            <w:tcW w:w="76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Retirement costs for defined benefit and retiree health care</w:t>
            </w:r>
          </w:p>
        </w:tc>
        <w:tc>
          <w:tcPr>
            <w:tcW w:w="7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Total deferred tax assets, before valuation allowance</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Valuation allowance</w:t>
            </w:r>
          </w:p>
        </w:tc>
        <w:tc>
          <w:tcPr>
            <w:tcW w:w="760" w:type="dxa"/>
            <w:vAlign w:val="bottom"/>
            <w:tcBorders>
              <w:bottom w:val="single" w:sz="8" w:color="auto"/>
            </w:tcBorders>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5"/>
              </w:rPr>
              <w:t>(188)</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(179)</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Total deferred tax assets, after valuation allowance</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liabilities:</w:t>
            </w:r>
          </w:p>
        </w:tc>
        <w:tc>
          <w:tcPr>
            <w:tcW w:w="7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5"/>
              </w:rPr>
              <w:t>(197)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International earnings</w:t>
            </w:r>
          </w:p>
        </w:tc>
        <w:tc>
          <w:tcPr>
            <w:tcW w:w="76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Retirement costs for defined benefit and retiree health care</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Acquisition-related intangibles and fair-value adjustments</w:t>
            </w:r>
          </w:p>
        </w:tc>
        <w:tc>
          <w:tcPr>
            <w:tcW w:w="76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6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deferred tax liabilities</w:t>
            </w:r>
          </w:p>
        </w:tc>
        <w:tc>
          <w:tcPr>
            <w:tcW w:w="760" w:type="dxa"/>
            <w:vAlign w:val="bottom"/>
            <w:tcBorders>
              <w:bottom w:val="single" w:sz="8" w:color="auto"/>
            </w:tcBorders>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5"/>
              </w:rPr>
              <w:t>(276)</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Net deferred tax asset</w:t>
            </w:r>
          </w:p>
        </w:tc>
        <w:tc>
          <w:tcPr>
            <w:tcW w:w="7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1"/>
        </w:trPr>
        <w:tc>
          <w:tcPr>
            <w:tcW w:w="8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and liabilities based on tax jurisdictions are presented on our Consolidated Balance Sheets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3"/>
        </w:trPr>
        <w:tc>
          <w:tcPr>
            <w:tcW w:w="8680" w:type="dxa"/>
            <w:vAlign w:val="bottom"/>
            <w:tcBorders>
              <w:bottom w:val="single" w:sz="8" w:color="DBDBDB"/>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Deferred tax liabilities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48"/>
        </w:trPr>
        <w:tc>
          <w:tcPr>
            <w:tcW w:w="8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deferred tax asset</w:t>
            </w:r>
          </w:p>
        </w:tc>
        <w:tc>
          <w:tcPr>
            <w:tcW w:w="780" w:type="dxa"/>
            <w:vAlign w:val="bottom"/>
            <w:tcBorders>
              <w:bottom w:val="single" w:sz="8" w:color="auto"/>
            </w:tcBorders>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253</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Valuation allowances increased $9 million in 2021, decreased $1 million in 2020 and increased $8 million in 2019. These changes had no impact to net income in 2021, 2020 or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have no material tax loss carryforwards as of December 31, 2021.</w:t>
      </w:r>
    </w:p>
    <w:p>
      <w:pPr>
        <w:spacing w:after="0" w:line="225"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Cash payments made for income taxes, net of refunds, were $1.20 billion, $720 million and $570 million in 2021,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our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changes in the total amounts of uncertain tax positions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Borders>
              <w:bottom w:val="single" w:sz="8" w:color="DBDBDB"/>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23"/>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800" w:type="dxa"/>
            <w:vAlign w:val="bottom"/>
            <w:shd w:val="clear" w:color="auto" w:fill="DBDBDB"/>
          </w:tcPr>
          <w:p>
            <w:pPr>
              <w:jc w:val="right"/>
              <w:ind w:right="594"/>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80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Settlements with tax authorities</w:t>
            </w:r>
          </w:p>
        </w:tc>
        <w:tc>
          <w:tcPr>
            <w:tcW w:w="80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5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Expiration of the statute of limitations for assessing taxes</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w:t>
            </w:r>
          </w:p>
        </w:tc>
        <w:tc>
          <w:tcPr>
            <w:tcW w:w="800" w:type="dxa"/>
            <w:vAlign w:val="bottom"/>
            <w:tcBorders>
              <w:top w:val="single" w:sz="8" w:color="auto"/>
              <w:bottom w:val="single" w:sz="8" w:color="auto"/>
            </w:tcBorders>
            <w:shd w:val="clear" w:color="auto" w:fill="DBDBDB"/>
          </w:tcPr>
          <w:p>
            <w:pPr>
              <w:jc w:val="right"/>
              <w:ind w:right="594"/>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60" w:type="dxa"/>
            <w:vAlign w:val="bottom"/>
            <w:tcBorders>
              <w:top w:val="single" w:sz="8" w:color="auto"/>
              <w:bottom w:val="single" w:sz="8" w:color="auto"/>
            </w:tcBorders>
            <w:shd w:val="clear" w:color="auto" w:fill="DBDBDB"/>
          </w:tcPr>
          <w:p>
            <w:pPr>
              <w:jc w:val="right"/>
              <w:ind w:right="55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7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4"/>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Interest income (expense) recognized in the year ended December 31</w:t>
            </w:r>
          </w:p>
        </w:tc>
        <w:tc>
          <w:tcPr>
            <w:tcW w:w="800" w:type="dxa"/>
            <w:vAlign w:val="bottom"/>
            <w:tcBorders>
              <w:bottom w:val="single" w:sz="8" w:color="auto"/>
            </w:tcBorders>
            <w:shd w:val="clear" w:color="auto" w:fill="DBDBDB"/>
          </w:tcPr>
          <w:p>
            <w:pPr>
              <w:jc w:val="right"/>
              <w:ind w:right="594"/>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DBDBDB"/>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ind w:right="55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7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4"/>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Interest payable as of December 31</w:t>
            </w:r>
          </w:p>
        </w:tc>
        <w:tc>
          <w:tcPr>
            <w:tcW w:w="800" w:type="dxa"/>
            <w:vAlign w:val="bottom"/>
            <w:tcBorders>
              <w:bottom w:val="single" w:sz="8" w:color="auto"/>
            </w:tcBorders>
            <w:shd w:val="clear" w:color="auto" w:fill="DBDBDB"/>
          </w:tcPr>
          <w:p>
            <w:pPr>
              <w:jc w:val="right"/>
              <w:ind w:right="594"/>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DBDBDB"/>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ind w:right="55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liability for uncertain tax positions is a component of other long-term liabilities on our Consolidated Balance Sheets.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All of the $69 million and $89 million liabilities for uncertain tax positions as of December 31, 2021 and 2020, respectively, are comprised of positions that, if recognized, would lower the effective tax rate. If these liabilities are ultimately realized, $2 million of existing deferred tax assets in 2020 would also be realized. Reductions for tax positions of prior years in 2020 include a $249 million tax benefit for the effective settlement of a depreciation-related uncertain tax position. Accrued interest of $46 million related to this uncertain tax position was reversed and included in OI&amp;E.</w:t>
      </w:r>
    </w:p>
    <w:p>
      <w:pPr>
        <w:spacing w:after="0" w:line="20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December 31, 2021, the statute of limitations remains open for U.S. federal tax returns for 2017 and following years. Certain tax treaty procedures for relief from double taxation remain pending for U.S. federal tax returns for the years 2011 through 2020.</w:t>
      </w:r>
    </w:p>
    <w:p>
      <w:pPr>
        <w:spacing w:after="0" w:line="198"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United States, our subsidiaries are no longer subject to income tax audits for years before 2012.</w:t>
      </w:r>
    </w:p>
    <w:p>
      <w:pPr>
        <w:spacing w:after="0" w:line="198"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risk concentration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4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hold derivative financial instruments such as forward foreign currency exchange contracts, the fair value of which was not material as of December 31, 2021. Our forward foreign currency exchange contracts outstanding as of December 31, 2021, had a notional value of $313 million to hedge our non-U.S. dollar net balance sheet exposures, including $127 million to sell Japanese yen, $82 million to sell British pounds and $42 million to sell euros.</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investments in cash equivalents, short-term investments and certain long-term investments, as well as our deferred compensation liabilities, are carried at fair value. Our postretirement plan assets are carried at fair value or net asset value per share. The carrying values for other current financial assets and liabilities, such as accounts receivable and accounts payable, approximate fair value due to the short maturity of such instruments. As of December 31, 2021, the carrying value of long-term debt, including the current portion, was $ 7.74 billion, and the estimated fair value was $ 8.38 billion. The estimated fair value is measured using broker-dealer quotes, which are Level 2 inputs. See Note 6 for a description of fair value and the definition of Level 2 inputs.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Risk concentration</w:t>
      </w:r>
    </w:p>
    <w:p>
      <w:pPr>
        <w:spacing w:after="0" w:line="2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credit losses. These allowances are deducted from accounts receivable on our Consolidated Balance Sheets.</w:t>
      </w:r>
    </w:p>
    <w:p>
      <w:pPr>
        <w:spacing w:after="0" w:line="202"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Accounts receivable allowances changed to reflect amounts charged (credited) to operating results by ($3) million, $3 million and ($11) million in 2021, 2020 and 2019, respectively.</w:t>
      </w:r>
    </w:p>
    <w:p>
      <w:pPr>
        <w:spacing w:after="0" w:line="198"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Money market funds, available-for-sale debt investments and mutual funds are stated at fair value, which is generally based on market prices or broker quotes.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from available-for-sale debt securities are recorded as an increase or decrease, net of taxes, in AOCI on our Consolidated Balance Sheets, and any credit losses on available-for-sale debt securities are recorded as an allowance for credit losses with an offset recognized in OI&amp;E in our Consolidated Statements of Income.</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4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20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Details of our investments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1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Long-Term</w:t>
            </w:r>
          </w:p>
        </w:tc>
        <w:tc>
          <w:tcPr>
            <w:tcW w:w="11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Cash and Cash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5"/>
                <w:szCs w:val="15"/>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0"/>
        </w:trPr>
        <w:tc>
          <w:tcPr>
            <w:tcW w:w="36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1,824</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1,070</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680" w:type="dxa"/>
            <w:vAlign w:val="bottom"/>
            <w:shd w:val="clear" w:color="auto" w:fill="DBDBDB"/>
          </w:tcPr>
          <w:p>
            <w:pPr>
              <w:ind w:left="140"/>
              <w:spacing w:after="0" w:line="189"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6"/>
                <w:szCs w:val="16"/>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12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18"/>
                <w:szCs w:val="18"/>
                <w:color w:val="auto"/>
              </w:rPr>
            </w:pPr>
          </w:p>
        </w:tc>
        <w:tc>
          <w:tcPr>
            <w:tcW w:w="102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2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20" w:type="dxa"/>
            <w:vAlign w:val="bottom"/>
            <w:gridSpan w:val="2"/>
            <w:vMerge w:val="continue"/>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6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3,826</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5,108</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3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equity investments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4,631</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5,108</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3,107</w:t>
            </w:r>
          </w:p>
        </w:tc>
        <w:tc>
          <w:tcPr>
            <w:tcW w:w="26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3,461</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6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of December 31, 2021 and 2020, unrealized gains and losses associated with our available-for-sale investments were not material. We did not recognize any credit losses related to available-for-sale investments in 2021, 2020 or 2019. All of our debt securities classified as available for sale as of December 31, 2021, have maturities within one year.</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2021, 2020 and 2019, the proceeds from sales, redemptions and maturities of short-term available-for-sale investments were $8.48 billion, $5.29 billion and $2.31 billion, respectively. Gross realized gains and losses from these sales were not material.</w:t>
      </w:r>
    </w:p>
    <w:p>
      <w:pPr>
        <w:spacing w:after="0" w:line="19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2020, we entered into total return swaps to economically hedge the variability of certain deferred compensation obligations to employees. As a result, in 2020, we received proceeds of $253 million from the sale of investments in mutual funds that were previously being utilized to offset this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0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117" w:lineRule="exact"/>
        <w:rPr>
          <w:rFonts w:ascii="Arial" w:cs="Arial" w:eastAsia="Arial" w:hAnsi="Arial"/>
          <w:sz w:val="18"/>
          <w:szCs w:val="18"/>
          <w:color w:val="auto"/>
        </w:rPr>
      </w:pPr>
    </w:p>
    <w:p>
      <w:pPr>
        <w:ind w:left="660" w:right="4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1" w:name="page42"/>
    <w:bookmarkEnd w:id="41"/>
    <w:p>
      <w:pPr>
        <w:ind w:left="660" w:right="200" w:hanging="328"/>
        <w:spacing w:after="0" w:line="26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These values are generally determined using pricing models that utilize management estimates of market participant assumptions. As of December 31, 2021 and 2020, we had no Level 3 assets or liabilities.</w:t>
      </w:r>
    </w:p>
    <w:p>
      <w:pPr>
        <w:spacing w:after="0" w:line="19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rPr>
              <w:t>December 31, 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rPr>
              <w:t>December 31, 2020</w:t>
            </w:r>
          </w:p>
        </w:tc>
        <w:tc>
          <w:tcPr>
            <w:tcW w:w="760" w:type="dxa"/>
            <w:vAlign w:val="bottom"/>
            <w:tcBorders>
              <w:bottom w:val="single" w:sz="8" w:color="auto"/>
            </w:tcBorders>
          </w:tcPr>
          <w:p>
            <w:pPr>
              <w:spacing w:after="0"/>
              <w:rPr>
                <w:sz w:val="16"/>
                <w:szCs w:val="16"/>
                <w:color w:val="auto"/>
              </w:rPr>
            </w:pPr>
          </w:p>
        </w:tc>
      </w:tr>
      <w:tr>
        <w:trPr>
          <w:trHeight w:val="183"/>
        </w:trPr>
        <w:tc>
          <w:tcPr>
            <w:tcW w:w="4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09"/>
        </w:trPr>
        <w:tc>
          <w:tcPr>
            <w:tcW w:w="4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8"/>
                <w:szCs w:val="18"/>
                <w:color w:val="auto"/>
              </w:rPr>
            </w:pPr>
          </w:p>
        </w:tc>
        <w:tc>
          <w:tcPr>
            <w:tcW w:w="7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7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7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760" w:type="dxa"/>
            <w:vAlign w:val="bottom"/>
            <w:tcBorders>
              <w:top w:val="single" w:sz="8" w:color="auto"/>
            </w:tcBorders>
            <w:shd w:val="clear" w:color="auto" w:fill="DBDBDB"/>
          </w:tcPr>
          <w:p>
            <w:pPr>
              <w:spacing w:after="0"/>
              <w:rPr>
                <w:sz w:val="18"/>
                <w:szCs w:val="18"/>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1,824</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2,130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2,130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3,629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4,030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4,394</w:t>
            </w:r>
          </w:p>
        </w:tc>
      </w:tr>
      <w:tr>
        <w:trPr>
          <w:trHeight w:val="230"/>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47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Mutual funds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5,469</w:t>
            </w:r>
          </w:p>
        </w:tc>
        <w:tc>
          <w:tcPr>
            <w:tcW w:w="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3,481</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8,950</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5,298</w:t>
            </w:r>
          </w:p>
        </w:tc>
        <w:tc>
          <w:tcPr>
            <w:tcW w:w="36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5,961</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9"/>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r>
      <w:tr>
        <w:trPr>
          <w:trHeight w:val="230"/>
        </w:trPr>
        <w:tc>
          <w:tcPr>
            <w:tcW w:w="47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Deferred compensation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395</w:t>
            </w:r>
          </w:p>
        </w:tc>
        <w:tc>
          <w:tcPr>
            <w:tcW w:w="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w:t>
            </w:r>
          </w:p>
        </w:tc>
        <w:tc>
          <w:tcPr>
            <w:tcW w:w="36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Postretirement benefit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descriptions</w:t>
      </w:r>
    </w:p>
    <w:p>
      <w:pPr>
        <w:spacing w:after="0" w:line="24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We have various employee retirement plans, including defined contribution, defined benefit and retiree health care benefit plans. For qualifying employees, we offer deferred compensation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retirement plans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principal retirement plans in the United States are a defined contribution plan, an enhanced defined contribution plan and qualified and non-qualified defined benefit pension plans. The defined benefit plans were closed to new participants in 1997, and then current participants were allowed to make a one-time election to continue accruing a benefit in the plans or to cease accruing a benefit and instead to participate in the enhanced defined contribution plan.</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Both defined contribution plans offer an employer-matching savings option that allows employees to make pretax and post-tax contributions to various investment choices. Employees who elected to continue accruing a benefit in the qualified defined benefit pension plans may also participate in the defined contribution plan, where employer-matching contributions are provided for up to 2%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of the employee’s annual eligible earnings, plus an employer-matching contribution of up to 4% of the employee’s annual eligible earnings. Employees hired after December 31, 2003, do not receive the fixed employer contribution of 2% of the employee’s annual eligible earnings.</w:t>
      </w:r>
    </w:p>
    <w:p>
      <w:pPr>
        <w:spacing w:after="0" w:line="2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December 31, 2021 and 2020, as a result of employees’ elections, TI’s U.S. defined contribution plans held shares of TI common stock totaling 6 million shares and 7 million shares valued at $ 1.16 billion and $1.12 billion, respectively. Dividends paid on these shares in both 2021 and 2020 were $27 million. Effective April 1, 2016, the TI common stock fund was frozen to new contributions or transfers into the fund.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aggregate expense for the U.S. defined contribution plans was $63 million in 2021 and $61 million in 2020 and 2019.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2" w:name="page43"/>
    <w:bookmarkEnd w:id="42"/>
    <w:p>
      <w:pPr>
        <w:ind w:right="160"/>
        <w:spacing w:after="0" w:line="253" w:lineRule="auto"/>
        <w:rPr>
          <w:sz w:val="20"/>
          <w:szCs w:val="20"/>
          <w:color w:val="auto"/>
        </w:rPr>
      </w:pPr>
      <w:r>
        <w:rPr>
          <w:rFonts w:ascii="Arial" w:cs="Arial" w:eastAsia="Arial" w:hAnsi="Arial"/>
          <w:sz w:val="18"/>
          <w:szCs w:val="18"/>
          <w:color w:val="auto"/>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retiree health care benefit plan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Non-U.S. retirement plans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204"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As of December 31, 2021 and 2020, as a result of employees’ elections, TI’s non-U.S. defined contribution plans held TI common stock valued at $38 million and $36 million, respectively. Dividends paid on these shares of TI common stock in 2021 and 2020 were not material.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on our Consolidated Statements of Income and Balance Sheets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8"/>
          </w:tcPr>
          <w:p>
            <w:pPr>
              <w:ind w:left="320"/>
              <w:spacing w:after="0"/>
              <w:rPr>
                <w:sz w:val="20"/>
                <w:szCs w:val="20"/>
                <w:color w:val="auto"/>
              </w:rPr>
            </w:pPr>
            <w:r>
              <w:rPr>
                <w:rFonts w:ascii="Arial" w:cs="Arial" w:eastAsia="Arial" w:hAnsi="Arial"/>
                <w:sz w:val="14"/>
                <w:szCs w:val="14"/>
                <w:b w:val="1"/>
                <w:bCs w:val="1"/>
                <w:color w:val="auto"/>
              </w:rPr>
              <w:t>U.S. Defined Benefit</w:t>
            </w:r>
          </w:p>
        </w:tc>
        <w:tc>
          <w:tcPr>
            <w:tcW w:w="160" w:type="dxa"/>
            <w:vAlign w:val="bottom"/>
          </w:tcPr>
          <w:p>
            <w:pPr>
              <w:spacing w:after="0"/>
              <w:rPr>
                <w:sz w:val="16"/>
                <w:szCs w:val="16"/>
                <w:color w:val="auto"/>
              </w:rPr>
            </w:pPr>
          </w:p>
        </w:tc>
        <w:tc>
          <w:tcPr>
            <w:tcW w:w="2240" w:type="dxa"/>
            <w:vAlign w:val="bottom"/>
            <w:gridSpan w:val="8"/>
          </w:tcPr>
          <w:p>
            <w:pPr>
              <w:ind w:left="160"/>
              <w:spacing w:after="0"/>
              <w:rPr>
                <w:sz w:val="20"/>
                <w:szCs w:val="20"/>
                <w:color w:val="auto"/>
              </w:rPr>
            </w:pPr>
            <w:r>
              <w:rPr>
                <w:rFonts w:ascii="Arial" w:cs="Arial" w:eastAsia="Arial" w:hAnsi="Arial"/>
                <w:sz w:val="14"/>
                <w:szCs w:val="14"/>
                <w:b w:val="1"/>
                <w:bCs w:val="1"/>
                <w:color w:val="auto"/>
              </w:rPr>
              <w:t>U.S. Retiree Health Care</w:t>
            </w:r>
          </w:p>
        </w:tc>
        <w:tc>
          <w:tcPr>
            <w:tcW w:w="160" w:type="dxa"/>
            <w:vAlign w:val="bottom"/>
          </w:tcPr>
          <w:p>
            <w:pPr>
              <w:spacing w:after="0"/>
              <w:rPr>
                <w:sz w:val="16"/>
                <w:szCs w:val="16"/>
                <w:color w:val="auto"/>
              </w:rPr>
            </w:pPr>
          </w:p>
        </w:tc>
        <w:tc>
          <w:tcPr>
            <w:tcW w:w="2200" w:type="dxa"/>
            <w:vAlign w:val="bottom"/>
            <w:gridSpan w:val="7"/>
          </w:tcPr>
          <w:p>
            <w:pPr>
              <w:jc w:val="right"/>
              <w:ind w:right="252"/>
              <w:spacing w:after="0"/>
              <w:rPr>
                <w:sz w:val="20"/>
                <w:szCs w:val="20"/>
                <w:color w:val="auto"/>
              </w:rPr>
            </w:pPr>
            <w:r>
              <w:rPr>
                <w:rFonts w:ascii="Arial" w:cs="Arial" w:eastAsia="Arial" w:hAnsi="Arial"/>
                <w:sz w:val="14"/>
                <w:szCs w:val="14"/>
                <w:b w:val="1"/>
                <w:bCs w:val="1"/>
                <w:color w:val="auto"/>
              </w:rPr>
              <w:t>Non-U.S. Defined Benefit</w:t>
            </w:r>
          </w:p>
        </w:tc>
      </w:tr>
      <w:tr>
        <w:trPr>
          <w:trHeight w:val="183"/>
        </w:trPr>
        <w:tc>
          <w:tcPr>
            <w:tcW w:w="4040" w:type="dxa"/>
            <w:vAlign w:val="bottom"/>
            <w:tcBorders>
              <w:bottom w:val="single" w:sz="8" w:color="DBDBDB"/>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DBDBDB"/>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DBDBDB"/>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BDBDB"/>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BDBDB"/>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BDBDB"/>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r>
      <w:tr>
        <w:trPr>
          <w:trHeight w:val="223"/>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1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Recognized net actuarial loss</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Net periodic benefit costs</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 losses</w:t>
            </w:r>
          </w:p>
        </w:tc>
        <w:tc>
          <w:tcPr>
            <w:tcW w:w="14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including other postretirement losses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All defined benefit and retiree health care benefit plan expense components other than service cost are recognized in OI&amp;E in our Consolidated Statements of Income. Service cost is recognized within operating profit.</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Changes in the benefit obligations and plan assets for defined benefit and retiree health care benefit plans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ind w:left="40"/>
              <w:spacing w:after="0"/>
              <w:rPr>
                <w:sz w:val="20"/>
                <w:szCs w:val="20"/>
                <w:color w:val="auto"/>
              </w:rPr>
            </w:pPr>
            <w:r>
              <w:rPr>
                <w:rFonts w:ascii="Arial" w:cs="Arial" w:eastAsia="Arial" w:hAnsi="Arial"/>
                <w:sz w:val="14"/>
                <w:szCs w:val="14"/>
                <w:b w:val="1"/>
                <w:bCs w:val="1"/>
                <w:color w:val="auto"/>
              </w:rPr>
              <w:t>U.S. Defined Benefit</w:t>
            </w: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rPr>
              <w:t>U.S. Retiree Health Care</w:t>
            </w:r>
          </w:p>
        </w:tc>
        <w:tc>
          <w:tcPr>
            <w:tcW w:w="1800" w:type="dxa"/>
            <w:vAlign w:val="bottom"/>
            <w:gridSpan w:val="5"/>
          </w:tcPr>
          <w:p>
            <w:pPr>
              <w:jc w:val="right"/>
              <w:spacing w:after="0"/>
              <w:rPr>
                <w:sz w:val="20"/>
                <w:szCs w:val="20"/>
                <w:color w:val="auto"/>
              </w:rPr>
            </w:pPr>
            <w:r>
              <w:rPr>
                <w:rFonts w:ascii="Arial" w:cs="Arial" w:eastAsia="Arial" w:hAnsi="Arial"/>
                <w:sz w:val="14"/>
                <w:szCs w:val="14"/>
                <w:b w:val="1"/>
                <w:bCs w:val="1"/>
                <w:color w:val="auto"/>
              </w:rPr>
              <w:t>Non-U.S. Defined Benefit</w:t>
            </w:r>
          </w:p>
        </w:tc>
      </w:tr>
      <w:tr>
        <w:trPr>
          <w:trHeight w:val="183"/>
        </w:trPr>
        <w:tc>
          <w:tcPr>
            <w:tcW w:w="5480" w:type="dxa"/>
            <w:vAlign w:val="bottom"/>
            <w:tcBorders>
              <w:bottom w:val="single" w:sz="8" w:color="DBDBDB"/>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DBDBDB"/>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DBDBDB"/>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r>
      <w:tr>
        <w:trPr>
          <w:trHeight w:val="209"/>
        </w:trPr>
        <w:tc>
          <w:tcPr>
            <w:tcW w:w="54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 in plan benefit obligation</w:t>
            </w:r>
          </w:p>
        </w:tc>
        <w:tc>
          <w:tcPr>
            <w:tcW w:w="18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2,868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2,581</w:t>
            </w:r>
          </w:p>
        </w:tc>
      </w:tr>
      <w:tr>
        <w:trPr>
          <w:trHeight w:val="230"/>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Participant contributions</w:t>
            </w:r>
          </w:p>
        </w:tc>
        <w:tc>
          <w:tcPr>
            <w:tcW w:w="18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Actuarial loss (gain)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Plan amendments</w:t>
            </w:r>
          </w:p>
        </w:tc>
        <w:tc>
          <w:tcPr>
            <w:tcW w:w="18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Effects of exchange rate changes</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548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Benefit obligation at end of year</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895</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360</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2,574</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2,868</w:t>
            </w:r>
          </w:p>
        </w:tc>
      </w:tr>
      <w:tr>
        <w:trPr>
          <w:trHeight w:val="237"/>
        </w:trPr>
        <w:tc>
          <w:tcPr>
            <w:tcW w:w="5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54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2,661</w:t>
            </w:r>
          </w:p>
        </w:tc>
      </w:tr>
      <w:tr>
        <w:trPr>
          <w:trHeight w:val="230"/>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Employer contributions (qualified plans)</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Employer contributions (non-qualified plans)</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Participant contributions</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4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Effects of exchange rate changes</w:t>
            </w:r>
          </w:p>
        </w:tc>
        <w:tc>
          <w:tcPr>
            <w:tcW w:w="18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54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w:t>
            </w:r>
          </w:p>
        </w:tc>
        <w:tc>
          <w:tcPr>
            <w:tcW w:w="10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2,813</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w:t>
            </w:r>
          </w:p>
        </w:tc>
      </w:tr>
      <w:tr>
        <w:trPr>
          <w:trHeight w:val="237"/>
        </w:trPr>
        <w:tc>
          <w:tcPr>
            <w:tcW w:w="548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8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spacing w:after="0"/>
              <w:rPr>
                <w:sz w:val="20"/>
                <w:szCs w:val="20"/>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Funded status at end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5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Changes in actuarial gains and losses in the projected benefit obligations are generally driven by discount rate movement.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our Consolidated Balance Sheets as of December 31,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U.S. Defined Benefit</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U.S. Retiree Health</w:t>
            </w: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Non-U.S. Defined</w:t>
            </w:r>
          </w:p>
        </w:tc>
        <w:tc>
          <w:tcPr>
            <w:tcW w:w="340" w:type="dxa"/>
            <w:vAlign w:val="bottom"/>
          </w:tcPr>
          <w:p>
            <w:pPr>
              <w:spacing w:after="0"/>
              <w:rPr>
                <w:sz w:val="14"/>
                <w:szCs w:val="14"/>
                <w:color w:val="auto"/>
              </w:rPr>
            </w:pPr>
          </w:p>
        </w:tc>
        <w:tc>
          <w:tcPr>
            <w:tcW w:w="11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Care</w:t>
            </w: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tcBorders>
            <w:shd w:val="clear" w:color="auto" w:fill="DBDBDB"/>
          </w:tcPr>
          <w:p>
            <w:pPr>
              <w:spacing w:after="0"/>
              <w:rPr>
                <w:sz w:val="18"/>
                <w:szCs w:val="18"/>
                <w:color w:val="auto"/>
              </w:rPr>
            </w:pPr>
          </w:p>
        </w:tc>
        <w:tc>
          <w:tcPr>
            <w:tcW w:w="8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320" w:type="dxa"/>
            <w:vAlign w:val="bottom"/>
            <w:tcBorders>
              <w:top w:val="single" w:sz="8" w:color="auto"/>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b w:val="1"/>
                <w:bCs w:val="1"/>
                <w:color w:val="auto"/>
              </w:rPr>
              <w:t>Overfunded retirement plans</w:t>
            </w:r>
          </w:p>
        </w:tc>
        <w:tc>
          <w:tcPr>
            <w:tcW w:w="60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0" w:type="dxa"/>
            <w:vAlign w:val="bottom"/>
          </w:tcPr>
          <w:p>
            <w:pPr>
              <w:spacing w:after="0"/>
              <w:rPr>
                <w:sz w:val="1"/>
                <w:szCs w:val="1"/>
                <w:color w:val="auto"/>
              </w:rPr>
            </w:pPr>
          </w:p>
        </w:tc>
      </w:tr>
      <w:tr>
        <w:trPr>
          <w:trHeight w:val="175"/>
        </w:trPr>
        <w:tc>
          <w:tcPr>
            <w:tcW w:w="51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b w:val="1"/>
                <w:bCs w:val="1"/>
                <w:color w:val="auto"/>
              </w:rPr>
              <w:t>Accrued expenses and other liabilities &amp; other long-term</w:t>
            </w:r>
          </w:p>
        </w:tc>
        <w:tc>
          <w:tcPr>
            <w:tcW w:w="600" w:type="dxa"/>
            <w:vAlign w:val="bottom"/>
            <w:shd w:val="clear" w:color="auto" w:fill="DBDBDB"/>
          </w:tcPr>
          <w:p>
            <w:pPr>
              <w:spacing w:after="0"/>
              <w:rPr>
                <w:sz w:val="15"/>
                <w:szCs w:val="15"/>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0"/>
        </w:trPr>
        <w:tc>
          <w:tcPr>
            <w:tcW w:w="51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DBDBDB"/>
          </w:tcPr>
          <w:p>
            <w:pPr>
              <w:spacing w:after="0"/>
              <w:rPr>
                <w:sz w:val="19"/>
                <w:szCs w:val="19"/>
                <w:color w:val="auto"/>
              </w:rPr>
            </w:pPr>
          </w:p>
        </w:tc>
        <w:tc>
          <w:tcPr>
            <w:tcW w:w="820" w:type="dxa"/>
            <w:vAlign w:val="bottom"/>
            <w:vMerge w:val="continue"/>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00" w:type="dxa"/>
            <w:vAlign w:val="bottom"/>
            <w:gridSpan w:val="2"/>
            <w:vMerge w:val="continue"/>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vMerge w:val="continue"/>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00" w:type="dxa"/>
            <w:vAlign w:val="bottom"/>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DBDBDB"/>
            </w:tcBorders>
          </w:tcPr>
          <w:p>
            <w:pPr>
              <w:ind w:left="140"/>
              <w:spacing w:after="0"/>
              <w:rPr>
                <w:sz w:val="20"/>
                <w:szCs w:val="20"/>
                <w:color w:val="auto"/>
              </w:rPr>
            </w:pPr>
            <w:r>
              <w:rPr>
                <w:rFonts w:ascii="Arial" w:cs="Arial" w:eastAsia="Arial" w:hAnsi="Arial"/>
                <w:sz w:val="18"/>
                <w:szCs w:val="18"/>
                <w:b w:val="1"/>
                <w:bCs w:val="1"/>
                <w:color w:val="auto"/>
              </w:rPr>
              <w:t>Underfunded retirement plans</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Funded status at end of 2021</w:t>
            </w:r>
          </w:p>
        </w:tc>
        <w:tc>
          <w:tcPr>
            <w:tcW w:w="60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303</w:t>
            </w:r>
          </w:p>
        </w:tc>
        <w:tc>
          <w:tcPr>
            <w:tcW w:w="0" w:type="dxa"/>
            <w:vAlign w:val="bottom"/>
          </w:tcPr>
          <w:p>
            <w:pPr>
              <w:spacing w:after="0"/>
              <w:rPr>
                <w:sz w:val="1"/>
                <w:szCs w:val="1"/>
                <w:color w:val="auto"/>
              </w:rPr>
            </w:pPr>
          </w:p>
        </w:tc>
      </w:tr>
      <w:tr>
        <w:trPr>
          <w:trHeight w:val="20"/>
        </w:trPr>
        <w:tc>
          <w:tcPr>
            <w:tcW w:w="516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Overfunded retirement plans</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188"/>
        </w:trPr>
        <w:tc>
          <w:tcPr>
            <w:tcW w:w="5160" w:type="dxa"/>
            <w:vAlign w:val="bottom"/>
            <w:shd w:val="clear" w:color="auto" w:fill="DBDBDB"/>
          </w:tcPr>
          <w:p>
            <w:pPr>
              <w:ind w:left="140"/>
              <w:spacing w:after="0" w:line="189" w:lineRule="exact"/>
              <w:rPr>
                <w:sz w:val="20"/>
                <w:szCs w:val="20"/>
                <w:color w:val="auto"/>
              </w:rPr>
            </w:pPr>
            <w:r>
              <w:rPr>
                <w:rFonts w:ascii="Arial" w:cs="Arial" w:eastAsia="Arial" w:hAnsi="Arial"/>
                <w:sz w:val="18"/>
                <w:szCs w:val="18"/>
                <w:color w:val="auto"/>
              </w:rPr>
              <w:t>Accrued expenses and other liabilities &amp; other long-term</w:t>
            </w:r>
          </w:p>
        </w:tc>
        <w:tc>
          <w:tcPr>
            <w:tcW w:w="6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liabilities</w:t>
            </w:r>
          </w:p>
        </w:tc>
        <w:tc>
          <w:tcPr>
            <w:tcW w:w="60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Underfunded retirement plans</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Funded status at end of 2020</w:t>
            </w:r>
          </w:p>
        </w:tc>
        <w:tc>
          <w:tcPr>
            <w:tcW w:w="600" w:type="dxa"/>
            <w:vAlign w:val="bottom"/>
            <w:shd w:val="clear" w:color="auto" w:fill="DBDBDB"/>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BDBDB"/>
          </w:tcPr>
          <w:p>
            <w:pPr>
              <w:spacing w:after="0"/>
              <w:rPr>
                <w:sz w:val="21"/>
                <w:szCs w:val="21"/>
                <w:color w:val="auto"/>
              </w:rPr>
            </w:pPr>
          </w:p>
        </w:tc>
        <w:tc>
          <w:tcPr>
            <w:tcW w:w="320" w:type="dxa"/>
            <w:vAlign w:val="bottom"/>
            <w:shd w:val="clear" w:color="auto" w:fill="DBDBDB"/>
          </w:tcPr>
          <w:p>
            <w:pPr>
              <w:jc w:val="right"/>
              <w:ind w:right="134"/>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16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$10 million to our retirement benefit plans in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4" w:name="page45"/>
    <w:bookmarkEnd w:id="44"/>
    <w:p>
      <w:pPr>
        <w:ind w:right="60"/>
        <w:spacing w:after="0" w:line="256" w:lineRule="auto"/>
        <w:rPr>
          <w:sz w:val="20"/>
          <w:szCs w:val="20"/>
          <w:color w:val="auto"/>
        </w:rPr>
      </w:pPr>
      <w:r>
        <w:rPr>
          <w:rFonts w:ascii="Arial" w:cs="Arial" w:eastAsia="Arial" w:hAnsi="Arial"/>
          <w:sz w:val="18"/>
          <w:szCs w:val="18"/>
          <w:color w:val="auto"/>
        </w:rPr>
        <w:t>Accumulated benefit obligations, which are generally less than the projected benefit obligations as they exclude the impact of future salary increases, were $820 million and $992 million as of December 31, 2021 and 2020, respectively, for the U.S. defined benefit plans, and $2.47 billion and $2.72 billion as of December 31, 2021 and 2020, respectively, for the non-U.S. defined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AOCI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U.S. Defined</w:t>
            </w:r>
          </w:p>
        </w:tc>
        <w:tc>
          <w:tcPr>
            <w:tcW w:w="140" w:type="dxa"/>
            <w:vAlign w:val="bottom"/>
          </w:tcPr>
          <w:p>
            <w:pPr>
              <w:spacing w:after="0"/>
              <w:rPr>
                <w:sz w:val="14"/>
                <w:szCs w:val="14"/>
                <w:color w:val="auto"/>
              </w:rPr>
            </w:pPr>
          </w:p>
        </w:tc>
        <w:tc>
          <w:tcPr>
            <w:tcW w:w="2240" w:type="dxa"/>
            <w:vAlign w:val="bottom"/>
            <w:gridSpan w:val="4"/>
            <w:vMerge w:val="restart"/>
          </w:tcPr>
          <w:p>
            <w:pPr>
              <w:jc w:val="right"/>
              <w:ind w:right="275"/>
              <w:spacing w:after="0"/>
              <w:rPr>
                <w:sz w:val="20"/>
                <w:szCs w:val="20"/>
                <w:color w:val="auto"/>
              </w:rPr>
            </w:pPr>
            <w:r>
              <w:rPr>
                <w:rFonts w:ascii="Arial" w:cs="Arial" w:eastAsia="Arial" w:hAnsi="Arial"/>
                <w:sz w:val="14"/>
                <w:szCs w:val="14"/>
                <w:b w:val="1"/>
                <w:bCs w:val="1"/>
                <w:color w:val="auto"/>
              </w:rPr>
              <w:t>U.S. Retiree Health Care</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vMerge w:val="restart"/>
          </w:tcPr>
          <w:p>
            <w:pPr>
              <w:jc w:val="right"/>
              <w:ind w:right="235"/>
              <w:spacing w:after="0"/>
              <w:rPr>
                <w:sz w:val="20"/>
                <w:szCs w:val="20"/>
                <w:color w:val="auto"/>
              </w:rPr>
            </w:pPr>
            <w:r>
              <w:rPr>
                <w:rFonts w:ascii="Arial" w:cs="Arial" w:eastAsia="Arial" w:hAnsi="Arial"/>
                <w:sz w:val="14"/>
                <w:szCs w:val="14"/>
                <w:b w:val="1"/>
                <w:bCs w:val="1"/>
                <w:color w:val="auto"/>
              </w:rPr>
              <w:t>Non-U.S. Defined Benefit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Benefit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Actuarial</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Prior Service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Prior Service</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Net Actuarial</w:t>
            </w:r>
          </w:p>
        </w:tc>
        <w:tc>
          <w:tcPr>
            <w:tcW w:w="120" w:type="dxa"/>
            <w:vAlign w:val="bottom"/>
          </w:tcPr>
          <w:p>
            <w:pPr>
              <w:spacing w:after="0"/>
              <w:rPr>
                <w:sz w:val="12"/>
                <w:szCs w:val="12"/>
                <w:color w:val="auto"/>
              </w:rPr>
            </w:pPr>
          </w:p>
        </w:tc>
        <w:tc>
          <w:tcPr>
            <w:tcW w:w="10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Prior Service</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Credit</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Credit</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5"/>
                <w:szCs w:val="15"/>
                <w:color w:val="auto"/>
              </w:rPr>
            </w:pPr>
          </w:p>
        </w:tc>
        <w:tc>
          <w:tcPr>
            <w:tcW w:w="1020" w:type="dxa"/>
            <w:vAlign w:val="bottom"/>
          </w:tcPr>
          <w:p>
            <w:pPr>
              <w:jc w:val="right"/>
              <w:ind w:right="275"/>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68"/>
        </w:trPr>
        <w:tc>
          <w:tcPr>
            <w:tcW w:w="2660" w:type="dxa"/>
            <w:vAlign w:val="bottom"/>
            <w:tcBorders>
              <w:top w:val="single" w:sz="8" w:color="DBDBDB"/>
            </w:tcBorders>
            <w:shd w:val="clear" w:color="auto" w:fill="DBDBDB"/>
          </w:tcPr>
          <w:p>
            <w:pPr>
              <w:ind w:left="20"/>
              <w:spacing w:after="0" w:line="168" w:lineRule="exact"/>
              <w:rPr>
                <w:sz w:val="20"/>
                <w:szCs w:val="20"/>
                <w:color w:val="auto"/>
              </w:rPr>
            </w:pPr>
            <w:r>
              <w:rPr>
                <w:rFonts w:ascii="Arial" w:cs="Arial" w:eastAsia="Arial" w:hAnsi="Arial"/>
                <w:sz w:val="18"/>
                <w:szCs w:val="18"/>
                <w:color w:val="auto"/>
              </w:rPr>
              <w:t>AOCI balance, net of taxes,</w:t>
            </w:r>
          </w:p>
        </w:tc>
        <w:tc>
          <w:tcPr>
            <w:tcW w:w="140" w:type="dxa"/>
            <w:vAlign w:val="bottom"/>
            <w:tcBorders>
              <w:top w:val="single" w:sz="8" w:color="auto"/>
            </w:tcBorders>
            <w:shd w:val="clear" w:color="auto" w:fill="DBDBDB"/>
          </w:tcPr>
          <w:p>
            <w:pPr>
              <w:spacing w:after="0"/>
              <w:rPr>
                <w:sz w:val="14"/>
                <w:szCs w:val="14"/>
                <w:color w:val="auto"/>
              </w:rPr>
            </w:pPr>
          </w:p>
        </w:tc>
        <w:tc>
          <w:tcPr>
            <w:tcW w:w="1020" w:type="dxa"/>
            <w:vAlign w:val="bottom"/>
            <w:tcBorders>
              <w:top w:val="single" w:sz="8" w:color="auto"/>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1000" w:type="dxa"/>
            <w:vAlign w:val="bottom"/>
            <w:tcBorders>
              <w:top w:val="single" w:sz="8" w:color="auto"/>
            </w:tcBorders>
            <w:shd w:val="clear" w:color="auto" w:fill="DBDBDB"/>
          </w:tcPr>
          <w:p>
            <w:pPr>
              <w:spacing w:after="0"/>
              <w:rPr>
                <w:sz w:val="14"/>
                <w:szCs w:val="14"/>
                <w:color w:val="auto"/>
              </w:rPr>
            </w:pPr>
          </w:p>
        </w:tc>
        <w:tc>
          <w:tcPr>
            <w:tcW w:w="10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spacing w:after="0"/>
              <w:rPr>
                <w:sz w:val="14"/>
                <w:szCs w:val="14"/>
                <w:color w:val="auto"/>
              </w:rPr>
            </w:pPr>
          </w:p>
        </w:tc>
        <w:tc>
          <w:tcPr>
            <w:tcW w:w="1020" w:type="dxa"/>
            <w:vAlign w:val="bottom"/>
            <w:tcBorders>
              <w:top w:val="single" w:sz="8" w:color="auto"/>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spacing w:after="0"/>
              <w:rPr>
                <w:sz w:val="14"/>
                <w:szCs w:val="14"/>
                <w:color w:val="auto"/>
              </w:rPr>
            </w:pPr>
          </w:p>
        </w:tc>
        <w:tc>
          <w:tcPr>
            <w:tcW w:w="1020" w:type="dxa"/>
            <w:vAlign w:val="bottom"/>
            <w:tcBorders>
              <w:top w:val="single" w:sz="8" w:color="auto"/>
            </w:tcBorders>
            <w:shd w:val="clear" w:color="auto" w:fill="DBDBDB"/>
          </w:tcPr>
          <w:p>
            <w:pPr>
              <w:spacing w:after="0"/>
              <w:rPr>
                <w:sz w:val="14"/>
                <w:szCs w:val="14"/>
                <w:color w:val="auto"/>
              </w:rPr>
            </w:pPr>
          </w:p>
        </w:tc>
        <w:tc>
          <w:tcPr>
            <w:tcW w:w="10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spacing w:after="0"/>
              <w:rPr>
                <w:sz w:val="14"/>
                <w:szCs w:val="14"/>
                <w:color w:val="auto"/>
              </w:rPr>
            </w:pPr>
          </w:p>
        </w:tc>
        <w:tc>
          <w:tcPr>
            <w:tcW w:w="1000" w:type="dxa"/>
            <w:vAlign w:val="bottom"/>
            <w:tcBorders>
              <w:top w:val="single" w:sz="8" w:color="auto"/>
            </w:tcBorders>
            <w:shd w:val="clear" w:color="auto" w:fill="DBDBDB"/>
          </w:tcPr>
          <w:p>
            <w:pPr>
              <w:spacing w:after="0"/>
              <w:rPr>
                <w:sz w:val="14"/>
                <w:szCs w:val="14"/>
                <w:color w:val="auto"/>
              </w:rPr>
            </w:pPr>
          </w:p>
        </w:tc>
        <w:tc>
          <w:tcPr>
            <w:tcW w:w="10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spacing w:after="0"/>
              <w:rPr>
                <w:sz w:val="14"/>
                <w:szCs w:val="14"/>
                <w:color w:val="auto"/>
              </w:rPr>
            </w:pPr>
          </w:p>
        </w:tc>
        <w:tc>
          <w:tcPr>
            <w:tcW w:w="1040" w:type="dxa"/>
            <w:vAlign w:val="bottom"/>
            <w:tcBorders>
              <w:top w:val="single" w:sz="8" w:color="auto"/>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spacing w:after="0"/>
              <w:rPr>
                <w:sz w:val="14"/>
                <w:szCs w:val="14"/>
                <w:color w:val="auto"/>
              </w:rPr>
            </w:pPr>
          </w:p>
        </w:tc>
        <w:tc>
          <w:tcPr>
            <w:tcW w:w="1020" w:type="dxa"/>
            <w:vAlign w:val="bottom"/>
            <w:tcBorders>
              <w:top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December 31, 2020</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Changes in AOCI by category:</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Adjustments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(84)</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(231)</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2660" w:type="dxa"/>
            <w:vAlign w:val="bottom"/>
          </w:tcPr>
          <w:p>
            <w:pPr>
              <w:ind w:left="140"/>
              <w:spacing w:after="0" w:line="176" w:lineRule="exact"/>
              <w:rPr>
                <w:sz w:val="20"/>
                <w:szCs w:val="20"/>
                <w:color w:val="auto"/>
              </w:rPr>
            </w:pPr>
            <w:r>
              <w:rPr>
                <w:rFonts w:ascii="Arial" w:cs="Arial" w:eastAsia="Arial" w:hAnsi="Arial"/>
                <w:sz w:val="18"/>
                <w:szCs w:val="18"/>
                <w:b w:val="1"/>
                <w:bCs w:val="1"/>
                <w:color w:val="auto"/>
              </w:rPr>
              <w:t>Recognized within net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b w:val="1"/>
                <w:bCs w:val="1"/>
                <w:color w:val="auto"/>
              </w:rPr>
              <w:t>income</w:t>
            </w: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Tax effect</w:t>
            </w:r>
          </w:p>
        </w:tc>
        <w:tc>
          <w:tcPr>
            <w:tcW w:w="14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64</w:t>
            </w:r>
          </w:p>
        </w:tc>
        <w:tc>
          <w:tcPr>
            <w:tcW w:w="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DBDBDB"/>
            </w:tcBorders>
          </w:tcPr>
          <w:p>
            <w:pPr>
              <w:ind w:left="140"/>
              <w:spacing w:after="0"/>
              <w:rPr>
                <w:sz w:val="20"/>
                <w:szCs w:val="20"/>
                <w:color w:val="auto"/>
              </w:rPr>
            </w:pPr>
            <w:r>
              <w:rPr>
                <w:rFonts w:ascii="Arial" w:cs="Arial" w:eastAsia="Arial" w:hAnsi="Arial"/>
                <w:sz w:val="18"/>
                <w:szCs w:val="18"/>
                <w:b w:val="1"/>
                <w:bCs w:val="1"/>
                <w:color w:val="auto"/>
              </w:rPr>
              <w:t>Total change to AOCI</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55"/>
        </w:trPr>
        <w:tc>
          <w:tcPr>
            <w:tcW w:w="266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AOCI balance, net of taxes,</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shd w:val="clear" w:color="auto" w:fill="DBDBDB"/>
          </w:tcPr>
          <w:p>
            <w:pPr>
              <w:spacing w:after="0"/>
              <w:rPr>
                <w:sz w:val="13"/>
                <w:szCs w:val="13"/>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155</w:t>
            </w:r>
          </w:p>
        </w:tc>
        <w:tc>
          <w:tcPr>
            <w:tcW w:w="8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DBDBDB"/>
            </w:tcBorders>
            <w:shd w:val="clear" w:color="auto" w:fill="DBDBDB"/>
          </w:tcPr>
          <w:p>
            <w:pPr>
              <w:ind w:left="20"/>
              <w:spacing w:after="0" w:line="202" w:lineRule="exact"/>
              <w:rPr>
                <w:sz w:val="20"/>
                <w:szCs w:val="20"/>
                <w:color w:val="auto"/>
              </w:rPr>
            </w:pPr>
            <w:r>
              <w:rPr>
                <w:rFonts w:ascii="Arial" w:cs="Arial" w:eastAsia="Arial" w:hAnsi="Arial"/>
                <w:sz w:val="18"/>
                <w:szCs w:val="18"/>
                <w:b w:val="1"/>
                <w:bCs w:val="1"/>
                <w:color w:val="auto"/>
              </w:rPr>
              <w:t>December 31, 2021</w:t>
            </w:r>
          </w:p>
        </w:tc>
        <w:tc>
          <w:tcPr>
            <w:tcW w:w="140" w:type="dxa"/>
            <w:vAlign w:val="bottom"/>
            <w:tcBorders>
              <w:bottom w:val="single" w:sz="8" w:color="auto"/>
            </w:tcBorders>
            <w:vMerge w:val="continue"/>
            <w:shd w:val="clear" w:color="auto" w:fill="DBDBDB"/>
          </w:tcPr>
          <w:p>
            <w:pPr>
              <w:spacing w:after="0"/>
              <w:rPr>
                <w:sz w:val="19"/>
                <w:szCs w:val="19"/>
                <w:color w:val="auto"/>
              </w:rPr>
            </w:pPr>
          </w:p>
        </w:tc>
        <w:tc>
          <w:tcPr>
            <w:tcW w:w="1020" w:type="dxa"/>
            <w:vAlign w:val="bottom"/>
            <w:tcBorders>
              <w:bottom w:val="single" w:sz="8" w:color="auto"/>
            </w:tcBorders>
            <w:vMerge w:val="continue"/>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vMerge w:val="continue"/>
            <w:shd w:val="clear" w:color="auto" w:fill="DBDBDB"/>
          </w:tcPr>
          <w:p>
            <w:pPr>
              <w:spacing w:after="0"/>
              <w:rPr>
                <w:sz w:val="19"/>
                <w:szCs w:val="19"/>
                <w:color w:val="auto"/>
              </w:rPr>
            </w:pPr>
          </w:p>
        </w:tc>
        <w:tc>
          <w:tcPr>
            <w:tcW w:w="1000" w:type="dxa"/>
            <w:vAlign w:val="bottom"/>
            <w:tcBorders>
              <w:bottom w:val="single" w:sz="8" w:color="auto"/>
            </w:tcBorders>
            <w:vMerge w:val="continue"/>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vMerge w:val="continue"/>
            <w:shd w:val="clear" w:color="auto" w:fill="DBDBDB"/>
          </w:tcPr>
          <w:p>
            <w:pPr>
              <w:spacing w:after="0"/>
              <w:rPr>
                <w:sz w:val="19"/>
                <w:szCs w:val="19"/>
                <w:color w:val="auto"/>
              </w:rPr>
            </w:pPr>
          </w:p>
        </w:tc>
        <w:tc>
          <w:tcPr>
            <w:tcW w:w="1020" w:type="dxa"/>
            <w:vAlign w:val="bottom"/>
            <w:tcBorders>
              <w:bottom w:val="single" w:sz="8" w:color="auto"/>
            </w:tcBorders>
            <w:vMerge w:val="continue"/>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vMerge w:val="continue"/>
            <w:shd w:val="clear" w:color="auto" w:fill="DBDBDB"/>
          </w:tcPr>
          <w:p>
            <w:pPr>
              <w:spacing w:after="0"/>
              <w:rPr>
                <w:sz w:val="19"/>
                <w:szCs w:val="19"/>
                <w:color w:val="auto"/>
              </w:rPr>
            </w:pPr>
          </w:p>
        </w:tc>
        <w:tc>
          <w:tcPr>
            <w:tcW w:w="1020" w:type="dxa"/>
            <w:vAlign w:val="bottom"/>
            <w:tcBorders>
              <w:bottom w:val="single" w:sz="8" w:color="auto"/>
            </w:tcBorders>
            <w:vMerge w:val="continue"/>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vMerge w:val="continue"/>
            <w:shd w:val="clear" w:color="auto" w:fill="DBDBDB"/>
          </w:tcPr>
          <w:p>
            <w:pPr>
              <w:spacing w:after="0"/>
              <w:rPr>
                <w:sz w:val="19"/>
                <w:szCs w:val="19"/>
                <w:color w:val="auto"/>
              </w:rPr>
            </w:pPr>
          </w:p>
        </w:tc>
        <w:tc>
          <w:tcPr>
            <w:tcW w:w="1000" w:type="dxa"/>
            <w:vAlign w:val="bottom"/>
            <w:tcBorders>
              <w:bottom w:val="single" w:sz="8" w:color="auto"/>
            </w:tcBorders>
            <w:vMerge w:val="continue"/>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vMerge w:val="continue"/>
            <w:shd w:val="clear" w:color="auto" w:fill="DBDBDB"/>
          </w:tcPr>
          <w:p>
            <w:pPr>
              <w:spacing w:after="0"/>
              <w:rPr>
                <w:sz w:val="19"/>
                <w:szCs w:val="19"/>
                <w:color w:val="auto"/>
              </w:rPr>
            </w:pPr>
          </w:p>
        </w:tc>
        <w:tc>
          <w:tcPr>
            <w:tcW w:w="1040" w:type="dxa"/>
            <w:vAlign w:val="bottom"/>
            <w:tcBorders>
              <w:bottom w:val="single" w:sz="8" w:color="auto"/>
            </w:tcBorders>
            <w:vMerge w:val="continue"/>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vMerge w:val="continue"/>
            <w:shd w:val="clear" w:color="auto" w:fill="DBDBDB"/>
          </w:tcPr>
          <w:p>
            <w:pPr>
              <w:spacing w:after="0"/>
              <w:rPr>
                <w:sz w:val="19"/>
                <w:szCs w:val="19"/>
                <w:color w:val="auto"/>
              </w:rPr>
            </w:pPr>
          </w:p>
        </w:tc>
        <w:tc>
          <w:tcPr>
            <w:tcW w:w="1020" w:type="dxa"/>
            <w:vAlign w:val="bottom"/>
            <w:tcBorders>
              <w:bottom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on plan assets</w:t>
      </w:r>
    </w:p>
    <w:p>
      <w:pPr>
        <w:spacing w:after="0" w:line="2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report and measure the plan assets of our defined benefit pension and other postretirement plans at fair value. The tables below set forth the fair value of our plan assets using the same three-level hierarchy of fair-value inputs described in Note 6.</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(a)</w:t>
            </w:r>
          </w:p>
        </w:tc>
        <w:tc>
          <w:tcPr>
            <w:tcW w:w="280" w:type="dxa"/>
            <w:vAlign w:val="bottom"/>
          </w:tcPr>
          <w:p>
            <w:pPr>
              <w:spacing w:after="0"/>
              <w:rPr>
                <w:sz w:val="15"/>
                <w:szCs w:val="15"/>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09"/>
        </w:trPr>
        <w:tc>
          <w:tcPr>
            <w:tcW w:w="6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 of U.S. defined benefit plan:</w:t>
            </w:r>
          </w:p>
        </w:tc>
        <w:tc>
          <w:tcPr>
            <w:tcW w:w="2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spacing w:after="0"/>
              <w:rPr>
                <w:sz w:val="18"/>
                <w:szCs w:val="18"/>
                <w:color w:val="auto"/>
              </w:rPr>
            </w:pPr>
          </w:p>
        </w:tc>
        <w:tc>
          <w:tcPr>
            <w:tcW w:w="940" w:type="dxa"/>
            <w:vAlign w:val="bottom"/>
            <w:tcBorders>
              <w:top w:val="single" w:sz="8" w:color="auto"/>
            </w:tcBorders>
            <w:shd w:val="clear" w:color="auto" w:fill="DBDBDB"/>
          </w:tcPr>
          <w:p>
            <w:pPr>
              <w:spacing w:after="0"/>
              <w:rPr>
                <w:sz w:val="18"/>
                <w:szCs w:val="18"/>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655</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279</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w:t>
            </w:r>
          </w:p>
        </w:tc>
      </w:tr>
      <w:tr>
        <w:trPr>
          <w:trHeight w:val="20"/>
        </w:trPr>
        <w:tc>
          <w:tcPr>
            <w:tcW w:w="606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Assets of U.S. retiree health care plan:</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248</w:t>
            </w: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137</w:t>
            </w:r>
          </w:p>
        </w:tc>
      </w:tr>
      <w:tr>
        <w:trPr>
          <w:trHeight w:val="248"/>
        </w:trPr>
        <w:tc>
          <w:tcPr>
            <w:tcW w:w="6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375</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385</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 of non-U.S. defined benefit plans:</w:t>
            </w: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Fixed income securities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2,045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2,220</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542</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593</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2,813</w:t>
            </w:r>
          </w:p>
        </w:tc>
      </w:tr>
      <w:tr>
        <w:trPr>
          <w:trHeight w:val="21"/>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 as well as cash equivalents.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(a)</w:t>
            </w:r>
          </w:p>
        </w:tc>
        <w:tc>
          <w:tcPr>
            <w:tcW w:w="280" w:type="dxa"/>
            <w:vAlign w:val="bottom"/>
          </w:tcPr>
          <w:p>
            <w:pPr>
              <w:spacing w:after="0"/>
              <w:rPr>
                <w:sz w:val="15"/>
                <w:szCs w:val="15"/>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10"/>
        </w:trPr>
        <w:tc>
          <w:tcPr>
            <w:tcW w:w="6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Assets of U.S. defined benefit plan:</w:t>
            </w:r>
          </w:p>
        </w:tc>
        <w:tc>
          <w:tcPr>
            <w:tcW w:w="2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spacing w:after="0"/>
              <w:rPr>
                <w:sz w:val="18"/>
                <w:szCs w:val="18"/>
                <w:color w:val="auto"/>
              </w:rPr>
            </w:pPr>
          </w:p>
        </w:tc>
        <w:tc>
          <w:tcPr>
            <w:tcW w:w="940" w:type="dxa"/>
            <w:vAlign w:val="bottom"/>
            <w:tcBorders>
              <w:top w:val="single" w:sz="8" w:color="auto"/>
            </w:tcBorders>
            <w:shd w:val="clear" w:color="auto" w:fill="DBDBDB"/>
          </w:tcPr>
          <w:p>
            <w:pPr>
              <w:spacing w:after="0"/>
              <w:rPr>
                <w:sz w:val="18"/>
                <w:szCs w:val="18"/>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0"/>
        </w:trPr>
        <w:tc>
          <w:tcPr>
            <w:tcW w:w="606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Assets of U.S. retiree health care plan:</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Assets of non-U.S. defined benefit plans:</w:t>
            </w: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Fixed income securities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2,278</w:t>
            </w:r>
          </w:p>
        </w:tc>
      </w:tr>
      <w:tr>
        <w:trPr>
          <w:trHeight w:val="229"/>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730</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r>
      <w:tr>
        <w:trPr>
          <w:trHeight w:val="21"/>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Consists of bond index and equity index funds, measured at net asset value per share, as well as cash equivalents.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and investment policies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2320" w:type="dxa"/>
            <w:vAlign w:val="bottom"/>
            <w:gridSpan w:val="4"/>
          </w:tcPr>
          <w:p>
            <w:pPr>
              <w:ind w:left="420"/>
              <w:spacing w:after="0"/>
              <w:rPr>
                <w:sz w:val="20"/>
                <w:szCs w:val="20"/>
                <w:color w:val="auto"/>
              </w:rPr>
            </w:pPr>
            <w:r>
              <w:rPr>
                <w:rFonts w:ascii="Arial" w:cs="Arial" w:eastAsia="Arial" w:hAnsi="Arial"/>
                <w:sz w:val="14"/>
                <w:szCs w:val="14"/>
                <w:b w:val="1"/>
                <w:bCs w:val="1"/>
                <w:color w:val="auto"/>
              </w:rPr>
              <w:t>U.S. Defined Benefit</w:t>
            </w:r>
          </w:p>
        </w:tc>
        <w:tc>
          <w:tcPr>
            <w:tcW w:w="2340" w:type="dxa"/>
            <w:vAlign w:val="bottom"/>
            <w:gridSpan w:val="4"/>
          </w:tcPr>
          <w:p>
            <w:pPr>
              <w:ind w:left="300"/>
              <w:spacing w:after="0"/>
              <w:rPr>
                <w:sz w:val="20"/>
                <w:szCs w:val="20"/>
                <w:color w:val="auto"/>
              </w:rPr>
            </w:pPr>
            <w:r>
              <w:rPr>
                <w:rFonts w:ascii="Arial" w:cs="Arial" w:eastAsia="Arial" w:hAnsi="Arial"/>
                <w:sz w:val="14"/>
                <w:szCs w:val="14"/>
                <w:b w:val="1"/>
                <w:bCs w:val="1"/>
                <w:color w:val="auto"/>
              </w:rPr>
              <w:t>U.S. Retiree Health Care</w:t>
            </w:r>
          </w:p>
        </w:tc>
        <w:tc>
          <w:tcPr>
            <w:tcW w:w="2240" w:type="dxa"/>
            <w:vAlign w:val="bottom"/>
            <w:gridSpan w:val="3"/>
          </w:tcPr>
          <w:p>
            <w:pPr>
              <w:ind w:left="260"/>
              <w:spacing w:after="0"/>
              <w:rPr>
                <w:sz w:val="20"/>
                <w:szCs w:val="20"/>
                <w:color w:val="auto"/>
              </w:rPr>
            </w:pPr>
            <w:r>
              <w:rPr>
                <w:rFonts w:ascii="Arial" w:cs="Arial" w:eastAsia="Arial" w:hAnsi="Arial"/>
                <w:sz w:val="14"/>
                <w:szCs w:val="14"/>
                <w:b w:val="1"/>
                <w:bCs w:val="1"/>
                <w:color w:val="auto"/>
              </w:rPr>
              <w:t>Non-U.S. Defined Benefit</w:t>
            </w:r>
          </w:p>
        </w:tc>
      </w:tr>
      <w:tr>
        <w:trPr>
          <w:trHeight w:val="182"/>
        </w:trPr>
        <w:tc>
          <w:tcPr>
            <w:tcW w:w="4300" w:type="dxa"/>
            <w:vAlign w:val="bottom"/>
            <w:tcBorders>
              <w:bottom w:val="single" w:sz="8" w:color="DBDBDB"/>
            </w:tcBorders>
          </w:tcPr>
          <w:p>
            <w:pPr>
              <w:spacing w:after="0"/>
              <w:rPr>
                <w:sz w:val="15"/>
                <w:szCs w:val="15"/>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5"/>
                <w:szCs w:val="15"/>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5"/>
                <w:szCs w:val="15"/>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DBDBDB"/>
            </w:tcBorders>
          </w:tcPr>
          <w:p>
            <w:pPr>
              <w:spacing w:after="0"/>
              <w:rPr>
                <w:sz w:val="15"/>
                <w:szCs w:val="15"/>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156"/>
        </w:trPr>
        <w:tc>
          <w:tcPr>
            <w:tcW w:w="430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Weighted average assumptions used to</w:t>
            </w: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r>
      <w:tr>
        <w:trPr>
          <w:trHeight w:val="229"/>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determine benefit obligations:</w:t>
            </w: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2.74%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2.81%</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3.05%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1.57%</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1.31%</w:t>
            </w:r>
          </w:p>
        </w:tc>
      </w:tr>
      <w:tr>
        <w:trPr>
          <w:trHeight w:val="230"/>
        </w:trPr>
        <w:tc>
          <w:tcPr>
            <w:tcW w:w="43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Long-term pay progression</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3.70%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3.70%</w:t>
            </w:r>
          </w:p>
        </w:tc>
        <w:tc>
          <w:tcPr>
            <w:tcW w:w="10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ind w:left="400"/>
              <w:spacing w:after="0"/>
              <w:rPr>
                <w:sz w:val="20"/>
                <w:szCs w:val="20"/>
                <w:color w:val="auto"/>
              </w:rPr>
            </w:pPr>
            <w:r>
              <w:rPr>
                <w:rFonts w:ascii="Arial" w:cs="Arial" w:eastAsia="Arial" w:hAnsi="Arial"/>
                <w:sz w:val="18"/>
                <w:szCs w:val="18"/>
                <w:b w:val="1"/>
                <w:bCs w:val="1"/>
                <w:color w:val="auto"/>
              </w:rPr>
              <w:t>n/a</w:t>
            </w:r>
          </w:p>
        </w:tc>
        <w:tc>
          <w:tcPr>
            <w:tcW w:w="1180" w:type="dxa"/>
            <w:vAlign w:val="bottom"/>
            <w:gridSpan w:val="2"/>
            <w:shd w:val="clear" w:color="auto" w:fill="DBDBDB"/>
          </w:tcPr>
          <w:p>
            <w:pPr>
              <w:ind w:left="42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3.15%</w:t>
            </w: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3.15%</w:t>
            </w:r>
          </w:p>
        </w:tc>
      </w:tr>
      <w:tr>
        <w:trPr>
          <w:trHeight w:val="256"/>
        </w:trPr>
        <w:tc>
          <w:tcPr>
            <w:tcW w:w="4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76"/>
        </w:trPr>
        <w:tc>
          <w:tcPr>
            <w:tcW w:w="43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Weighted average assumptions used to</w:t>
            </w: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r>
      <w:tr>
        <w:trPr>
          <w:trHeight w:val="229"/>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determine net periodic benefit cost:</w:t>
            </w: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2.95%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3.42%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2.74%</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1.31%</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1.46%</w:t>
            </w:r>
          </w:p>
        </w:tc>
      </w:tr>
      <w:tr>
        <w:trPr>
          <w:trHeight w:val="230"/>
        </w:trPr>
        <w:tc>
          <w:tcPr>
            <w:tcW w:w="43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Long-term rate of return on plan assets</w:t>
            </w: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3.50%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4.00%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3.10%</w:t>
            </w:r>
          </w:p>
        </w:tc>
        <w:tc>
          <w:tcPr>
            <w:tcW w:w="100" w:type="dxa"/>
            <w:vAlign w:val="bottom"/>
            <w:shd w:val="clear" w:color="auto" w:fill="DBDBDB"/>
          </w:tcPr>
          <w:p>
            <w:pPr>
              <w:spacing w:after="0"/>
              <w:rPr>
                <w:sz w:val="19"/>
                <w:szCs w:val="19"/>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7"/>
              </w:rPr>
              <w:t>2.82%</w:t>
            </w: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2.93%</w:t>
            </w:r>
          </w:p>
        </w:tc>
      </w:tr>
      <w:tr>
        <w:trPr>
          <w:trHeight w:val="239"/>
        </w:trPr>
        <w:tc>
          <w:tcPr>
            <w:tcW w:w="4300" w:type="dxa"/>
            <w:vAlign w:val="bottom"/>
          </w:tcPr>
          <w:p>
            <w:pPr>
              <w:ind w:left="140"/>
              <w:spacing w:after="0"/>
              <w:rPr>
                <w:sz w:val="20"/>
                <w:szCs w:val="20"/>
                <w:color w:val="auto"/>
              </w:rPr>
            </w:pPr>
            <w:r>
              <w:rPr>
                <w:rFonts w:ascii="Arial" w:cs="Arial" w:eastAsia="Arial" w:hAnsi="Arial"/>
                <w:sz w:val="18"/>
                <w:szCs w:val="18"/>
                <w:color w:val="auto"/>
              </w:rPr>
              <w:t>Long-term pay progression</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3.70%</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3.30%</w:t>
            </w:r>
          </w:p>
        </w:tc>
        <w:tc>
          <w:tcPr>
            <w:tcW w:w="100" w:type="dxa"/>
            <w:vAlign w:val="bottom"/>
          </w:tcPr>
          <w:p>
            <w:pPr>
              <w:spacing w:after="0"/>
              <w:rPr>
                <w:sz w:val="20"/>
                <w:szCs w:val="20"/>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b w:val="1"/>
                <w:bCs w:val="1"/>
                <w:color w:val="auto"/>
              </w:rPr>
              <w:t>n/a</w:t>
            </w: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3.15%</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3.06%</w:t>
            </w:r>
          </w:p>
        </w:tc>
      </w:tr>
    </w:tbl>
    <w:p>
      <w:pPr>
        <w:spacing w:after="0" w:line="28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is used to establish the discount rate.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6" w:name="page47"/>
    <w:bookmarkEnd w:id="46"/>
    <w:p>
      <w:pPr>
        <w:ind w:right="100"/>
        <w:spacing w:after="0" w:line="254"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target allocation ranges for the plans that hold a substantial majority of the defined benefit assets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U.S. Defined Benefit</w:t>
            </w:r>
          </w:p>
        </w:tc>
        <w:tc>
          <w:tcPr>
            <w:tcW w:w="100" w:type="dxa"/>
            <w:vAlign w:val="bottom"/>
            <w:vMerge w:val="restart"/>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U.S. Retiree Health</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Non-U.S. Defined</w:t>
            </w:r>
          </w:p>
        </w:tc>
        <w:tc>
          <w:tcPr>
            <w:tcW w:w="0" w:type="dxa"/>
            <w:vAlign w:val="bottom"/>
          </w:tcPr>
          <w:p>
            <w:pPr>
              <w:spacing w:after="0"/>
              <w:rPr>
                <w:sz w:val="1"/>
                <w:szCs w:val="1"/>
                <w:color w:val="auto"/>
              </w:rPr>
            </w:pPr>
          </w:p>
        </w:tc>
      </w:tr>
      <w:tr>
        <w:trPr>
          <w:trHeight w:val="176"/>
        </w:trPr>
        <w:tc>
          <w:tcPr>
            <w:tcW w:w="6700" w:type="dxa"/>
            <w:vAlign w:val="bottom"/>
            <w:tcBorders>
              <w:bottom w:val="single" w:sz="8" w:color="DBDBDB"/>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Care</w:t>
            </w:r>
          </w:p>
        </w:tc>
        <w:tc>
          <w:tcPr>
            <w:tcW w:w="100" w:type="dxa"/>
            <w:vAlign w:val="bottom"/>
            <w:tcBorders>
              <w:bottom w:val="single" w:sz="8" w:color="DBDBDB"/>
            </w:tcBorders>
          </w:tcPr>
          <w:p>
            <w:pPr>
              <w:spacing w:after="0"/>
              <w:rPr>
                <w:sz w:val="15"/>
                <w:szCs w:val="15"/>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223"/>
        </w:trPr>
        <w:tc>
          <w:tcPr>
            <w:tcW w:w="6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 income securities and cash equivalents</w:t>
            </w:r>
          </w:p>
        </w:tc>
        <w:tc>
          <w:tcPr>
            <w:tcW w:w="1540" w:type="dxa"/>
            <w:vAlign w:val="bottom"/>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65% – 80%</w:t>
            </w:r>
          </w:p>
        </w:tc>
        <w:tc>
          <w:tcPr>
            <w:tcW w:w="1540" w:type="dxa"/>
            <w:vAlign w:val="bottom"/>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65% – 80%</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 100%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20% – 35%</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20% – 35%</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ind w:left="20"/>
              <w:spacing w:after="0"/>
              <w:rPr>
                <w:sz w:val="20"/>
                <w:szCs w:val="20"/>
                <w:color w:val="auto"/>
              </w:rPr>
            </w:pPr>
            <w:r>
              <w:rPr>
                <w:rFonts w:ascii="Arial" w:cs="Arial" w:eastAsia="Arial" w:hAnsi="Arial"/>
                <w:sz w:val="18"/>
                <w:szCs w:val="18"/>
                <w:color w:val="auto"/>
              </w:rPr>
              <w:t>– 40%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rebalance the plans’ investments when they are outside the target allocation ranges.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7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U.S. Defined Benefit</w:t>
            </w: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U.S. Retiree Health</w:t>
            </w: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rPr>
              <w:t>Non-U.S. Defined</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Care</w:t>
            </w:r>
          </w:p>
        </w:tc>
        <w:tc>
          <w:tcPr>
            <w:tcW w:w="560" w:type="dxa"/>
            <w:vAlign w:val="bottom"/>
          </w:tcPr>
          <w:p>
            <w:pPr>
              <w:spacing w:after="0"/>
              <w:rPr>
                <w:sz w:val="15"/>
                <w:szCs w:val="15"/>
                <w:color w:val="auto"/>
              </w:rPr>
            </w:pPr>
          </w:p>
        </w:tc>
        <w:tc>
          <w:tcPr>
            <w:tcW w:w="1080" w:type="dxa"/>
            <w:vAlign w:val="bottom"/>
            <w:gridSpan w:val="3"/>
          </w:tcPr>
          <w:p>
            <w:pPr>
              <w:jc w:val="center"/>
              <w:ind w:right="488"/>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183"/>
        </w:trPr>
        <w:tc>
          <w:tcPr>
            <w:tcW w:w="6040" w:type="dxa"/>
            <w:vAlign w:val="bottom"/>
            <w:tcBorders>
              <w:bottom w:val="single" w:sz="8" w:color="DBDBDB"/>
            </w:tcBorders>
          </w:tcPr>
          <w:p>
            <w:pPr>
              <w:spacing w:after="0"/>
              <w:rPr>
                <w:sz w:val="15"/>
                <w:szCs w:val="15"/>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5"/>
                <w:szCs w:val="15"/>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620" w:type="dxa"/>
            <w:vAlign w:val="bottom"/>
            <w:tcBorders>
              <w:top w:val="single" w:sz="8" w:color="auto"/>
              <w:bottom w:val="single" w:sz="8" w:color="auto"/>
            </w:tcBorders>
          </w:tcPr>
          <w:p>
            <w:pPr>
              <w:jc w:val="center"/>
              <w:ind w:left="5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DBDBDB"/>
            </w:tcBorders>
          </w:tcPr>
          <w:p>
            <w:pPr>
              <w:spacing w:after="0"/>
              <w:rPr>
                <w:sz w:val="15"/>
                <w:szCs w:val="15"/>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560" w:type="dxa"/>
            <w:vAlign w:val="bottom"/>
            <w:tcBorders>
              <w:top w:val="single" w:sz="8" w:color="auto"/>
              <w:bottom w:val="single" w:sz="8" w:color="auto"/>
            </w:tcBorders>
          </w:tcPr>
          <w:p>
            <w:pPr>
              <w:jc w:val="center"/>
              <w:ind w:left="11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 income securities and cash equivalents</w:t>
            </w:r>
          </w:p>
        </w:tc>
        <w:tc>
          <w:tcPr>
            <w:tcW w:w="78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70%</w:t>
            </w:r>
          </w:p>
        </w:tc>
        <w:tc>
          <w:tcPr>
            <w:tcW w:w="100" w:type="dxa"/>
            <w:vAlign w:val="bottom"/>
            <w:shd w:val="clear" w:color="auto" w:fill="DBDBDB"/>
          </w:tcPr>
          <w:p>
            <w:pPr>
              <w:spacing w:after="0"/>
              <w:rPr>
                <w:sz w:val="19"/>
                <w:szCs w:val="19"/>
                <w:color w:val="auto"/>
              </w:rPr>
            </w:pPr>
          </w:p>
        </w:tc>
        <w:tc>
          <w:tcPr>
            <w:tcW w:w="7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70%</w:t>
            </w:r>
          </w:p>
        </w:tc>
        <w:tc>
          <w:tcPr>
            <w:tcW w:w="120" w:type="dxa"/>
            <w:vAlign w:val="bottom"/>
            <w:shd w:val="clear" w:color="auto" w:fill="DBDBDB"/>
          </w:tcPr>
          <w:p>
            <w:pPr>
              <w:spacing w:after="0"/>
              <w:rPr>
                <w:sz w:val="19"/>
                <w:szCs w:val="19"/>
                <w:color w:val="auto"/>
              </w:rPr>
            </w:pPr>
          </w:p>
        </w:tc>
        <w:tc>
          <w:tcPr>
            <w:tcW w:w="620" w:type="dxa"/>
            <w:vAlign w:val="bottom"/>
            <w:shd w:val="clear" w:color="auto" w:fill="DBDBDB"/>
          </w:tcPr>
          <w:p>
            <w:pPr>
              <w:jc w:val="center"/>
              <w:ind w:left="59"/>
              <w:spacing w:after="0"/>
              <w:rPr>
                <w:sz w:val="20"/>
                <w:szCs w:val="20"/>
                <w:color w:val="auto"/>
              </w:rPr>
            </w:pPr>
            <w:r>
              <w:rPr>
                <w:rFonts w:ascii="Arial" w:cs="Arial" w:eastAsia="Arial" w:hAnsi="Arial"/>
                <w:sz w:val="18"/>
                <w:szCs w:val="18"/>
                <w:b w:val="1"/>
                <w:bCs w:val="1"/>
                <w:color w:val="auto"/>
                <w:w w:val="99"/>
              </w:rPr>
              <w:t>64%</w:t>
            </w:r>
          </w:p>
        </w:tc>
        <w:tc>
          <w:tcPr>
            <w:tcW w:w="1020" w:type="dxa"/>
            <w:vAlign w:val="bottom"/>
            <w:gridSpan w:val="3"/>
            <w:shd w:val="clear" w:color="auto" w:fill="DBDBDB"/>
          </w:tcPr>
          <w:p>
            <w:pPr>
              <w:jc w:val="center"/>
              <w:ind w:left="176"/>
              <w:spacing w:after="0"/>
              <w:rPr>
                <w:sz w:val="20"/>
                <w:szCs w:val="20"/>
                <w:color w:val="auto"/>
              </w:rPr>
            </w:pPr>
            <w:r>
              <w:rPr>
                <w:rFonts w:ascii="Arial" w:cs="Arial" w:eastAsia="Arial" w:hAnsi="Arial"/>
                <w:sz w:val="18"/>
                <w:szCs w:val="18"/>
                <w:color w:val="auto"/>
                <w:w w:val="99"/>
              </w:rPr>
              <w:t>65%</w:t>
            </w:r>
          </w:p>
        </w:tc>
        <w:tc>
          <w:tcPr>
            <w:tcW w:w="120" w:type="dxa"/>
            <w:vAlign w:val="bottom"/>
            <w:shd w:val="clear" w:color="auto" w:fill="DBDBDB"/>
          </w:tcPr>
          <w:p>
            <w:pPr>
              <w:spacing w:after="0"/>
              <w:rPr>
                <w:sz w:val="19"/>
                <w:szCs w:val="19"/>
                <w:color w:val="auto"/>
              </w:rPr>
            </w:pPr>
          </w:p>
        </w:tc>
        <w:tc>
          <w:tcPr>
            <w:tcW w:w="560" w:type="dxa"/>
            <w:vAlign w:val="bottom"/>
            <w:shd w:val="clear" w:color="auto" w:fill="DBDBDB"/>
          </w:tcPr>
          <w:p>
            <w:pPr>
              <w:jc w:val="center"/>
              <w:ind w:left="119"/>
              <w:spacing w:after="0"/>
              <w:rPr>
                <w:sz w:val="20"/>
                <w:szCs w:val="20"/>
                <w:color w:val="auto"/>
              </w:rPr>
            </w:pPr>
            <w:r>
              <w:rPr>
                <w:rFonts w:ascii="Arial" w:cs="Arial" w:eastAsia="Arial" w:hAnsi="Arial"/>
                <w:sz w:val="18"/>
                <w:szCs w:val="18"/>
                <w:b w:val="1"/>
                <w:bCs w:val="1"/>
                <w:color w:val="auto"/>
                <w:w w:val="99"/>
              </w:rPr>
              <w:t>79%</w:t>
            </w:r>
          </w:p>
        </w:tc>
        <w:tc>
          <w:tcPr>
            <w:tcW w:w="1080" w:type="dxa"/>
            <w:vAlign w:val="bottom"/>
            <w:gridSpan w:val="3"/>
            <w:shd w:val="clear" w:color="auto" w:fill="DBDBDB"/>
          </w:tcPr>
          <w:p>
            <w:pPr>
              <w:jc w:val="center"/>
              <w:ind w:left="236"/>
              <w:spacing w:after="0"/>
              <w:rPr>
                <w:sz w:val="20"/>
                <w:szCs w:val="20"/>
                <w:color w:val="auto"/>
              </w:rPr>
            </w:pPr>
            <w:r>
              <w:rPr>
                <w:rFonts w:ascii="Arial" w:cs="Arial" w:eastAsia="Arial" w:hAnsi="Arial"/>
                <w:sz w:val="18"/>
                <w:szCs w:val="18"/>
                <w:color w:val="auto"/>
                <w:w w:val="99"/>
              </w:rPr>
              <w:t>76%</w:t>
            </w:r>
          </w:p>
        </w:tc>
        <w:tc>
          <w:tcPr>
            <w:tcW w:w="0" w:type="dxa"/>
            <w:vAlign w:val="bottom"/>
          </w:tcPr>
          <w:p>
            <w:pPr>
              <w:spacing w:after="0"/>
              <w:rPr>
                <w:sz w:val="1"/>
                <w:szCs w:val="1"/>
                <w:color w:val="auto"/>
              </w:rPr>
            </w:pPr>
          </w:p>
        </w:tc>
      </w:tr>
      <w:tr>
        <w:trPr>
          <w:trHeight w:val="239"/>
        </w:trPr>
        <w:tc>
          <w:tcPr>
            <w:tcW w:w="60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30%</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120" w:type="dxa"/>
            <w:vAlign w:val="bottom"/>
          </w:tcPr>
          <w:p>
            <w:pPr>
              <w:spacing w:after="0"/>
              <w:rPr>
                <w:sz w:val="20"/>
                <w:szCs w:val="20"/>
                <w:color w:val="auto"/>
              </w:rPr>
            </w:pPr>
          </w:p>
        </w:tc>
        <w:tc>
          <w:tcPr>
            <w:tcW w:w="620" w:type="dxa"/>
            <w:vAlign w:val="bottom"/>
          </w:tcPr>
          <w:p>
            <w:pPr>
              <w:jc w:val="center"/>
              <w:ind w:left="59"/>
              <w:spacing w:after="0"/>
              <w:rPr>
                <w:sz w:val="20"/>
                <w:szCs w:val="20"/>
                <w:color w:val="auto"/>
              </w:rPr>
            </w:pPr>
            <w:r>
              <w:rPr>
                <w:rFonts w:ascii="Arial" w:cs="Arial" w:eastAsia="Arial" w:hAnsi="Arial"/>
                <w:sz w:val="18"/>
                <w:szCs w:val="18"/>
                <w:b w:val="1"/>
                <w:bCs w:val="1"/>
                <w:color w:val="auto"/>
                <w:w w:val="99"/>
              </w:rPr>
              <w:t>36%</w:t>
            </w:r>
          </w:p>
        </w:tc>
        <w:tc>
          <w:tcPr>
            <w:tcW w:w="1020" w:type="dxa"/>
            <w:vAlign w:val="bottom"/>
            <w:gridSpan w:val="3"/>
          </w:tcPr>
          <w:p>
            <w:pPr>
              <w:jc w:val="center"/>
              <w:ind w:left="176"/>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20"/>
                <w:szCs w:val="20"/>
                <w:color w:val="auto"/>
              </w:rPr>
            </w:pPr>
          </w:p>
        </w:tc>
        <w:tc>
          <w:tcPr>
            <w:tcW w:w="560" w:type="dxa"/>
            <w:vAlign w:val="bottom"/>
          </w:tcPr>
          <w:p>
            <w:pPr>
              <w:jc w:val="center"/>
              <w:ind w:left="119"/>
              <w:spacing w:after="0"/>
              <w:rPr>
                <w:sz w:val="20"/>
                <w:szCs w:val="20"/>
                <w:color w:val="auto"/>
              </w:rPr>
            </w:pPr>
            <w:r>
              <w:rPr>
                <w:rFonts w:ascii="Arial" w:cs="Arial" w:eastAsia="Arial" w:hAnsi="Arial"/>
                <w:sz w:val="18"/>
                <w:szCs w:val="18"/>
                <w:b w:val="1"/>
                <w:bCs w:val="1"/>
                <w:color w:val="auto"/>
                <w:w w:val="99"/>
              </w:rPr>
              <w:t>21%</w:t>
            </w:r>
          </w:p>
        </w:tc>
        <w:tc>
          <w:tcPr>
            <w:tcW w:w="1080" w:type="dxa"/>
            <w:vAlign w:val="bottom"/>
            <w:gridSpan w:val="3"/>
          </w:tcPr>
          <w:p>
            <w:pPr>
              <w:jc w:val="center"/>
              <w:ind w:left="236"/>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None of the plan assets related to the defined benefit pension plans and retiree health care benefit plan are directly invested in TI common stock.</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assumed future benefit payments to plan participants in the next 10 years are used to measure our benefit obligations. Almost all of the payments, which may vary significantly from these assumptions, will be made from plan assets and not from company assets.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Borders>
              <w:bottom w:val="single" w:sz="8" w:color="DBDBDB"/>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2027 – 2031</w:t>
            </w:r>
          </w:p>
        </w:tc>
        <w:tc>
          <w:tcPr>
            <w:tcW w:w="20" w:type="dxa"/>
            <w:vAlign w:val="bottom"/>
          </w:tcPr>
          <w:p>
            <w:pPr>
              <w:spacing w:after="0"/>
              <w:rPr>
                <w:sz w:val="16"/>
                <w:szCs w:val="16"/>
                <w:color w:val="auto"/>
              </w:rPr>
            </w:pPr>
          </w:p>
        </w:tc>
      </w:tr>
      <w:tr>
        <w:trPr>
          <w:trHeight w:val="223"/>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Defined Benefit</w:t>
            </w:r>
          </w:p>
        </w:tc>
        <w:tc>
          <w:tcPr>
            <w:tcW w:w="840" w:type="dxa"/>
            <w:vAlign w:val="bottom"/>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jc w:val="right"/>
              <w:ind w:right="57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jc w:val="right"/>
              <w:ind w:right="57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DBDBDB"/>
          </w:tcPr>
          <w:p>
            <w:pPr>
              <w:spacing w:after="0"/>
              <w:rPr>
                <w:sz w:val="19"/>
                <w:szCs w:val="19"/>
                <w:color w:val="auto"/>
              </w:rPr>
            </w:pPr>
          </w:p>
        </w:tc>
        <w:tc>
          <w:tcPr>
            <w:tcW w:w="2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U.S. Retiree Health Care</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Non-U.S. Defined Benefit</w:t>
            </w:r>
          </w:p>
        </w:tc>
        <w:tc>
          <w:tcPr>
            <w:tcW w:w="8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103</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9"/>
                <w:szCs w:val="19"/>
                <w:color w:val="auto"/>
              </w:rPr>
            </w:pPr>
          </w:p>
        </w:tc>
      </w:tr>
      <w:tr>
        <w:trPr>
          <w:trHeight w:val="527"/>
        </w:trPr>
        <w:tc>
          <w:tcPr>
            <w:tcW w:w="10000" w:type="dxa"/>
            <w:vAlign w:val="bottom"/>
            <w:gridSpan w:val="18"/>
          </w:tcPr>
          <w:p>
            <w:pPr>
              <w:spacing w:after="0"/>
              <w:rPr>
                <w:sz w:val="20"/>
                <w:szCs w:val="20"/>
                <w:color w:val="auto"/>
              </w:rPr>
            </w:pPr>
            <w:r>
              <w:rPr>
                <w:rFonts w:ascii="Arial" w:cs="Arial" w:eastAsia="Arial" w:hAnsi="Arial"/>
                <w:sz w:val="18"/>
                <w:szCs w:val="18"/>
                <w:color w:val="auto"/>
              </w:rPr>
              <w:t>Assumed health care cost trend rates for the U.S. retiree health care benefit plan as of December 31 are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500" w:type="dxa"/>
            <w:vAlign w:val="bottom"/>
            <w:tcBorders>
              <w:bottom w:val="single" w:sz="8" w:color="DBDBDB"/>
            </w:tcBorders>
          </w:tcPr>
          <w:p>
            <w:pPr>
              <w:spacing w:after="0"/>
              <w:rPr>
                <w:sz w:val="18"/>
                <w:szCs w:val="18"/>
                <w:color w:val="auto"/>
              </w:rPr>
            </w:pPr>
          </w:p>
        </w:tc>
        <w:tc>
          <w:tcPr>
            <w:tcW w:w="840" w:type="dxa"/>
            <w:vAlign w:val="bottom"/>
            <w:tcBorders>
              <w:bottom w:val="single" w:sz="8" w:color="DBDBDB"/>
            </w:tcBorders>
          </w:tcPr>
          <w:p>
            <w:pPr>
              <w:spacing w:after="0"/>
              <w:rPr>
                <w:sz w:val="18"/>
                <w:szCs w:val="18"/>
                <w:color w:val="auto"/>
              </w:rPr>
            </w:pPr>
          </w:p>
        </w:tc>
        <w:tc>
          <w:tcPr>
            <w:tcW w:w="36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spacing w:after="0"/>
              <w:rPr>
                <w:sz w:val="18"/>
                <w:szCs w:val="18"/>
                <w:color w:val="auto"/>
              </w:rPr>
            </w:pPr>
          </w:p>
        </w:tc>
        <w:tc>
          <w:tcPr>
            <w:tcW w:w="40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spacing w:after="0"/>
              <w:rPr>
                <w:sz w:val="18"/>
                <w:szCs w:val="18"/>
                <w:color w:val="auto"/>
              </w:rPr>
            </w:pPr>
          </w:p>
        </w:tc>
        <w:tc>
          <w:tcPr>
            <w:tcW w:w="40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260" w:type="dxa"/>
            <w:vAlign w:val="bottom"/>
            <w:tcBorders>
              <w:bottom w:val="single" w:sz="8" w:color="DBDBDB"/>
            </w:tcBorders>
          </w:tcPr>
          <w:p>
            <w:pPr>
              <w:spacing w:after="0"/>
              <w:rPr>
                <w:sz w:val="18"/>
                <w:szCs w:val="18"/>
                <w:color w:val="auto"/>
              </w:rPr>
            </w:pPr>
          </w:p>
        </w:tc>
        <w:tc>
          <w:tcPr>
            <w:tcW w:w="92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r>
      <w:tr>
        <w:trPr>
          <w:trHeight w:val="223"/>
        </w:trPr>
        <w:tc>
          <w:tcPr>
            <w:tcW w:w="43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Assumed health care cost trend rate for next year</w:t>
            </w: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60" w:type="dxa"/>
            <w:vAlign w:val="bottom"/>
            <w:shd w:val="clear" w:color="auto" w:fill="DBDBDB"/>
          </w:tcPr>
          <w:p>
            <w:pPr>
              <w:jc w:val="center"/>
              <w:ind w:right="115"/>
              <w:spacing w:after="0"/>
              <w:rPr>
                <w:sz w:val="20"/>
                <w:szCs w:val="20"/>
                <w:color w:val="auto"/>
              </w:rPr>
            </w:pPr>
            <w:r>
              <w:rPr>
                <w:rFonts w:ascii="Arial" w:cs="Arial" w:eastAsia="Arial" w:hAnsi="Arial"/>
                <w:sz w:val="18"/>
                <w:szCs w:val="18"/>
                <w:b w:val="1"/>
                <w:bCs w:val="1"/>
                <w:color w:val="auto"/>
              </w:rPr>
              <w:t>6.50%</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center"/>
              <w:ind w:right="55"/>
              <w:spacing w:after="0"/>
              <w:rPr>
                <w:sz w:val="20"/>
                <w:szCs w:val="20"/>
                <w:color w:val="auto"/>
              </w:rPr>
            </w:pPr>
            <w:r>
              <w:rPr>
                <w:rFonts w:ascii="Arial" w:cs="Arial" w:eastAsia="Arial" w:hAnsi="Arial"/>
                <w:sz w:val="18"/>
                <w:szCs w:val="18"/>
                <w:color w:val="auto"/>
                <w:w w:val="97"/>
              </w:rPr>
              <w:t>6.75%</w:t>
            </w:r>
          </w:p>
        </w:tc>
        <w:tc>
          <w:tcPr>
            <w:tcW w:w="20" w:type="dxa"/>
            <w:vAlign w:val="bottom"/>
            <w:shd w:val="clear" w:color="auto" w:fill="DBDBDB"/>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Ultimate trend rate</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center"/>
              <w:ind w:right="115"/>
              <w:spacing w:after="0"/>
              <w:rPr>
                <w:sz w:val="20"/>
                <w:szCs w:val="20"/>
                <w:color w:val="auto"/>
              </w:rPr>
            </w:pPr>
            <w:r>
              <w:rPr>
                <w:rFonts w:ascii="Arial" w:cs="Arial" w:eastAsia="Arial" w:hAnsi="Arial"/>
                <w:sz w:val="18"/>
                <w:szCs w:val="18"/>
                <w:b w:val="1"/>
                <w:bCs w:val="1"/>
                <w:color w:val="auto"/>
              </w:rPr>
              <w:t>5.00%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55"/>
              <w:spacing w:after="0"/>
              <w:rPr>
                <w:sz w:val="20"/>
                <w:szCs w:val="20"/>
                <w:color w:val="auto"/>
              </w:rPr>
            </w:pPr>
            <w:r>
              <w:rPr>
                <w:rFonts w:ascii="Arial" w:cs="Arial" w:eastAsia="Arial" w:hAnsi="Arial"/>
                <w:sz w:val="18"/>
                <w:szCs w:val="18"/>
                <w:color w:val="auto"/>
                <w:w w:val="97"/>
              </w:rPr>
              <w:t>5.00%</w:t>
            </w:r>
          </w:p>
        </w:tc>
        <w:tc>
          <w:tcPr>
            <w:tcW w:w="20" w:type="dxa"/>
            <w:vAlign w:val="bottom"/>
          </w:tcPr>
          <w:p>
            <w:pPr>
              <w:spacing w:after="0"/>
              <w:rPr>
                <w:sz w:val="19"/>
                <w:szCs w:val="19"/>
                <w:color w:val="auto"/>
              </w:rPr>
            </w:pPr>
          </w:p>
        </w:tc>
      </w:tr>
      <w:tr>
        <w:trPr>
          <w:trHeight w:val="230"/>
        </w:trPr>
        <w:tc>
          <w:tcPr>
            <w:tcW w:w="3500" w:type="dxa"/>
            <w:vAlign w:val="bottom"/>
            <w:shd w:val="clear" w:color="auto" w:fill="DBDBDB"/>
          </w:tcPr>
          <w:p>
            <w:pPr>
              <w:ind w:left="20"/>
              <w:spacing w:after="0"/>
              <w:rPr>
                <w:sz w:val="20"/>
                <w:szCs w:val="20"/>
                <w:color w:val="auto"/>
              </w:rPr>
            </w:pPr>
            <w:r>
              <w:rPr>
                <w:rFonts w:ascii="Arial" w:cs="Arial" w:eastAsia="Arial" w:hAnsi="Arial"/>
                <w:sz w:val="18"/>
                <w:szCs w:val="18"/>
                <w:color w:val="auto"/>
                <w:w w:val="99"/>
              </w:rPr>
              <w:t>Year in which ultimate trend rate is reached</w:t>
            </w:r>
          </w:p>
        </w:tc>
        <w:tc>
          <w:tcPr>
            <w:tcW w:w="8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60" w:type="dxa"/>
            <w:vAlign w:val="bottom"/>
            <w:shd w:val="clear" w:color="auto" w:fill="DBDBDB"/>
          </w:tcPr>
          <w:p>
            <w:pPr>
              <w:jc w:val="center"/>
              <w:ind w:right="115"/>
              <w:spacing w:after="0"/>
              <w:rPr>
                <w:sz w:val="20"/>
                <w:szCs w:val="20"/>
                <w:color w:val="auto"/>
              </w:rPr>
            </w:pPr>
            <w:r>
              <w:rPr>
                <w:rFonts w:ascii="Arial" w:cs="Arial" w:eastAsia="Arial" w:hAnsi="Arial"/>
                <w:sz w:val="18"/>
                <w:szCs w:val="18"/>
                <w:b w:val="1"/>
                <w:bCs w:val="1"/>
                <w:color w:val="auto"/>
                <w:w w:val="99"/>
              </w:rPr>
              <w:t>2028</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center"/>
              <w:ind w:right="35"/>
              <w:spacing w:after="0"/>
              <w:rPr>
                <w:sz w:val="20"/>
                <w:szCs w:val="20"/>
                <w:color w:val="auto"/>
              </w:rPr>
            </w:pPr>
            <w:r>
              <w:rPr>
                <w:rFonts w:ascii="Arial" w:cs="Arial" w:eastAsia="Arial" w:hAnsi="Arial"/>
                <w:sz w:val="18"/>
                <w:szCs w:val="18"/>
                <w:color w:val="auto"/>
                <w:w w:val="99"/>
              </w:rPr>
              <w:t>2028</w:t>
            </w:r>
          </w:p>
        </w:tc>
        <w:tc>
          <w:tcPr>
            <w:tcW w:w="2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plans</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deferred compensation plans that allow U.S. employees whose base salary and management responsibility exceed a certain level to defer receipt of a portion of their cash compensation. Payments under these plans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December 31, 2021, our liability to participants of the deferred compensation plans was $395 million and is recorded in other long-term liabilities on our Consolidated Balance Sheets. This amount reflects the accumulated participant deferrals and earnings thereon as of that date. We utilize total return swaps and investments in mutual funds that serve as economic hedges of our exposure to changes in the fair value of these liabilities. We record changes in the fair value of the liability and the related total return swaps and mutual funds in SG&amp;A, as discussed in Note 6. As of December 31, 2021, we held $16 million in mutual funds related to these plans that are recorded in long-term investments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7" w:name="page48"/>
    <w:bookmarkEnd w:id="47"/>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December 31, 2021, we had a variable-rate revolving credit facility from a consortium of investment-grade banks that allows us to borrow up to $2 billion until March 2024. As of December 31, 2021, our credit facility was undrawn, and we had no commercial paper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we retired $550 million of maturing debt.</w:t>
      </w:r>
    </w:p>
    <w:p>
      <w:pPr>
        <w:spacing w:after="0" w:line="239"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In September 2021, we issued three series of senior unsecured notes for an aggregate principal amount of $1.5 billion, consisting of $500 million of 1.125% notes due in 2026, $500 million of 1.90% notes due in 2031 and $500 million of 2.70% notes due in 2051. We incurred $10 million of issuance costs. The proceeds of the offering were $1.5 billion, net of the original issuance discounts, which will be used for general corporate purposes.</w:t>
      </w:r>
    </w:p>
    <w:p>
      <w:pPr>
        <w:spacing w:after="0" w:line="20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March 2020, we issued a principal amount of $750 million of fixed-rate, long-term debt due in 2025. We incurred $4 million of issuance costs. The proceeds of the offering were $749 million, net of the original issuance discount, and were used for general corporate purposes and the repayment of maturing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April 2020, we retired $500 million of maturing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2020, we issued a principal amount of $750 million of fixed-rate, long-term debt due in 2030. We incurred $5 million of issuance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the offering were $749 million, net of the original issuance discount, and were used for general corporate purposes.</w:t>
      </w:r>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In March 2019, we issued a principal amount of $750 million of fixed-rate, long-term debt due in 2039. We incurred $7 million of issuance costs. The proceeds of the offering were $743 million, net of the original issuance discount, and were used for general corporate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August 2019, we retired $750 million of maturing debt.</w:t>
      </w:r>
    </w:p>
    <w:p>
      <w:pPr>
        <w:spacing w:after="0" w:line="22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September 2019, we issued a principal amount of $750 million of fixed-rate, long-term debt due in 2029. We incurred $5 million of issuance costs. The proceeds of the offering were $748 million, net of the original issuance discount, and were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Long-term debt outstanding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3"/>
        </w:trPr>
        <w:tc>
          <w:tcPr>
            <w:tcW w:w="868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2021 at 2.75%</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2022 at 1.85%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2023 at 2.25%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2024 at 2.625%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2025 at 1.375%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2026 at 1.125%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2027 at 2.90%</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2029 at 2.25%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2030 at 1.75%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Notes due 2031 at 1.90%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7,800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6,850</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7,741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6,798</w:t>
            </w: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(550)</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w:t>
            </w:r>
          </w:p>
        </w:tc>
      </w:tr>
      <w:tr>
        <w:trPr>
          <w:trHeight w:val="21"/>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Interest and debt expense was $184 million, $190 million and $170 million in 2021, 2020 and 2019, respectively. This was net of the amortized discounts, premiums and issuance costs. Cash payments for interest on long-term debt were $181 million, $182 million and $156 million in 2021, 2020 and 2019, respectively. Capitalized interest was not material.</w:t>
      </w:r>
    </w:p>
    <w:p>
      <w:pPr>
        <w:spacing w:after="0" w:line="202"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renewal provisions and require us to pay real estate taxes, insurance and maintenance costs.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leases are included as a component of the following balance sheet lines: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3"/>
        </w:trPr>
        <w:tc>
          <w:tcPr>
            <w:tcW w:w="8680" w:type="dxa"/>
            <w:vAlign w:val="bottom"/>
            <w:tcBorders>
              <w:bottom w:val="single" w:sz="8" w:color="DBDBDB"/>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23"/>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465</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w:t>
            </w:r>
          </w:p>
        </w:tc>
      </w:tr>
      <w:tr>
        <w:trPr>
          <w:trHeight w:val="243"/>
        </w:trPr>
        <w:tc>
          <w:tcPr>
            <w:tcW w:w="8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expenses and other liabilities</w:t>
            </w: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w:t>
            </w:r>
          </w:p>
        </w:tc>
      </w:tr>
      <w:tr>
        <w:trPr>
          <w:trHeight w:val="239"/>
        </w:trPr>
        <w:tc>
          <w:tcPr>
            <w:tcW w:w="86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Details of our operating leases are as follows:</w:t>
      </w:r>
    </w:p>
    <w:p>
      <w:pPr>
        <w:spacing w:after="0" w:line="29"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For Years Ended</w:t>
      </w:r>
    </w:p>
    <w:p>
      <w:pPr>
        <w:ind w:left="88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40" w:type="dxa"/>
            <w:vAlign w:val="bottom"/>
            <w:tcBorders>
              <w:bottom w:val="single" w:sz="8" w:color="DBDBDB"/>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r>
      <w:tr>
        <w:trPr>
          <w:trHeight w:val="223"/>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cost related to lease liabilities</w:t>
            </w:r>
          </w:p>
        </w:tc>
        <w:tc>
          <w:tcPr>
            <w:tcW w:w="800" w:type="dxa"/>
            <w:vAlign w:val="bottom"/>
            <w:shd w:val="clear" w:color="auto" w:fill="DBDBDB"/>
          </w:tcPr>
          <w:p>
            <w:pPr>
              <w:jc w:val="right"/>
              <w:ind w:right="595"/>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65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7340" w:type="dxa"/>
            <w:vAlign w:val="bottom"/>
            <w:shd w:val="clear" w:color="auto" w:fill="DBDBDB"/>
          </w:tcPr>
          <w:p>
            <w:pPr>
              <w:spacing w:after="0"/>
              <w:rPr>
                <w:sz w:val="23"/>
                <w:szCs w:val="23"/>
                <w:color w:val="auto"/>
              </w:rPr>
            </w:pPr>
          </w:p>
        </w:tc>
        <w:tc>
          <w:tcPr>
            <w:tcW w:w="800" w:type="dxa"/>
            <w:vAlign w:val="bottom"/>
            <w:shd w:val="clear" w:color="auto" w:fill="DBDBDB"/>
          </w:tcPr>
          <w:p>
            <w:pPr>
              <w:spacing w:after="0"/>
              <w:rPr>
                <w:sz w:val="23"/>
                <w:szCs w:val="23"/>
                <w:color w:val="auto"/>
              </w:rPr>
            </w:pPr>
          </w:p>
        </w:tc>
        <w:tc>
          <w:tcPr>
            <w:tcW w:w="4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86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940" w:type="dxa"/>
            <w:vAlign w:val="bottom"/>
            <w:shd w:val="clear" w:color="auto" w:fill="DBDBDB"/>
          </w:tcPr>
          <w:p>
            <w:pPr>
              <w:spacing w:after="0"/>
              <w:rPr>
                <w:sz w:val="23"/>
                <w:szCs w:val="23"/>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3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Operating cash flows for lease cost</w:t>
            </w:r>
          </w:p>
        </w:tc>
        <w:tc>
          <w:tcPr>
            <w:tcW w:w="800" w:type="dxa"/>
            <w:vAlign w:val="bottom"/>
            <w:shd w:val="clear" w:color="auto" w:fill="DBDBDB"/>
          </w:tcPr>
          <w:p>
            <w:pPr>
              <w:jc w:val="right"/>
              <w:ind w:right="595"/>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65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0"/>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assets obtained in exchange for new lease liabilities</w:t>
            </w:r>
          </w:p>
        </w:tc>
        <w:tc>
          <w:tcPr>
            <w:tcW w:w="800" w:type="dxa"/>
            <w:vAlign w:val="bottom"/>
            <w:shd w:val="clear" w:color="auto" w:fill="DBDBDB"/>
          </w:tcPr>
          <w:p>
            <w:pPr>
              <w:jc w:val="right"/>
              <w:ind w:right="595"/>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65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committed to make the following minimum payments under our non-cancellable operating leases: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6"/>
                <w:szCs w:val="16"/>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Total</w:t>
            </w:r>
          </w:p>
        </w:tc>
      </w:tr>
      <w:tr>
        <w:trPr>
          <w:trHeight w:val="223"/>
        </w:trPr>
        <w:tc>
          <w:tcPr>
            <w:tcW w:w="2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Lease payments</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525</w:t>
            </w:r>
          </w:p>
        </w:tc>
      </w:tr>
      <w:tr>
        <w:trPr>
          <w:trHeight w:val="229"/>
        </w:trPr>
        <w:tc>
          <w:tcPr>
            <w:tcW w:w="2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Imputed lease interest</w:t>
            </w:r>
          </w:p>
        </w:tc>
        <w:tc>
          <w:tcPr>
            <w:tcW w:w="260" w:type="dxa"/>
            <w:vAlign w:val="bottom"/>
            <w:tcBorders>
              <w:bottom w:val="single" w:sz="8" w:color="DBDBDB"/>
            </w:tcBorders>
          </w:tcPr>
          <w:p>
            <w:pPr>
              <w:spacing w:after="0"/>
              <w:rPr>
                <w:sz w:val="19"/>
                <w:szCs w:val="19"/>
                <w:color w:val="auto"/>
              </w:rPr>
            </w:pPr>
          </w:p>
        </w:tc>
        <w:tc>
          <w:tcPr>
            <w:tcW w:w="9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9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90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spacing w:after="0"/>
              <w:rPr>
                <w:sz w:val="19"/>
                <w:szCs w:val="19"/>
                <w:color w:val="auto"/>
              </w:rPr>
            </w:pPr>
          </w:p>
        </w:tc>
        <w:tc>
          <w:tcPr>
            <w:tcW w:w="3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840" w:type="dxa"/>
            <w:vAlign w:val="bottom"/>
            <w:tcBorders>
              <w:bottom w:val="single" w:sz="8" w:color="DBDBDB"/>
            </w:tcBorders>
          </w:tcPr>
          <w:p>
            <w:pPr>
              <w:spacing w:after="0"/>
              <w:rPr>
                <w:sz w:val="19"/>
                <w:szCs w:val="19"/>
                <w:color w:val="auto"/>
              </w:rPr>
            </w:pPr>
          </w:p>
        </w:tc>
        <w:tc>
          <w:tcPr>
            <w:tcW w:w="3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0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2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22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weighted-average remaining lease term was 9.2 years and 8.9 years as of December 31, 2021 and 2020, respectively. The weighted-average discount rate was 2.51% and 3.02% as of December 31, 2021 and 2020, respectively.</w:t>
      </w:r>
    </w:p>
    <w:p>
      <w:pPr>
        <w:spacing w:after="0" w:line="198"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4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Our purchase commitments include payments for software licenses and contractual arrangements with suppliers when there is a fixed, non-cancellable payment schedule or when minimum payments are due with a reduced delivery schedule.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committed to make the following minimum payments under our purchase commitments: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6"/>
                <w:szCs w:val="16"/>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Total</w:t>
            </w:r>
          </w:p>
        </w:tc>
      </w:tr>
      <w:tr>
        <w:trPr>
          <w:trHeight w:val="223"/>
        </w:trPr>
        <w:tc>
          <w:tcPr>
            <w:tcW w:w="2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Purchase commitments</w:t>
            </w:r>
          </w:p>
        </w:tc>
        <w:tc>
          <w:tcPr>
            <w:tcW w:w="760" w:type="dxa"/>
            <w:vAlign w:val="bottom"/>
            <w:tcBorders>
              <w:top w:val="single" w:sz="8" w:color="auto"/>
            </w:tcBorders>
            <w:shd w:val="clear" w:color="auto" w:fill="DBDBDB"/>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1,576</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43"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General</w:t>
      </w:r>
    </w:p>
    <w:p>
      <w:pPr>
        <w:spacing w:after="0" w:line="243"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202"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 and are comprised of the following components: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6"/>
                <w:szCs w:val="16"/>
                <w:color w:val="auto"/>
              </w:rPr>
            </w:pPr>
          </w:p>
        </w:tc>
      </w:tr>
      <w:tr>
        <w:trPr>
          <w:trHeight w:val="183"/>
        </w:trPr>
        <w:tc>
          <w:tcPr>
            <w:tcW w:w="7340" w:type="dxa"/>
            <w:vAlign w:val="bottom"/>
            <w:tcBorders>
              <w:bottom w:val="single" w:sz="8" w:color="DBDBDB"/>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r>
      <w:tr>
        <w:trPr>
          <w:trHeight w:val="223"/>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Restructuring charges (a)</w:t>
            </w: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center"/>
              <w:ind w:left="374"/>
              <w:spacing w:after="0"/>
              <w:rPr>
                <w:sz w:val="20"/>
                <w:szCs w:val="20"/>
                <w:color w:val="auto"/>
              </w:rPr>
            </w:pPr>
            <w:r>
              <w:rPr>
                <w:rFonts w:ascii="Arial" w:cs="Arial" w:eastAsia="Arial" w:hAnsi="Arial"/>
                <w:sz w:val="18"/>
                <w:szCs w:val="18"/>
                <w:color w:val="auto"/>
                <w:w w:val="99"/>
              </w:rPr>
              <w:t>(15)</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Integration charges (b)</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center"/>
              <w:ind w:left="394"/>
              <w:spacing w:after="0"/>
              <w:rPr>
                <w:sz w:val="20"/>
                <w:szCs w:val="20"/>
                <w:color w:val="auto"/>
              </w:rPr>
            </w:pPr>
            <w:r>
              <w:rPr>
                <w:rFonts w:ascii="Arial" w:cs="Arial" w:eastAsia="Arial" w:hAnsi="Arial"/>
                <w:sz w:val="18"/>
                <w:szCs w:val="18"/>
                <w:color w:val="auto"/>
                <w:w w:val="99"/>
              </w:rPr>
              <w:t>—</w:t>
            </w:r>
          </w:p>
        </w:tc>
      </w:tr>
      <w:tr>
        <w:trPr>
          <w:trHeight w:val="230"/>
        </w:trPr>
        <w:tc>
          <w:tcPr>
            <w:tcW w:w="7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Gains on sales of assets (c)</w:t>
            </w:r>
          </w:p>
        </w:tc>
        <w:tc>
          <w:tcPr>
            <w:tcW w:w="800" w:type="dxa"/>
            <w:vAlign w:val="bottom"/>
            <w:tcBorders>
              <w:bottom w:val="single" w:sz="8" w:color="auto"/>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ind w:left="60"/>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center"/>
              <w:ind w:left="374"/>
              <w:spacing w:after="0"/>
              <w:rPr>
                <w:sz w:val="20"/>
                <w:szCs w:val="20"/>
                <w:color w:val="auto"/>
              </w:rPr>
            </w:pPr>
            <w:r>
              <w:rPr>
                <w:rFonts w:ascii="Arial" w:cs="Arial" w:eastAsia="Arial" w:hAnsi="Arial"/>
                <w:sz w:val="18"/>
                <w:szCs w:val="18"/>
                <w:color w:val="auto"/>
                <w:w w:val="99"/>
              </w:rPr>
              <w:t>(21)</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center"/>
              <w:ind w:left="374"/>
              <w:spacing w:after="0"/>
              <w:rPr>
                <w:sz w:val="20"/>
                <w:szCs w:val="20"/>
                <w:color w:val="auto"/>
              </w:rPr>
            </w:pPr>
            <w:r>
              <w:rPr>
                <w:rFonts w:ascii="Arial" w:cs="Arial" w:eastAsia="Arial" w:hAnsi="Arial"/>
                <w:sz w:val="18"/>
                <w:szCs w:val="18"/>
                <w:color w:val="auto"/>
                <w:w w:val="99"/>
              </w:rPr>
              <w:t>(36)</w:t>
            </w:r>
          </w:p>
        </w:tc>
      </w:tr>
      <w:tr>
        <w:trPr>
          <w:trHeight w:val="21"/>
        </w:trPr>
        <w:tc>
          <w:tcPr>
            <w:tcW w:w="7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severance and benefits, accelerated depreciation, changes in estimates and other exit costs.</w:t>
      </w:r>
    </w:p>
    <w:p>
      <w:pPr>
        <w:spacing w:after="0" w:line="225" w:lineRule="exact"/>
        <w:rPr>
          <w:rFonts w:ascii="Arial" w:cs="Arial" w:eastAsia="Arial" w:hAnsi="Arial"/>
          <w:sz w:val="18"/>
          <w:szCs w:val="18"/>
          <w:color w:val="auto"/>
        </w:rPr>
      </w:pPr>
    </w:p>
    <w:p>
      <w:pPr>
        <w:ind w:left="340" w:right="180" w:hanging="332"/>
        <w:spacing w:after="0" w:line="261" w:lineRule="auto"/>
        <w:tabs>
          <w:tab w:leader="none" w:pos="3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costs related to our purchase of the Lehi, Utah, manufacturing facility, as well as ongoing costs until production begins in early 2023.</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 $50 million gain from the sale of property in October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accrued restructuring balances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Borders>
              <w:bottom w:val="single" w:sz="8" w:color="DBDBDB"/>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23"/>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DBDBDB"/>
          </w:tcPr>
          <w:p>
            <w:pPr>
              <w:spacing w:after="0"/>
              <w:rPr>
                <w:sz w:val="19"/>
                <w:szCs w:val="19"/>
                <w:color w:val="auto"/>
              </w:rPr>
            </w:pPr>
          </w:p>
        </w:tc>
        <w:tc>
          <w:tcPr>
            <w:tcW w:w="840" w:type="dxa"/>
            <w:vAlign w:val="bottom"/>
            <w:shd w:val="clear" w:color="auto" w:fill="DBDBDB"/>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Non-cash items (a)</w:t>
            </w:r>
          </w:p>
        </w:tc>
        <w:tc>
          <w:tcPr>
            <w:tcW w:w="800" w:type="dxa"/>
            <w:vAlign w:val="bottom"/>
            <w:shd w:val="clear" w:color="auto" w:fill="DBDBDB"/>
          </w:tcPr>
          <w:p>
            <w:pPr>
              <w:spacing w:after="0"/>
              <w:rPr>
                <w:sz w:val="19"/>
                <w:szCs w:val="19"/>
                <w:color w:val="auto"/>
              </w:rPr>
            </w:pPr>
          </w:p>
        </w:tc>
        <w:tc>
          <w:tcPr>
            <w:tcW w:w="5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Payments</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DBDBDB"/>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w:t>
            </w:r>
          </w:p>
        </w:tc>
        <w:tc>
          <w:tcPr>
            <w:tcW w:w="800" w:type="dxa"/>
            <w:vAlign w:val="bottom"/>
            <w:tcBorders>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auto"/>
            </w:tcBorders>
            <w:shd w:val="clear" w:color="auto" w:fill="DBDBDB"/>
          </w:tcPr>
          <w:p>
            <w:pPr>
              <w:jc w:val="right"/>
              <w:ind w:right="63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Reflects charges for impacts of changes in exchange rates and accelerated depreciation.</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restructuring accrual balances are reported as a component of either accrued expenses and other liabilities or other long-term liabilities on our Consolidated Balance Sheets, depending on the expected timing of payment.</w:t>
      </w:r>
    </w:p>
    <w:p>
      <w:pPr>
        <w:spacing w:after="0" w:line="19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In 2020, we recognized $25 million of restructuring charges primarily for severance and benefit costs associated with our Embedded Processing business. As of December 31, 2021, $21 million of payments have been made.</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2020, we announced a multiyear plan to close our two remaining factories with 150-millimeter production, located in Sherman and Dallas, Texas. During 2021 we decided not to close a portion of our factory in Dallas. We expect this plan to be completed no later than 2025. Charges for the closures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Other income (expense), net (OI&amp;E)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820" w:type="dxa"/>
            <w:vAlign w:val="bottom"/>
            <w:tcBorders>
              <w:bottom w:val="single" w:sz="8" w:color="auto"/>
            </w:tcBorders>
          </w:tcPr>
          <w:p>
            <w:pPr>
              <w:spacing w:after="0"/>
              <w:rPr>
                <w:sz w:val="16"/>
                <w:szCs w:val="16"/>
                <w:color w:val="auto"/>
              </w:rPr>
            </w:pPr>
          </w:p>
        </w:tc>
      </w:tr>
      <w:tr>
        <w:trPr>
          <w:trHeight w:val="183"/>
        </w:trPr>
        <w:tc>
          <w:tcPr>
            <w:tcW w:w="7360" w:type="dxa"/>
            <w:vAlign w:val="bottom"/>
            <w:tcBorders>
              <w:bottom w:val="single" w:sz="8" w:color="DBDBDB"/>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223"/>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(a)</w:t>
            </w: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expense (b)</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right="600" w:hanging="332"/>
        <w:spacing w:after="0" w:line="261" w:lineRule="auto"/>
        <w:tabs>
          <w:tab w:leader="none" w:pos="3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income includes royalty and lease income, investment gains and losses, interest income, as well as reversals of tax interest accruals.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expense includes a portion of pension and other retiree benefit costs, currency gains and losses and miscellaneous items.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at cost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Depreciable</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736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line="20" w:lineRule="exact"/>
              <w:rPr>
                <w:sz w:val="1"/>
                <w:szCs w:val="1"/>
                <w:color w:val="auto"/>
              </w:rPr>
            </w:pPr>
          </w:p>
        </w:tc>
      </w:tr>
      <w:tr>
        <w:trPr>
          <w:trHeight w:val="176"/>
        </w:trPr>
        <w:tc>
          <w:tcPr>
            <w:tcW w:w="7360" w:type="dxa"/>
            <w:vAlign w:val="bottom"/>
            <w:tcBorders>
              <w:bottom w:val="single" w:sz="8" w:color="DBDBDB"/>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Lives (Years)</w:t>
            </w:r>
          </w:p>
        </w:tc>
        <w:tc>
          <w:tcPr>
            <w:tcW w:w="12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Land</w:t>
            </w:r>
          </w:p>
        </w:tc>
        <w:tc>
          <w:tcPr>
            <w:tcW w:w="1320" w:type="dxa"/>
            <w:vAlign w:val="bottom"/>
            <w:gridSpan w:val="2"/>
            <w:shd w:val="clear" w:color="auto" w:fill="DBDBDB"/>
          </w:tcPr>
          <w:p>
            <w:pPr>
              <w:jc w:val="center"/>
              <w:ind w:right="10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5 – 40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3,490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30"/>
        </w:trPr>
        <w:tc>
          <w:tcPr>
            <w:tcW w:w="7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Machinery and equipment</w:t>
            </w:r>
          </w:p>
        </w:tc>
        <w:tc>
          <w:tcPr>
            <w:tcW w:w="1320" w:type="dxa"/>
            <w:vAlign w:val="bottom"/>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2 – 10</w:t>
            </w:r>
          </w:p>
        </w:tc>
        <w:tc>
          <w:tcPr>
            <w:tcW w:w="2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4,236</w:t>
            </w:r>
          </w:p>
        </w:tc>
        <w:tc>
          <w:tcPr>
            <w:tcW w:w="12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October 2021, we completed our purchase of a 300-millimeter semiconductor factory in Lehi, Utah, for cash consideration of $893 million. The estimated fair value of assets acquired was determined based on market comparable information to purchase or build comparable assets and allocated on a relative basis to purchase consideration. Assets acquired included $28 million of land, $305 million of buildings and improvements and $526 million of machinery and equipment.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as of December 31, 2021 and 2020,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10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4,158</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Embedded Processing</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10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100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r>
      <w:tr>
        <w:trPr>
          <w:trHeight w:val="20"/>
        </w:trPr>
        <w:tc>
          <w:tcPr>
            <w:tcW w:w="10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perform our annual goodwill impairment test in the fourth quarter and determine whether the fair value of each of our reporting units is in excess of its carrying value. In 2021, we elected to perform a qualitative analysis to assess impairment of goodwill rather than to perform the quantitative goodwill impairment test. The key qualitative factors considered in the assessment included the change in the industry and competitive environment, market capitalization and overall financial performance. Based on this qualitative analysis, we determined that it was more likely than not that the fair value of each reporting unit exceeded its carrying value. In 2021, 2020 and 2019, we determined no impairment was indicated.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liabilities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866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r>
      <w:tr>
        <w:trPr>
          <w:trHeight w:val="223"/>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 portion of transition tax on indefinitely reinvested earnings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403</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Deferred compensation plans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383</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8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48"/>
        </w:trPr>
        <w:tc>
          <w:tcPr>
            <w:tcW w:w="8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1,367</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1,305</w:t>
            </w:r>
          </w:p>
        </w:tc>
      </w:tr>
      <w:tr>
        <w:trPr>
          <w:trHeight w:val="20"/>
        </w:trPr>
        <w:tc>
          <w:tcPr>
            <w:tcW w:w="86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Accumulated other comprehensive income (loss), net of taxes (AOCI)</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3"/>
        </w:trPr>
        <w:tc>
          <w:tcPr>
            <w:tcW w:w="8680" w:type="dxa"/>
            <w:vAlign w:val="bottom"/>
            <w:tcBorders>
              <w:bottom w:val="single" w:sz="8" w:color="DBDBDB"/>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09"/>
        </w:trPr>
        <w:tc>
          <w:tcPr>
            <w:tcW w:w="8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Postretirement benefit plans:</w:t>
            </w:r>
          </w:p>
        </w:tc>
        <w:tc>
          <w:tcPr>
            <w:tcW w:w="7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r>
      <w:tr>
        <w:trPr>
          <w:trHeight w:val="229"/>
        </w:trPr>
        <w:tc>
          <w:tcPr>
            <w:tcW w:w="8680" w:type="dxa"/>
            <w:vAlign w:val="bottom"/>
          </w:tcPr>
          <w:p>
            <w:pPr>
              <w:ind w:left="140"/>
              <w:spacing w:after="0"/>
              <w:rPr>
                <w:sz w:val="20"/>
                <w:szCs w:val="20"/>
                <w:color w:val="auto"/>
              </w:rPr>
            </w:pPr>
            <w:r>
              <w:rPr>
                <w:rFonts w:ascii="Arial" w:cs="Arial" w:eastAsia="Arial" w:hAnsi="Arial"/>
                <w:sz w:val="18"/>
                <w:szCs w:val="18"/>
                <w:color w:val="auto"/>
              </w:rPr>
              <w:t>Net actuarial loss</w:t>
            </w:r>
          </w:p>
        </w:tc>
        <w:tc>
          <w:tcPr>
            <w:tcW w:w="760" w:type="dxa"/>
            <w:vAlign w:val="bottom"/>
          </w:tcPr>
          <w:p>
            <w:pPr>
              <w:jc w:val="right"/>
              <w:ind w:right="55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5"/>
              </w:rPr>
              <w:t>(155)</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86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Prior service credit</w:t>
            </w:r>
          </w:p>
        </w:tc>
        <w:tc>
          <w:tcPr>
            <w:tcW w:w="760" w:type="dxa"/>
            <w:vAlign w:val="bottom"/>
            <w:shd w:val="clear" w:color="auto" w:fill="DBDBDB"/>
          </w:tcPr>
          <w:p>
            <w:pPr>
              <w:spacing w:after="0"/>
              <w:rPr>
                <w:sz w:val="19"/>
                <w:szCs w:val="19"/>
                <w:color w:val="auto"/>
              </w:rPr>
            </w:pPr>
          </w:p>
        </w:tc>
        <w:tc>
          <w:tcPr>
            <w:tcW w:w="560" w:type="dxa"/>
            <w:vAlign w:val="bottom"/>
            <w:gridSpan w:val="2"/>
            <w:shd w:val="clear" w:color="auto" w:fill="DBDBDB"/>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Cash flow hedge derivative instruments</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DBDBDB"/>
          </w:tcPr>
          <w:p>
            <w:pPr>
              <w:jc w:val="right"/>
              <w:ind w:right="55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5"/>
              </w:rPr>
              <w:t>(157)</w:t>
            </w:r>
          </w:p>
        </w:tc>
        <w:tc>
          <w:tcPr>
            <w:tcW w:w="12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w:t>
            </w:r>
          </w:p>
        </w:tc>
      </w:tr>
      <w:tr>
        <w:trPr>
          <w:trHeight w:val="20"/>
        </w:trPr>
        <w:tc>
          <w:tcPr>
            <w:tcW w:w="868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Statements of Comprehensive Income include items that have been recognized within net income in 2021,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where these transactions are recorded in our Consolidated Statements of Income.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2860" w:type="dxa"/>
            <w:vAlign w:val="bottom"/>
            <w:tcBorders>
              <w:bottom w:val="single" w:sz="8" w:color="auto"/>
            </w:tcBorders>
            <w:gridSpan w:val="8"/>
          </w:tcPr>
          <w:p>
            <w:pPr>
              <w:jc w:val="right"/>
              <w:ind w:right="293"/>
              <w:spacing w:after="0"/>
              <w:rPr>
                <w:sz w:val="20"/>
                <w:szCs w:val="20"/>
                <w:color w:val="auto"/>
              </w:rPr>
            </w:pPr>
            <w:r>
              <w:rPr>
                <w:rFonts w:ascii="Arial" w:cs="Arial" w:eastAsia="Arial" w:hAnsi="Arial"/>
                <w:sz w:val="14"/>
                <w:szCs w:val="14"/>
                <w:b w:val="1"/>
                <w:bCs w:val="1"/>
                <w:color w:val="auto"/>
              </w:rPr>
              <w:t>For Years Ended December 31,</w:t>
            </w:r>
          </w:p>
        </w:tc>
        <w:tc>
          <w:tcPr>
            <w:tcW w:w="120" w:type="dxa"/>
            <w:vAlign w:val="bottom"/>
          </w:tcPr>
          <w:p>
            <w:pPr>
              <w:spacing w:after="0"/>
              <w:rPr>
                <w:sz w:val="16"/>
                <w:szCs w:val="16"/>
                <w:color w:val="auto"/>
              </w:rPr>
            </w:pPr>
          </w:p>
        </w:tc>
        <w:tc>
          <w:tcPr>
            <w:tcW w:w="24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Impact to Related Statement of</w:t>
            </w:r>
          </w:p>
        </w:tc>
        <w:tc>
          <w:tcPr>
            <w:tcW w:w="0" w:type="dxa"/>
            <w:vAlign w:val="bottom"/>
          </w:tcPr>
          <w:p>
            <w:pPr>
              <w:spacing w:after="0"/>
              <w:rPr>
                <w:sz w:val="1"/>
                <w:szCs w:val="1"/>
                <w:color w:val="auto"/>
              </w:rPr>
            </w:pPr>
          </w:p>
        </w:tc>
      </w:tr>
      <w:tr>
        <w:trPr>
          <w:trHeight w:val="61"/>
        </w:trPr>
        <w:tc>
          <w:tcPr>
            <w:tcW w:w="574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2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740" w:type="dxa"/>
            <w:vAlign w:val="bottom"/>
            <w:tcBorders>
              <w:bottom w:val="single" w:sz="8" w:color="DBDBDB"/>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4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Income Lines</w:t>
            </w:r>
          </w:p>
        </w:tc>
        <w:tc>
          <w:tcPr>
            <w:tcW w:w="0" w:type="dxa"/>
            <w:vAlign w:val="bottom"/>
          </w:tcPr>
          <w:p>
            <w:pPr>
              <w:spacing w:after="0"/>
              <w:rPr>
                <w:sz w:val="1"/>
                <w:szCs w:val="1"/>
                <w:color w:val="auto"/>
              </w:rPr>
            </w:pPr>
          </w:p>
        </w:tc>
      </w:tr>
      <w:tr>
        <w:trPr>
          <w:trHeight w:val="209"/>
        </w:trPr>
        <w:tc>
          <w:tcPr>
            <w:tcW w:w="5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actuarial losses of defined benefit plans:</w:t>
            </w:r>
          </w:p>
        </w:tc>
        <w:tc>
          <w:tcPr>
            <w:tcW w:w="6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Recognized net actuarial loss and settlement losses (a)</w:t>
            </w:r>
          </w:p>
        </w:tc>
        <w:tc>
          <w:tcPr>
            <w:tcW w:w="600" w:type="dxa"/>
            <w:vAlign w:val="bottom"/>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9"/>
              </w:rPr>
              <w:t>37</w:t>
            </w:r>
          </w:p>
        </w:tc>
        <w:tc>
          <w:tcPr>
            <w:tcW w:w="120" w:type="dxa"/>
            <w:vAlign w:val="bottom"/>
          </w:tcPr>
          <w:p>
            <w:pPr>
              <w:spacing w:after="0"/>
              <w:rPr>
                <w:sz w:val="19"/>
                <w:szCs w:val="19"/>
                <w:color w:val="auto"/>
              </w:rPr>
            </w:pP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38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Decrease to OI&amp;E</w:t>
            </w:r>
          </w:p>
        </w:tc>
        <w:tc>
          <w:tcPr>
            <w:tcW w:w="0" w:type="dxa"/>
            <w:vAlign w:val="bottom"/>
          </w:tcPr>
          <w:p>
            <w:pPr>
              <w:spacing w:after="0"/>
              <w:rPr>
                <w:sz w:val="1"/>
                <w:szCs w:val="1"/>
                <w:color w:val="auto"/>
              </w:rPr>
            </w:pPr>
          </w:p>
        </w:tc>
      </w:tr>
      <w:tr>
        <w:trPr>
          <w:trHeight w:val="188"/>
        </w:trPr>
        <w:tc>
          <w:tcPr>
            <w:tcW w:w="574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(8)</w:t>
            </w:r>
          </w:p>
        </w:tc>
        <w:tc>
          <w:tcPr>
            <w:tcW w:w="12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48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Decrease to provision for</w:t>
            </w:r>
          </w:p>
        </w:tc>
        <w:tc>
          <w:tcPr>
            <w:tcW w:w="0" w:type="dxa"/>
            <w:vAlign w:val="bottom"/>
          </w:tcPr>
          <w:p>
            <w:pPr>
              <w:spacing w:after="0"/>
              <w:rPr>
                <w:sz w:val="1"/>
                <w:szCs w:val="1"/>
                <w:color w:val="auto"/>
              </w:rPr>
            </w:pPr>
          </w:p>
        </w:tc>
      </w:tr>
      <w:tr>
        <w:trPr>
          <w:trHeight w:val="217"/>
        </w:trPr>
        <w:tc>
          <w:tcPr>
            <w:tcW w:w="57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Tax effect</w:t>
            </w:r>
          </w:p>
        </w:tc>
        <w:tc>
          <w:tcPr>
            <w:tcW w:w="60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tcBorders>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BDBDB"/>
          </w:tcPr>
          <w:p>
            <w:pPr>
              <w:spacing w:after="0"/>
              <w:rPr>
                <w:sz w:val="18"/>
                <w:szCs w:val="18"/>
                <w:color w:val="auto"/>
              </w:rPr>
            </w:pPr>
          </w:p>
        </w:tc>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6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29</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0"/>
        </w:trPr>
        <w:tc>
          <w:tcPr>
            <w:tcW w:w="574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4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Prior service credit of defined benefit plans: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Amortization of prior service credit (a)</w:t>
            </w:r>
          </w:p>
        </w:tc>
        <w:tc>
          <w:tcPr>
            <w:tcW w:w="600" w:type="dxa"/>
            <w:vAlign w:val="bottom"/>
            <w:shd w:val="clear" w:color="auto" w:fill="DBDBDB"/>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(1)</w:t>
            </w:r>
          </w:p>
        </w:tc>
        <w:tc>
          <w:tcPr>
            <w:tcW w:w="1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Increase to OI&amp;E</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ind w:left="20"/>
              <w:spacing w:after="0" w:line="189" w:lineRule="exact"/>
              <w:rPr>
                <w:sz w:val="20"/>
                <w:szCs w:val="20"/>
                <w:color w:val="auto"/>
              </w:rPr>
            </w:pPr>
            <w:r>
              <w:rPr>
                <w:rFonts w:ascii="Arial" w:cs="Arial" w:eastAsia="Arial" w:hAnsi="Arial"/>
                <w:sz w:val="18"/>
                <w:szCs w:val="18"/>
                <w:color w:val="auto"/>
              </w:rPr>
              <w:t>Increase to provision for</w:t>
            </w:r>
          </w:p>
        </w:tc>
        <w:tc>
          <w:tcPr>
            <w:tcW w:w="0" w:type="dxa"/>
            <w:vAlign w:val="bottom"/>
          </w:tcPr>
          <w:p>
            <w:pPr>
              <w:spacing w:after="0"/>
              <w:rPr>
                <w:sz w:val="1"/>
                <w:szCs w:val="1"/>
                <w:color w:val="auto"/>
              </w:rPr>
            </w:pPr>
          </w:p>
        </w:tc>
      </w:tr>
      <w:tr>
        <w:trPr>
          <w:trHeight w:val="217"/>
        </w:trPr>
        <w:tc>
          <w:tcPr>
            <w:tcW w:w="5740" w:type="dxa"/>
            <w:vAlign w:val="bottom"/>
          </w:tcPr>
          <w:p>
            <w:pPr>
              <w:ind w:left="140"/>
              <w:spacing w:after="0"/>
              <w:rPr>
                <w:sz w:val="20"/>
                <w:szCs w:val="20"/>
                <w:color w:val="auto"/>
              </w:rPr>
            </w:pPr>
            <w:r>
              <w:rPr>
                <w:rFonts w:ascii="Arial" w:cs="Arial" w:eastAsia="Arial" w:hAnsi="Arial"/>
                <w:sz w:val="18"/>
                <w:szCs w:val="18"/>
                <w:color w:val="auto"/>
              </w:rPr>
              <w:t>Tax effect</w:t>
            </w:r>
          </w:p>
        </w:tc>
        <w:tc>
          <w:tcPr>
            <w:tcW w:w="60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48"/>
        </w:trPr>
        <w:tc>
          <w:tcPr>
            <w:tcW w:w="574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600" w:type="dxa"/>
            <w:vAlign w:val="bottom"/>
            <w:tcBorders>
              <w:top w:val="single" w:sz="8" w:color="auto"/>
              <w:bottom w:val="single" w:sz="8" w:color="auto"/>
            </w:tcBorders>
            <w:shd w:val="clear" w:color="auto" w:fill="DBDBDB"/>
          </w:tcPr>
          <w:p>
            <w:pPr>
              <w:jc w:val="right"/>
              <w:ind w:right="39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600" w:type="dxa"/>
            <w:vAlign w:val="bottom"/>
            <w:tcBorders>
              <w:top w:val="single" w:sz="8" w:color="auto"/>
              <w:bottom w:val="single" w:sz="8" w:color="auto"/>
            </w:tcBorders>
            <w:shd w:val="clear" w:color="auto" w:fill="DBDBDB"/>
          </w:tcPr>
          <w:p>
            <w:pPr>
              <w:jc w:val="right"/>
              <w:ind w:right="3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Increase to net income</w:t>
            </w:r>
          </w:p>
        </w:tc>
        <w:tc>
          <w:tcPr>
            <w:tcW w:w="0" w:type="dxa"/>
            <w:vAlign w:val="bottom"/>
          </w:tcPr>
          <w:p>
            <w:pPr>
              <w:spacing w:after="0"/>
              <w:rPr>
                <w:sz w:val="1"/>
                <w:szCs w:val="1"/>
                <w:color w:val="auto"/>
              </w:rPr>
            </w:pPr>
          </w:p>
        </w:tc>
      </w:tr>
      <w:tr>
        <w:trPr>
          <w:trHeight w:val="20"/>
        </w:trPr>
        <w:tc>
          <w:tcPr>
            <w:tcW w:w="574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3" w:name="page54"/>
    <w:bookmarkEnd w:id="53"/>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Texas Instruments Incorporated (the Company) as of December 31, 2021 and 2020, the related consolidated statements of income, comprehensive income,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0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4, 2022,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Uncertain tax positions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right="140"/>
        <w:spacing w:after="0" w:line="267"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As discussed in Note 4 to the consolidated financial statements, the Company operates in the United States and multiple international tax jurisdictions, and its income tax returns are subject to examination by tax authorities in those jurisdictions who may challenge any tax position on these returns. Uncertainty in a tax position may arise because tax laws are subject to interpretation. The Company uses significant judgment to (1) determine whether, based on the technical merits, a tax position is more likely than not to be sustained and (2) measure the amount of tax benefit that qualifies for recognition. Auditing management’s estimate of the amount of tax benefit that qualifies for recognition involved auditor judgment because management’s estimate is complex, requires a high degree of judgment and is based on interpretations of tax laws and legal rulings.</w:t>
      </w:r>
    </w:p>
    <w:p>
      <w:pPr>
        <w:spacing w:after="0" w:line="18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accounting process for uncertain tax positions. For example, this included controls over the Company’s assessment of the technical merits of tax positions and management’s process to measure the benefit of those tax positions. Among other procedures performed, we involved our tax professionals to assess the technical merits of the Company’s tax positions. This included assessing the Company’s correspondence with the relevant tax authorities and evaluating income tax opinions or other third-party advice obtained by the Company. We also evaluated the appropriateness of the Company’s accounting for its tax positions taking into consideration relevant international and local income tax laws and legal rulings. We analyzed the Company’s assumptions and data used to determine the amount of tax benefit to recognize and tested the accuracy of the calculations. We also evaluated the adequacy of the Company’s financial statement disclosures in Note 4 to the consolidated financial statements related to these tax matters.</w:t>
      </w:r>
    </w:p>
    <w:p>
      <w:pPr>
        <w:spacing w:after="0" w:line="865" w:lineRule="exact"/>
        <w:rPr>
          <w:sz w:val="20"/>
          <w:szCs w:val="20"/>
          <w:color w:val="auto"/>
        </w:rPr>
      </w:pPr>
    </w:p>
    <w:p>
      <w:pPr>
        <w:sectPr>
          <w:pgSz w:w="11900" w:h="16838" w:orient="portrait"/>
          <w:cols w:equalWidth="0" w:num="2">
            <w:col w:w="2000" w:space="260"/>
            <w:col w:w="8920"/>
          </w:cols>
          <w:pgMar w:left="320" w:top="981" w:right="39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4,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w:t>
      </w:r>
      <w:r>
        <w:rPr>
          <w:rFonts w:ascii="Arial" w:cs="Arial" w:eastAsia="Arial" w:hAnsi="Arial"/>
          <w:sz w:val="18"/>
          <w:szCs w:val="18"/>
          <w:u w:val="single" w:color="auto"/>
          <w:color w:val="auto"/>
        </w:rPr>
        <w:t>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2021 that has materially affected, or is reasonably likely to materially affect, our internal control over financial reporting.</w:t>
      </w:r>
    </w:p>
    <w:p>
      <w:pPr>
        <w:spacing w:after="0" w:line="208"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2021. In making this assessment, we used the criteria set forth by the Committee of Sponsoring Organizations of the Treadway Commission (2013 framework) (the COSO criteria) in Internal Control − Integrated Framework. Based on our assessment, we believe that, as of December 31, 2021, our internal control over financial reporting is effective based on the COSO criteria.</w:t>
      </w:r>
    </w:p>
    <w:p>
      <w:pPr>
        <w:spacing w:after="0" w:line="2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audited Texas Instruments Incorporated’s internal control over financial reporting as of December 31, 2021, based on criteria established in Internal Control—Integrated Framework issued by the Committee of Sponsoring Organizations of the Treadway Commission (2013 framework) (the COSO criteria). In our opinion, Texas Instruments Incorporated (the Company) maintained, in all material respects, effective internal control over financial reporting as of December 31, 2021, based on the COSO criteria.</w:t>
      </w:r>
    </w:p>
    <w:p>
      <w:pPr>
        <w:spacing w:after="0" w:line="20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income, comprehensive income, shareholders’ equity and cash flows for each of the three years in the period ended December 31, 2021, and the related notes, and our report dated February 4, 2022,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4,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13(r) of the Securities Exchange Act of 1934 disclosure</w:t>
      </w:r>
    </w:p>
    <w:p>
      <w:pPr>
        <w:spacing w:after="0" w:line="23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During the period covered by this report and as permitted by General License 1B from the U.S. Office of Foreign Assets Control, we engaged with the Russian Federal Security Service (FSB) solely to permit the import, distribution and use of certain of our catalog semiconductor products in Russia. No gross revenue or net profit is directly attributable to these engagements with the FSB, and we intend to continue them to the extent permitted by law.</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information with respect to directors’ names, ages, positions, term of office, periods of service and business experience, which is contained under the caption “Election of directors” in our proxy statement for the 2022 annual meeting of stockholders, is incorporated herein by reference to such proxy statement.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4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have adopted the Code of Ethics for TI Chief Executive Officer and Senior Finance Officers. A copy of the Code can be found on our website at www.ti.com/corporategovernance. We intend to satisfy the disclosure requirements of the SEC regarding amendments to, or waivers from, the Code by posting such information on the same website.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2022 annual meeting of stockholders is incorporated herein by reference to such proxy statement.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2022 annual meeting of stockholders is incorporated herein by reference to such proxy statement, provided that the Compensation Committee report shall not be deemed filed with this Form 10-K.</w:t>
      </w:r>
    </w:p>
    <w:p>
      <w:pPr>
        <w:spacing w:after="0" w:line="202" w:lineRule="exact"/>
        <w:rPr>
          <w:sz w:val="20"/>
          <w:szCs w:val="20"/>
          <w:color w:val="auto"/>
        </w:rPr>
      </w:pPr>
    </w:p>
    <w:p>
      <w:pPr>
        <w:jc w:val="both"/>
        <w:ind w:right="340"/>
        <w:spacing w:after="0" w:line="261"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2022 annual meeting of stockholders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Weighted-Average</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be Issued Upon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left="341"/>
              <w:spacing w:after="0" w:line="135" w:lineRule="exact"/>
              <w:rPr>
                <w:sz w:val="20"/>
                <w:szCs w:val="20"/>
                <w:color w:val="auto"/>
              </w:rPr>
            </w:pPr>
            <w:r>
              <w:rPr>
                <w:rFonts w:ascii="Arial" w:cs="Arial" w:eastAsia="Arial" w:hAnsi="Arial"/>
                <w:sz w:val="14"/>
                <w:szCs w:val="14"/>
                <w:b w:val="1"/>
                <w:bCs w:val="1"/>
                <w:color w:val="auto"/>
              </w:rPr>
              <w:t>Exercise of</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Exercise Price of</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5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1"/>
                <w:szCs w:val="11"/>
                <w:color w:val="auto"/>
              </w:rPr>
            </w:pPr>
          </w:p>
        </w:tc>
        <w:tc>
          <w:tcPr>
            <w:tcW w:w="1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Outstanding Options,</w:t>
            </w:r>
          </w:p>
        </w:tc>
        <w:tc>
          <w:tcPr>
            <w:tcW w:w="100" w:type="dxa"/>
            <w:vAlign w:val="bottom"/>
          </w:tcPr>
          <w:p>
            <w:pPr>
              <w:spacing w:after="0"/>
              <w:rPr>
                <w:sz w:val="11"/>
                <w:szCs w:val="11"/>
                <w:color w:val="auto"/>
              </w:rPr>
            </w:pPr>
          </w:p>
        </w:tc>
        <w:tc>
          <w:tcPr>
            <w:tcW w:w="17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Outstanding Options,</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76"/>
        </w:trPr>
        <w:tc>
          <w:tcPr>
            <w:tcW w:w="5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Warrants and Rights (1)</w:t>
            </w:r>
          </w:p>
        </w:tc>
        <w:tc>
          <w:tcPr>
            <w:tcW w:w="100" w:type="dxa"/>
            <w:vAlign w:val="bottom"/>
            <w:tcBorders>
              <w:bottom w:val="single" w:sz="8" w:color="DBDBDB"/>
            </w:tcBorders>
          </w:tcPr>
          <w:p>
            <w:pPr>
              <w:spacing w:after="0"/>
              <w:rPr>
                <w:sz w:val="15"/>
                <w:szCs w:val="15"/>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Warrants and Rights (2)</w:t>
            </w:r>
          </w:p>
        </w:tc>
        <w:tc>
          <w:tcPr>
            <w:tcW w:w="100" w:type="dxa"/>
            <w:vAlign w:val="bottom"/>
            <w:tcBorders>
              <w:bottom w:val="single" w:sz="8" w:color="DBDBDB"/>
            </w:tcBorders>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(1)) (3)</w:t>
            </w:r>
          </w:p>
        </w:tc>
        <w:tc>
          <w:tcPr>
            <w:tcW w:w="0" w:type="dxa"/>
            <w:vAlign w:val="bottom"/>
          </w:tcPr>
          <w:p>
            <w:pPr>
              <w:spacing w:after="0"/>
              <w:rPr>
                <w:sz w:val="1"/>
                <w:szCs w:val="1"/>
                <w:color w:val="auto"/>
              </w:rPr>
            </w:pPr>
          </w:p>
        </w:tc>
      </w:tr>
      <w:tr>
        <w:trPr>
          <w:trHeight w:val="223"/>
        </w:trPr>
        <w:tc>
          <w:tcPr>
            <w:tcW w:w="59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29,280,162</w:t>
            </w:r>
          </w:p>
        </w:tc>
        <w:tc>
          <w:tcPr>
            <w:tcW w:w="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DBDBDB"/>
          </w:tcPr>
          <w:p>
            <w:pPr>
              <w:ind w:left="580"/>
              <w:spacing w:after="0"/>
              <w:rPr>
                <w:sz w:val="20"/>
                <w:szCs w:val="20"/>
                <w:color w:val="auto"/>
              </w:rPr>
            </w:pPr>
            <w:r>
              <w:rPr>
                <w:rFonts w:ascii="Arial" w:cs="Arial" w:eastAsia="Arial" w:hAnsi="Arial"/>
                <w:sz w:val="18"/>
                <w:szCs w:val="18"/>
                <w:color w:val="auto"/>
              </w:rPr>
              <w:t>91.92 (b)</w:t>
            </w:r>
          </w:p>
        </w:tc>
        <w:tc>
          <w:tcPr>
            <w:tcW w:w="1680" w:type="dxa"/>
            <w:vAlign w:val="bottom"/>
            <w:shd w:val="clear" w:color="auto" w:fill="DBDBDB"/>
          </w:tcPr>
          <w:p>
            <w:pPr>
              <w:jc w:val="right"/>
              <w:ind w:right="103"/>
              <w:spacing w:after="0"/>
              <w:rPr>
                <w:sz w:val="20"/>
                <w:szCs w:val="20"/>
                <w:color w:val="auto"/>
              </w:rPr>
            </w:pPr>
            <w:r>
              <w:rPr>
                <w:rFonts w:ascii="Arial" w:cs="Arial" w:eastAsia="Arial" w:hAnsi="Arial"/>
                <w:sz w:val="18"/>
                <w:szCs w:val="18"/>
                <w:color w:val="auto"/>
              </w:rPr>
              <w:t>69,842,569 (c)</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gridSpan w:val="2"/>
          </w:tcPr>
          <w:p>
            <w:pPr>
              <w:jc w:val="right"/>
              <w:ind w:right="5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40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29,280,162</w:t>
            </w:r>
          </w:p>
        </w:tc>
        <w:tc>
          <w:tcPr>
            <w:tcW w:w="4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(d)</w:t>
            </w:r>
          </w:p>
        </w:tc>
        <w:tc>
          <w:tcPr>
            <w:tcW w:w="2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BDBDB"/>
            </w:tcBorders>
            <w:shd w:val="clear" w:color="auto" w:fill="DBDBDB"/>
          </w:tcPr>
          <w:p>
            <w:pPr>
              <w:jc w:val="right"/>
              <w:ind w:right="397"/>
              <w:spacing w:after="0"/>
              <w:rPr>
                <w:sz w:val="20"/>
                <w:szCs w:val="20"/>
                <w:color w:val="auto"/>
              </w:rPr>
            </w:pPr>
            <w:r>
              <w:rPr>
                <w:rFonts w:ascii="Arial" w:cs="Arial" w:eastAsia="Arial" w:hAnsi="Arial"/>
                <w:sz w:val="18"/>
                <w:szCs w:val="18"/>
                <w:color w:val="auto"/>
              </w:rPr>
              <w:t>91.92</w:t>
            </w:r>
          </w:p>
        </w:tc>
        <w:tc>
          <w:tcPr>
            <w:tcW w:w="100" w:type="dxa"/>
            <w:vAlign w:val="bottom"/>
            <w:tcBorders>
              <w:bottom w:val="single" w:sz="8" w:color="DBDBDB"/>
            </w:tcBorders>
            <w:shd w:val="clear" w:color="auto" w:fill="DBDBDB"/>
          </w:tcPr>
          <w:p>
            <w:pPr>
              <w:spacing w:after="0"/>
              <w:rPr>
                <w:sz w:val="21"/>
                <w:szCs w:val="21"/>
                <w:color w:val="auto"/>
              </w:rPr>
            </w:pPr>
          </w:p>
        </w:tc>
        <w:tc>
          <w:tcPr>
            <w:tcW w:w="1680" w:type="dxa"/>
            <w:vAlign w:val="bottom"/>
            <w:tcBorders>
              <w:bottom w:val="single" w:sz="8" w:color="auto"/>
            </w:tcBorders>
            <w:shd w:val="clear" w:color="auto" w:fill="DBDBDB"/>
          </w:tcPr>
          <w:p>
            <w:pPr>
              <w:jc w:val="right"/>
              <w:ind w:right="403"/>
              <w:spacing w:after="0"/>
              <w:rPr>
                <w:sz w:val="20"/>
                <w:szCs w:val="20"/>
                <w:color w:val="auto"/>
              </w:rPr>
            </w:pPr>
            <w:r>
              <w:rPr>
                <w:rFonts w:ascii="Arial" w:cs="Arial" w:eastAsia="Arial" w:hAnsi="Arial"/>
                <w:sz w:val="18"/>
                <w:szCs w:val="18"/>
                <w:color w:val="auto"/>
              </w:rPr>
              <w:t>69,842,569</w:t>
            </w:r>
          </w:p>
        </w:tc>
        <w:tc>
          <w:tcPr>
            <w:tcW w:w="0" w:type="dxa"/>
            <w:vAlign w:val="bottom"/>
          </w:tcPr>
          <w:p>
            <w:pPr>
              <w:spacing w:after="0"/>
              <w:rPr>
                <w:sz w:val="1"/>
                <w:szCs w:val="1"/>
                <w:color w:val="auto"/>
              </w:rPr>
            </w:pP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right="60" w:hanging="332"/>
        <w:spacing w:after="0" w:line="254" w:lineRule="auto"/>
        <w:tabs>
          <w:tab w:leader="none" w:pos="3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shares of TI common stock to be issued under the Texas Instruments 2003 Director Compensation Plan, the Texas Instruments 2009 Long-Term Incentive Plan (the “2009 LTIP”) and its predecessor stockholder-approved plans, the Texas Instruments 2009 Director Compensation Plan, the TI Employees 2014 Stock Purchase Plan (the “2014 ESPP”) and the Texas Instruments 2018 Director Compensation Plan (the “2018 Director Plan”).</w:t>
      </w:r>
    </w:p>
    <w:p>
      <w:pPr>
        <w:spacing w:after="0" w:line="95" w:lineRule="exact"/>
        <w:rPr>
          <w:rFonts w:ascii="Arial" w:cs="Arial" w:eastAsia="Arial" w:hAnsi="Arial"/>
          <w:sz w:val="18"/>
          <w:szCs w:val="18"/>
          <w:color w:val="auto"/>
        </w:rPr>
      </w:pPr>
    </w:p>
    <w:p>
      <w:pPr>
        <w:ind w:left="340" w:right="60" w:hanging="332"/>
        <w:spacing w:after="0" w:line="261" w:lineRule="auto"/>
        <w:tabs>
          <w:tab w:leader="none" w:pos="3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89" w:lineRule="exact"/>
        <w:rPr>
          <w:rFonts w:ascii="Arial" w:cs="Arial" w:eastAsia="Arial" w:hAnsi="Arial"/>
          <w:sz w:val="18"/>
          <w:szCs w:val="18"/>
          <w:color w:val="auto"/>
        </w:rPr>
      </w:pPr>
    </w:p>
    <w:p>
      <w:pPr>
        <w:ind w:left="340" w:hanging="332"/>
        <w:spacing w:after="0" w:line="254" w:lineRule="auto"/>
        <w:tabs>
          <w:tab w:leader="none" w:pos="3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of TI common stock available for future issuance under the 2009 LTIP, the 2014 ESPP and the 2018 Director Plan. 35,385,153 shares remain available for future issuance under the 2009 LTIP and 1,843,134 shares remain available for future issuance under the 2018 Director Plan. Under the 2009 LTIP and the 2018 Director Plan, awards may be granted in the form of restricted stock units, options or other stock-based awards such as restricted stock.</w:t>
      </w:r>
    </w:p>
    <w:p>
      <w:pPr>
        <w:spacing w:after="0" w:line="95" w:lineRule="exact"/>
        <w:rPr>
          <w:rFonts w:ascii="Arial" w:cs="Arial" w:eastAsia="Arial" w:hAnsi="Arial"/>
          <w:sz w:val="18"/>
          <w:szCs w:val="18"/>
          <w:color w:val="auto"/>
        </w:rPr>
      </w:pPr>
    </w:p>
    <w:p>
      <w:pPr>
        <w:ind w:left="340" w:right="160" w:hanging="332"/>
        <w:spacing w:after="0" w:line="256" w:lineRule="auto"/>
        <w:tabs>
          <w:tab w:leader="none" w:pos="3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24,981,728 shares for issuance upon exercise of outstanding grants of options, 4,085,972 shares for issuance upon vesting of outstanding grants of restricted stock units, 121,844 shares for issuance under the 2014 ESPP and 90,618 shares for issuance in settlement of directors’ deferred compensation accounts.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information that is contained under the captions “Security ownership of certain beneficial owners” and “Security ownership of directors and management” in our proxy statement for the 2022 annual meeting of stockholders is incorporated herein by reference to such proxy statement.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information contained under the captions “Related person transactions” and “Director independence” in our proxy statement for the 2022 annual meeting of stockholders is incorporated herein by reference to such proxy statement.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information with respect to principal accountant fees and services contained under the caption “Proposal to ratify appointment of independent registered public accounting firm” in our proxy statement for the 2022 annual meeting of stockholders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listed in the index included in Item 8, “Financial statements and supplementary data.”</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140" w:type="dxa"/>
            <w:vAlign w:val="bottom"/>
            <w:tcBorders>
              <w:top w:val="single" w:sz="8" w:color="auto"/>
              <w:left w:val="single" w:sz="8" w:color="auto"/>
              <w:right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2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1520" w:type="dxa"/>
            <w:vAlign w:val="bottom"/>
            <w:tcBorders>
              <w:top w:val="single" w:sz="8" w:color="auto"/>
              <w:bottom w:val="single" w:sz="8" w:color="auto"/>
              <w:right w:val="single" w:sz="8" w:color="auto"/>
            </w:tcBorders>
          </w:tcPr>
          <w:p>
            <w:pPr>
              <w:spacing w:after="0"/>
              <w:rPr>
                <w:sz w:val="22"/>
                <w:szCs w:val="22"/>
                <w:color w:val="auto"/>
              </w:rPr>
            </w:pPr>
          </w:p>
        </w:tc>
        <w:tc>
          <w:tcPr>
            <w:tcW w:w="9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48"/>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Designation of</w:t>
            </w: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vMerge w:val="continue"/>
          </w:tcPr>
          <w:p>
            <w:pPr>
              <w:spacing w:after="0"/>
              <w:rPr>
                <w:sz w:val="11"/>
                <w:szCs w:val="11"/>
                <w:color w:val="auto"/>
              </w:rPr>
            </w:pPr>
          </w:p>
        </w:tc>
        <w:tc>
          <w:tcPr>
            <w:tcW w:w="3580" w:type="dxa"/>
            <w:vAlign w:val="bottom"/>
            <w:tcBorders>
              <w:right w:val="single" w:sz="8" w:color="auto"/>
            </w:tcBorders>
            <w:gridSpan w:val="24"/>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9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22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 of Filing</w:t>
            </w:r>
          </w:p>
        </w:tc>
        <w:tc>
          <w:tcPr>
            <w:tcW w:w="152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Exhibit Number</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Exhibit</w:t>
            </w:r>
          </w:p>
        </w:tc>
        <w:tc>
          <w:tcPr>
            <w:tcW w:w="3580" w:type="dxa"/>
            <w:vAlign w:val="bottom"/>
            <w:tcBorders>
              <w:bottom w:val="single" w:sz="8" w:color="auto"/>
              <w:right w:val="single" w:sz="8" w:color="auto"/>
            </w:tcBorders>
            <w:gridSpan w:val="24"/>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3(a)</w:t>
            </w:r>
          </w:p>
        </w:tc>
        <w:tc>
          <w:tcPr>
            <w:tcW w:w="35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77">
              <w:r>
                <w:rPr>
                  <w:rFonts w:ascii="Arial" w:cs="Arial" w:eastAsia="Arial" w:hAnsi="Arial"/>
                  <w:sz w:val="18"/>
                  <w:szCs w:val="18"/>
                  <w:color w:val="0000FF"/>
                </w:rPr>
                <w:t>Restated Certificate of Incorporation of the</w:t>
              </w:r>
            </w:hyperlink>
          </w:p>
        </w:tc>
        <w:tc>
          <w:tcPr>
            <w:tcW w:w="800" w:type="dxa"/>
            <w:vAlign w:val="bottom"/>
            <w:shd w:val="clear" w:color="auto" w:fill="DBDBDB"/>
          </w:tcPr>
          <w:p>
            <w:pPr>
              <w:spacing w:after="0" w:line="182" w:lineRule="exact"/>
              <w:rPr>
                <w:sz w:val="20"/>
                <w:szCs w:val="20"/>
                <w:color w:val="auto"/>
              </w:rPr>
            </w:pPr>
            <w:r>
              <w:rPr>
                <w:rFonts w:ascii="Arial" w:cs="Arial" w:eastAsia="Arial" w:hAnsi="Arial"/>
                <w:sz w:val="18"/>
                <w:szCs w:val="18"/>
                <w:color w:val="auto"/>
              </w:rPr>
              <w:t>10-K</w:t>
            </w:r>
          </w:p>
        </w:tc>
        <w:tc>
          <w:tcPr>
            <w:tcW w:w="98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shd w:val="clear" w:color="auto" w:fill="DBDBDB"/>
          </w:tcPr>
          <w:p>
            <w:pPr>
              <w:ind w:left="360"/>
              <w:spacing w:after="0" w:line="182" w:lineRule="exact"/>
              <w:rPr>
                <w:sz w:val="20"/>
                <w:szCs w:val="20"/>
                <w:color w:val="auto"/>
              </w:rPr>
            </w:pPr>
            <w:r>
              <w:rPr>
                <w:rFonts w:ascii="Arial" w:cs="Arial" w:eastAsia="Arial" w:hAnsi="Arial"/>
                <w:sz w:val="18"/>
                <w:szCs w:val="18"/>
                <w:color w:val="auto"/>
              </w:rPr>
              <w:t>February 24, 2015</w:t>
            </w:r>
          </w:p>
        </w:tc>
        <w:tc>
          <w:tcPr>
            <w:tcW w:w="15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3(a)</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DBDBDB"/>
              <w:left w:val="single" w:sz="8" w:color="auto"/>
              <w:right w:val="single" w:sz="8" w:color="auto"/>
            </w:tcBorders>
            <w:shd w:val="clear" w:color="auto" w:fill="DBDBDB"/>
          </w:tcPr>
          <w:p>
            <w:pPr>
              <w:spacing w:after="0"/>
              <w:rPr>
                <w:sz w:val="13"/>
                <w:szCs w:val="13"/>
                <w:color w:val="auto"/>
              </w:rPr>
            </w:pPr>
          </w:p>
        </w:tc>
        <w:tc>
          <w:tcPr>
            <w:tcW w:w="3380" w:type="dxa"/>
            <w:vAlign w:val="bottom"/>
            <w:tcBorders>
              <w:top w:val="single" w:sz="8" w:color="0000FF"/>
            </w:tcBorders>
            <w:gridSpan w:val="20"/>
            <w:shd w:val="clear" w:color="auto" w:fill="DBDBDB"/>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Registrant, dated April 18, 1985, as</w:t>
              </w:r>
            </w:hyperlink>
          </w:p>
        </w:tc>
        <w:tc>
          <w:tcPr>
            <w:tcW w:w="20" w:type="dxa"/>
            <w:vAlign w:val="bottom"/>
            <w:tcBorders>
              <w:top w:val="single" w:sz="8" w:color="DBDBDB"/>
            </w:tcBorders>
            <w:shd w:val="clear" w:color="auto" w:fill="DBDBDB"/>
          </w:tcPr>
          <w:p>
            <w:pPr>
              <w:spacing w:after="0"/>
              <w:rPr>
                <w:sz w:val="13"/>
                <w:szCs w:val="13"/>
                <w:color w:val="auto"/>
              </w:rPr>
            </w:pPr>
          </w:p>
        </w:tc>
        <w:tc>
          <w:tcPr>
            <w:tcW w:w="20" w:type="dxa"/>
            <w:vAlign w:val="bottom"/>
            <w:tcBorders>
              <w:top w:val="single" w:sz="8" w:color="DBDBDB"/>
            </w:tcBorders>
            <w:shd w:val="clear" w:color="auto" w:fill="DBDBDB"/>
          </w:tcPr>
          <w:p>
            <w:pPr>
              <w:spacing w:after="0"/>
              <w:rPr>
                <w:sz w:val="13"/>
                <w:szCs w:val="13"/>
                <w:color w:val="auto"/>
              </w:rPr>
            </w:pPr>
          </w:p>
        </w:tc>
        <w:tc>
          <w:tcPr>
            <w:tcW w:w="40" w:type="dxa"/>
            <w:vAlign w:val="bottom"/>
            <w:tcBorders>
              <w:top w:val="single" w:sz="8" w:color="DBDBDB"/>
            </w:tcBorders>
            <w:shd w:val="clear" w:color="auto" w:fill="DBDBDB"/>
          </w:tcPr>
          <w:p>
            <w:pPr>
              <w:spacing w:after="0"/>
              <w:rPr>
                <w:sz w:val="13"/>
                <w:szCs w:val="13"/>
                <w:color w:val="auto"/>
              </w:rPr>
            </w:pPr>
          </w:p>
        </w:tc>
        <w:tc>
          <w:tcPr>
            <w:tcW w:w="120" w:type="dxa"/>
            <w:vAlign w:val="bottom"/>
            <w:tcBorders>
              <w:top w:val="single" w:sz="8" w:color="DBDBDB"/>
              <w:right w:val="single" w:sz="8" w:color="auto"/>
            </w:tcBorders>
            <w:shd w:val="clear" w:color="auto" w:fill="DBDBDB"/>
          </w:tcPr>
          <w:p>
            <w:pPr>
              <w:spacing w:after="0"/>
              <w:rPr>
                <w:sz w:val="13"/>
                <w:szCs w:val="13"/>
                <w:color w:val="auto"/>
              </w:rPr>
            </w:pPr>
          </w:p>
        </w:tc>
        <w:tc>
          <w:tcPr>
            <w:tcW w:w="800" w:type="dxa"/>
            <w:vAlign w:val="bottom"/>
            <w:tcBorders>
              <w:top w:val="single" w:sz="8" w:color="DBDBDB"/>
            </w:tcBorders>
            <w:shd w:val="clear" w:color="auto" w:fill="DBDBDB"/>
          </w:tcPr>
          <w:p>
            <w:pPr>
              <w:spacing w:after="0"/>
              <w:rPr>
                <w:sz w:val="13"/>
                <w:szCs w:val="13"/>
                <w:color w:val="auto"/>
              </w:rPr>
            </w:pPr>
          </w:p>
        </w:tc>
        <w:tc>
          <w:tcPr>
            <w:tcW w:w="980" w:type="dxa"/>
            <w:vAlign w:val="bottom"/>
            <w:tcBorders>
              <w:top w:val="single" w:sz="8" w:color="DBDBDB"/>
            </w:tcBorders>
            <w:shd w:val="clear" w:color="auto" w:fill="DBDBDB"/>
          </w:tcPr>
          <w:p>
            <w:pPr>
              <w:spacing w:after="0"/>
              <w:rPr>
                <w:sz w:val="13"/>
                <w:szCs w:val="13"/>
                <w:color w:val="auto"/>
              </w:rPr>
            </w:pPr>
          </w:p>
        </w:tc>
        <w:tc>
          <w:tcPr>
            <w:tcW w:w="2260" w:type="dxa"/>
            <w:vAlign w:val="bottom"/>
            <w:tcBorders>
              <w:top w:val="single" w:sz="8" w:color="DBDBDB"/>
            </w:tcBorders>
            <w:shd w:val="clear" w:color="auto" w:fill="DBDBDB"/>
          </w:tcPr>
          <w:p>
            <w:pPr>
              <w:spacing w:after="0"/>
              <w:rPr>
                <w:sz w:val="13"/>
                <w:szCs w:val="13"/>
                <w:color w:val="auto"/>
              </w:rPr>
            </w:pPr>
          </w:p>
        </w:tc>
        <w:tc>
          <w:tcPr>
            <w:tcW w:w="1520" w:type="dxa"/>
            <w:vAlign w:val="bottom"/>
            <w:tcBorders>
              <w:top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7"/>
                <w:szCs w:val="17"/>
                <w:color w:val="auto"/>
              </w:rPr>
            </w:pPr>
          </w:p>
        </w:tc>
        <w:tc>
          <w:tcPr>
            <w:tcW w:w="2860" w:type="dxa"/>
            <w:vAlign w:val="bottom"/>
            <w:tcBorders>
              <w:top w:val="single" w:sz="8" w:color="0000FF"/>
              <w:bottom w:val="single" w:sz="8" w:color="auto"/>
            </w:tcBorders>
            <w:gridSpan w:val="13"/>
            <w:shd w:val="clear" w:color="auto" w:fill="DBDBDB"/>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amended</w:t>
              </w:r>
            </w:hyperlink>
          </w:p>
        </w:tc>
        <w:tc>
          <w:tcPr>
            <w:tcW w:w="20" w:type="dxa"/>
            <w:vAlign w:val="bottom"/>
            <w:tcBorders>
              <w:top w:val="single" w:sz="8" w:color="DBDBDB"/>
              <w:bottom w:val="single" w:sz="8" w:color="auto"/>
            </w:tcBorders>
            <w:shd w:val="clear" w:color="auto" w:fill="DBDBDB"/>
          </w:tcPr>
          <w:p>
            <w:pPr>
              <w:spacing w:after="0"/>
              <w:rPr>
                <w:sz w:val="17"/>
                <w:szCs w:val="17"/>
                <w:color w:val="auto"/>
              </w:rPr>
            </w:pPr>
          </w:p>
        </w:tc>
        <w:tc>
          <w:tcPr>
            <w:tcW w:w="40" w:type="dxa"/>
            <w:vAlign w:val="bottom"/>
            <w:tcBorders>
              <w:top w:val="single" w:sz="8" w:color="DBDBDB"/>
              <w:bottom w:val="single" w:sz="8" w:color="auto"/>
            </w:tcBorders>
            <w:shd w:val="clear" w:color="auto" w:fill="DBDBDB"/>
          </w:tcPr>
          <w:p>
            <w:pPr>
              <w:spacing w:after="0"/>
              <w:rPr>
                <w:sz w:val="17"/>
                <w:szCs w:val="17"/>
                <w:color w:val="auto"/>
              </w:rPr>
            </w:pPr>
          </w:p>
        </w:tc>
        <w:tc>
          <w:tcPr>
            <w:tcW w:w="220" w:type="dxa"/>
            <w:vAlign w:val="bottom"/>
            <w:tcBorders>
              <w:top w:val="single" w:sz="8" w:color="DBDBDB"/>
              <w:bottom w:val="single" w:sz="8" w:color="auto"/>
            </w:tcBorders>
            <w:shd w:val="clear" w:color="auto" w:fill="DBDBDB"/>
          </w:tcPr>
          <w:p>
            <w:pPr>
              <w:spacing w:after="0"/>
              <w:rPr>
                <w:sz w:val="17"/>
                <w:szCs w:val="17"/>
                <w:color w:val="auto"/>
              </w:rPr>
            </w:pPr>
          </w:p>
        </w:tc>
        <w:tc>
          <w:tcPr>
            <w:tcW w:w="40" w:type="dxa"/>
            <w:vAlign w:val="bottom"/>
            <w:tcBorders>
              <w:top w:val="single" w:sz="8" w:color="DBDBDB"/>
              <w:bottom w:val="single" w:sz="8" w:color="auto"/>
            </w:tcBorders>
            <w:shd w:val="clear" w:color="auto" w:fill="DBDBDB"/>
          </w:tcPr>
          <w:p>
            <w:pPr>
              <w:spacing w:after="0"/>
              <w:rPr>
                <w:sz w:val="17"/>
                <w:szCs w:val="17"/>
                <w:color w:val="auto"/>
              </w:rPr>
            </w:pPr>
          </w:p>
        </w:tc>
        <w:tc>
          <w:tcPr>
            <w:tcW w:w="120" w:type="dxa"/>
            <w:vAlign w:val="bottom"/>
            <w:tcBorders>
              <w:top w:val="single" w:sz="8" w:color="DBDBDB"/>
              <w:bottom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auto"/>
            </w:tcBorders>
            <w:shd w:val="clear" w:color="auto" w:fill="DBDBDB"/>
          </w:tcPr>
          <w:p>
            <w:pPr>
              <w:spacing w:after="0"/>
              <w:rPr>
                <w:sz w:val="17"/>
                <w:szCs w:val="17"/>
                <w:color w:val="auto"/>
              </w:rPr>
            </w:pPr>
          </w:p>
        </w:tc>
        <w:tc>
          <w:tcPr>
            <w:tcW w:w="40" w:type="dxa"/>
            <w:vAlign w:val="bottom"/>
            <w:tcBorders>
              <w:top w:val="single" w:sz="8" w:color="DBDBDB"/>
              <w:bottom w:val="single" w:sz="8" w:color="auto"/>
            </w:tcBorders>
            <w:gridSpan w:val="2"/>
            <w:shd w:val="clear" w:color="auto" w:fill="DBDBDB"/>
          </w:tcPr>
          <w:p>
            <w:pPr>
              <w:spacing w:after="0"/>
              <w:rPr>
                <w:sz w:val="17"/>
                <w:szCs w:val="17"/>
                <w:color w:val="auto"/>
              </w:rPr>
            </w:pPr>
          </w:p>
        </w:tc>
        <w:tc>
          <w:tcPr>
            <w:tcW w:w="20" w:type="dxa"/>
            <w:vAlign w:val="bottom"/>
            <w:tcBorders>
              <w:top w:val="single" w:sz="8" w:color="DBDBDB"/>
              <w:bottom w:val="single" w:sz="8" w:color="auto"/>
            </w:tcBorders>
            <w:shd w:val="clear" w:color="auto" w:fill="DBDBDB"/>
          </w:tcPr>
          <w:p>
            <w:pPr>
              <w:spacing w:after="0"/>
              <w:rPr>
                <w:sz w:val="17"/>
                <w:szCs w:val="17"/>
                <w:color w:val="auto"/>
              </w:rPr>
            </w:pPr>
          </w:p>
        </w:tc>
        <w:tc>
          <w:tcPr>
            <w:tcW w:w="40" w:type="dxa"/>
            <w:vAlign w:val="bottom"/>
            <w:tcBorders>
              <w:top w:val="single" w:sz="8" w:color="DBDBDB"/>
              <w:bottom w:val="single" w:sz="8" w:color="auto"/>
            </w:tcBorders>
            <w:shd w:val="clear" w:color="auto" w:fill="DBDBDB"/>
          </w:tcPr>
          <w:p>
            <w:pPr>
              <w:spacing w:after="0"/>
              <w:rPr>
                <w:sz w:val="17"/>
                <w:szCs w:val="17"/>
                <w:color w:val="auto"/>
              </w:rPr>
            </w:pPr>
          </w:p>
        </w:tc>
        <w:tc>
          <w:tcPr>
            <w:tcW w:w="1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800" w:type="dxa"/>
            <w:vAlign w:val="bottom"/>
            <w:tcBorders>
              <w:top w:val="single" w:sz="8" w:color="DBDBDB"/>
              <w:bottom w:val="single" w:sz="8" w:color="auto"/>
            </w:tcBorders>
            <w:shd w:val="clear" w:color="auto" w:fill="DBDBDB"/>
          </w:tcPr>
          <w:p>
            <w:pPr>
              <w:spacing w:after="0"/>
              <w:rPr>
                <w:sz w:val="17"/>
                <w:szCs w:val="17"/>
                <w:color w:val="auto"/>
              </w:rPr>
            </w:pPr>
          </w:p>
        </w:tc>
        <w:tc>
          <w:tcPr>
            <w:tcW w:w="980" w:type="dxa"/>
            <w:vAlign w:val="bottom"/>
            <w:tcBorders>
              <w:top w:val="single" w:sz="8" w:color="DBDBDB"/>
              <w:bottom w:val="single" w:sz="8" w:color="auto"/>
            </w:tcBorders>
            <w:shd w:val="clear" w:color="auto" w:fill="DBDBDB"/>
          </w:tcPr>
          <w:p>
            <w:pPr>
              <w:spacing w:after="0"/>
              <w:rPr>
                <w:sz w:val="17"/>
                <w:szCs w:val="17"/>
                <w:color w:val="auto"/>
              </w:rPr>
            </w:pPr>
          </w:p>
        </w:tc>
        <w:tc>
          <w:tcPr>
            <w:tcW w:w="2260" w:type="dxa"/>
            <w:vAlign w:val="bottom"/>
            <w:tcBorders>
              <w:top w:val="single" w:sz="8" w:color="DBDBDB"/>
              <w:bottom w:val="single" w:sz="8" w:color="auto"/>
            </w:tcBorders>
            <w:shd w:val="clear" w:color="auto" w:fill="DBDBDB"/>
          </w:tcPr>
          <w:p>
            <w:pPr>
              <w:spacing w:after="0"/>
              <w:rPr>
                <w:sz w:val="17"/>
                <w:szCs w:val="17"/>
                <w:color w:val="auto"/>
              </w:rPr>
            </w:pPr>
          </w:p>
        </w:tc>
        <w:tc>
          <w:tcPr>
            <w:tcW w:w="15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3(b)</w:t>
            </w:r>
          </w:p>
        </w:tc>
        <w:tc>
          <w:tcPr>
            <w:tcW w:w="35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78">
              <w:r>
                <w:rPr>
                  <w:rFonts w:ascii="Arial" w:cs="Arial" w:eastAsia="Arial" w:hAnsi="Arial"/>
                  <w:sz w:val="18"/>
                  <w:szCs w:val="18"/>
                  <w:color w:val="0000FF"/>
                </w:rPr>
                <w:t>By-Laws of the Registrant</w:t>
              </w:r>
            </w:hyperlink>
          </w:p>
        </w:tc>
        <w:tc>
          <w:tcPr>
            <w:tcW w:w="800" w:type="dxa"/>
            <w:vAlign w:val="bottom"/>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January 26, 2022</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3</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4(a)</w:t>
            </w:r>
          </w:p>
        </w:tc>
        <w:tc>
          <w:tcPr>
            <w:tcW w:w="35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79">
              <w:r>
                <w:rPr>
                  <w:rFonts w:ascii="Arial" w:cs="Arial" w:eastAsia="Arial" w:hAnsi="Arial"/>
                  <w:sz w:val="18"/>
                  <w:szCs w:val="18"/>
                  <w:color w:val="0000FF"/>
                </w:rPr>
                <w:t>Indenture</w:t>
              </w:r>
            </w:hyperlink>
          </w:p>
        </w:tc>
        <w:tc>
          <w:tcPr>
            <w:tcW w:w="800" w:type="dxa"/>
            <w:vAlign w:val="bottom"/>
            <w:tcBorders>
              <w:bottom w:val="single" w:sz="8" w:color="auto"/>
            </w:tcBorders>
            <w:shd w:val="clear" w:color="auto" w:fill="DBDBDB"/>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Borders>
              <w:bottom w:val="single" w:sz="8" w:color="auto"/>
            </w:tcBorders>
            <w:shd w:val="clear" w:color="auto" w:fill="DBDBDB"/>
          </w:tcPr>
          <w:p>
            <w:pPr>
              <w:ind w:left="360"/>
              <w:spacing w:after="0" w:line="182" w:lineRule="exact"/>
              <w:rPr>
                <w:sz w:val="20"/>
                <w:szCs w:val="20"/>
                <w:color w:val="auto"/>
              </w:rPr>
            </w:pPr>
            <w:r>
              <w:rPr>
                <w:rFonts w:ascii="Arial" w:cs="Arial" w:eastAsia="Arial" w:hAnsi="Arial"/>
                <w:sz w:val="18"/>
                <w:szCs w:val="18"/>
                <w:color w:val="auto"/>
              </w:rPr>
              <w:t>May 23, 2011</w:t>
            </w:r>
          </w:p>
        </w:tc>
        <w:tc>
          <w:tcPr>
            <w:tcW w:w="15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4.2</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4(b)</w:t>
            </w:r>
          </w:p>
        </w:tc>
        <w:tc>
          <w:tcPr>
            <w:tcW w:w="35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0">
              <w:r>
                <w:rPr>
                  <w:rFonts w:ascii="Arial" w:cs="Arial" w:eastAsia="Arial" w:hAnsi="Arial"/>
                  <w:sz w:val="18"/>
                  <w:szCs w:val="18"/>
                  <w:color w:val="0000FF"/>
                </w:rPr>
                <w:t>Officer’s Certificate</w:t>
              </w:r>
            </w:hyperlink>
          </w:p>
        </w:tc>
        <w:tc>
          <w:tcPr>
            <w:tcW w:w="800" w:type="dxa"/>
            <w:vAlign w:val="bottom"/>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May 8, 2013</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4.2</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4(c)</w:t>
            </w:r>
          </w:p>
        </w:tc>
        <w:tc>
          <w:tcPr>
            <w:tcW w:w="35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Officers’ Certificate</w:t>
              </w:r>
            </w:hyperlink>
          </w:p>
        </w:tc>
        <w:tc>
          <w:tcPr>
            <w:tcW w:w="800" w:type="dxa"/>
            <w:vAlign w:val="bottom"/>
            <w:tcBorders>
              <w:bottom w:val="single" w:sz="8" w:color="auto"/>
            </w:tcBorders>
            <w:shd w:val="clear" w:color="auto" w:fill="DBDBDB"/>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Borders>
              <w:bottom w:val="single" w:sz="8" w:color="auto"/>
            </w:tcBorders>
            <w:shd w:val="clear" w:color="auto" w:fill="DBDBDB"/>
          </w:tcPr>
          <w:p>
            <w:pPr>
              <w:ind w:left="360"/>
              <w:spacing w:after="0" w:line="182" w:lineRule="exact"/>
              <w:rPr>
                <w:sz w:val="20"/>
                <w:szCs w:val="20"/>
                <w:color w:val="auto"/>
              </w:rPr>
            </w:pPr>
            <w:r>
              <w:rPr>
                <w:rFonts w:ascii="Arial" w:cs="Arial" w:eastAsia="Arial" w:hAnsi="Arial"/>
                <w:sz w:val="18"/>
                <w:szCs w:val="18"/>
                <w:color w:val="auto"/>
              </w:rPr>
              <w:t>March 12, 2014</w:t>
            </w:r>
          </w:p>
        </w:tc>
        <w:tc>
          <w:tcPr>
            <w:tcW w:w="15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4.2</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4(d)</w:t>
            </w:r>
          </w:p>
        </w:tc>
        <w:tc>
          <w:tcPr>
            <w:tcW w:w="35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2">
              <w:r>
                <w:rPr>
                  <w:rFonts w:ascii="Arial" w:cs="Arial" w:eastAsia="Arial" w:hAnsi="Arial"/>
                  <w:sz w:val="18"/>
                  <w:szCs w:val="18"/>
                  <w:color w:val="0000FF"/>
                </w:rPr>
                <w:t>Officers’ Certificate</w:t>
              </w:r>
            </w:hyperlink>
          </w:p>
        </w:tc>
        <w:tc>
          <w:tcPr>
            <w:tcW w:w="800" w:type="dxa"/>
            <w:vAlign w:val="bottom"/>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May 6, 2016</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4(e)</w:t>
            </w:r>
          </w:p>
        </w:tc>
        <w:tc>
          <w:tcPr>
            <w:tcW w:w="35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Officers’ Certificate</w:t>
              </w:r>
            </w:hyperlink>
          </w:p>
        </w:tc>
        <w:tc>
          <w:tcPr>
            <w:tcW w:w="800" w:type="dxa"/>
            <w:vAlign w:val="bottom"/>
            <w:tcBorders>
              <w:bottom w:val="single" w:sz="8" w:color="auto"/>
            </w:tcBorders>
            <w:shd w:val="clear" w:color="auto" w:fill="DBDBDB"/>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Borders>
              <w:bottom w:val="single" w:sz="8" w:color="auto"/>
            </w:tcBorders>
            <w:shd w:val="clear" w:color="auto" w:fill="DBDBDB"/>
          </w:tcPr>
          <w:p>
            <w:pPr>
              <w:ind w:left="360"/>
              <w:spacing w:after="0" w:line="182" w:lineRule="exact"/>
              <w:rPr>
                <w:sz w:val="20"/>
                <w:szCs w:val="20"/>
                <w:color w:val="auto"/>
              </w:rPr>
            </w:pPr>
            <w:r>
              <w:rPr>
                <w:rFonts w:ascii="Arial" w:cs="Arial" w:eastAsia="Arial" w:hAnsi="Arial"/>
                <w:sz w:val="18"/>
                <w:szCs w:val="18"/>
                <w:color w:val="auto"/>
              </w:rPr>
              <w:t>May 4, 2017</w:t>
            </w:r>
          </w:p>
        </w:tc>
        <w:tc>
          <w:tcPr>
            <w:tcW w:w="15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4(f)</w:t>
            </w:r>
          </w:p>
        </w:tc>
        <w:tc>
          <w:tcPr>
            <w:tcW w:w="35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Officers’ Certificate</w:t>
              </w:r>
            </w:hyperlink>
          </w:p>
        </w:tc>
        <w:tc>
          <w:tcPr>
            <w:tcW w:w="800" w:type="dxa"/>
            <w:vAlign w:val="bottom"/>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November 3, 2017</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4(g)</w:t>
            </w:r>
          </w:p>
        </w:tc>
        <w:tc>
          <w:tcPr>
            <w:tcW w:w="35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Officers’ Certificate</w:t>
              </w:r>
            </w:hyperlink>
          </w:p>
        </w:tc>
        <w:tc>
          <w:tcPr>
            <w:tcW w:w="800" w:type="dxa"/>
            <w:vAlign w:val="bottom"/>
            <w:tcBorders>
              <w:bottom w:val="single" w:sz="8" w:color="auto"/>
            </w:tcBorders>
            <w:shd w:val="clear" w:color="auto" w:fill="DBDBDB"/>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Borders>
              <w:bottom w:val="single" w:sz="8" w:color="auto"/>
            </w:tcBorders>
            <w:shd w:val="clear" w:color="auto" w:fill="DBDBDB"/>
          </w:tcPr>
          <w:p>
            <w:pPr>
              <w:ind w:left="360"/>
              <w:spacing w:after="0" w:line="182" w:lineRule="exact"/>
              <w:rPr>
                <w:sz w:val="20"/>
                <w:szCs w:val="20"/>
                <w:color w:val="auto"/>
              </w:rPr>
            </w:pPr>
            <w:r>
              <w:rPr>
                <w:rFonts w:ascii="Arial" w:cs="Arial" w:eastAsia="Arial" w:hAnsi="Arial"/>
                <w:sz w:val="18"/>
                <w:szCs w:val="18"/>
                <w:color w:val="auto"/>
              </w:rPr>
              <w:t>May 7, 2018</w:t>
            </w:r>
          </w:p>
        </w:tc>
        <w:tc>
          <w:tcPr>
            <w:tcW w:w="15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4(h)</w:t>
            </w:r>
          </w:p>
        </w:tc>
        <w:tc>
          <w:tcPr>
            <w:tcW w:w="35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Officers’ Certificate</w:t>
              </w:r>
            </w:hyperlink>
          </w:p>
        </w:tc>
        <w:tc>
          <w:tcPr>
            <w:tcW w:w="800" w:type="dxa"/>
            <w:vAlign w:val="bottom"/>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June 8, 2018</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4(i)</w:t>
            </w:r>
          </w:p>
        </w:tc>
        <w:tc>
          <w:tcPr>
            <w:tcW w:w="35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7">
              <w:r>
                <w:rPr>
                  <w:rFonts w:ascii="Arial" w:cs="Arial" w:eastAsia="Arial" w:hAnsi="Arial"/>
                  <w:sz w:val="18"/>
                  <w:szCs w:val="18"/>
                  <w:color w:val="0000FF"/>
                </w:rPr>
                <w:t>Officers’ Certificate</w:t>
              </w:r>
            </w:hyperlink>
          </w:p>
        </w:tc>
        <w:tc>
          <w:tcPr>
            <w:tcW w:w="800" w:type="dxa"/>
            <w:vAlign w:val="bottom"/>
            <w:tcBorders>
              <w:bottom w:val="single" w:sz="8" w:color="auto"/>
            </w:tcBorders>
            <w:shd w:val="clear" w:color="auto" w:fill="DBDBDB"/>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Borders>
              <w:bottom w:val="single" w:sz="8" w:color="auto"/>
            </w:tcBorders>
            <w:shd w:val="clear" w:color="auto" w:fill="DBDBDB"/>
          </w:tcPr>
          <w:p>
            <w:pPr>
              <w:ind w:left="360"/>
              <w:spacing w:after="0" w:line="182" w:lineRule="exact"/>
              <w:rPr>
                <w:sz w:val="20"/>
                <w:szCs w:val="20"/>
                <w:color w:val="auto"/>
              </w:rPr>
            </w:pPr>
            <w:r>
              <w:rPr>
                <w:rFonts w:ascii="Arial" w:cs="Arial" w:eastAsia="Arial" w:hAnsi="Arial"/>
                <w:sz w:val="18"/>
                <w:szCs w:val="18"/>
                <w:color w:val="auto"/>
              </w:rPr>
              <w:t>March 11, 2019</w:t>
            </w:r>
          </w:p>
        </w:tc>
        <w:tc>
          <w:tcPr>
            <w:tcW w:w="15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4(j)</w:t>
            </w:r>
          </w:p>
        </w:tc>
        <w:tc>
          <w:tcPr>
            <w:tcW w:w="35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Officers’ Certificate</w:t>
              </w:r>
            </w:hyperlink>
          </w:p>
        </w:tc>
        <w:tc>
          <w:tcPr>
            <w:tcW w:w="800" w:type="dxa"/>
            <w:vAlign w:val="bottom"/>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September 4, 2019</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4(k)</w:t>
            </w:r>
          </w:p>
        </w:tc>
        <w:tc>
          <w:tcPr>
            <w:tcW w:w="35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89">
              <w:r>
                <w:rPr>
                  <w:rFonts w:ascii="Arial" w:cs="Arial" w:eastAsia="Arial" w:hAnsi="Arial"/>
                  <w:sz w:val="18"/>
                  <w:szCs w:val="18"/>
                  <w:color w:val="0000FF"/>
                </w:rPr>
                <w:t>Officers’ Certificate</w:t>
              </w:r>
            </w:hyperlink>
          </w:p>
        </w:tc>
        <w:tc>
          <w:tcPr>
            <w:tcW w:w="800" w:type="dxa"/>
            <w:vAlign w:val="bottom"/>
            <w:tcBorders>
              <w:bottom w:val="single" w:sz="8" w:color="auto"/>
            </w:tcBorders>
            <w:shd w:val="clear" w:color="auto" w:fill="DBDBDB"/>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Borders>
              <w:bottom w:val="single" w:sz="8" w:color="auto"/>
            </w:tcBorders>
            <w:shd w:val="clear" w:color="auto" w:fill="DBDBDB"/>
          </w:tcPr>
          <w:p>
            <w:pPr>
              <w:ind w:left="360"/>
              <w:spacing w:after="0" w:line="182" w:lineRule="exact"/>
              <w:rPr>
                <w:sz w:val="20"/>
                <w:szCs w:val="20"/>
                <w:color w:val="auto"/>
              </w:rPr>
            </w:pPr>
            <w:r>
              <w:rPr>
                <w:rFonts w:ascii="Arial" w:cs="Arial" w:eastAsia="Arial" w:hAnsi="Arial"/>
                <w:sz w:val="18"/>
                <w:szCs w:val="18"/>
                <w:color w:val="auto"/>
              </w:rPr>
              <w:t>March 12, 2020</w:t>
            </w:r>
          </w:p>
        </w:tc>
        <w:tc>
          <w:tcPr>
            <w:tcW w:w="15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4(l)</w:t>
            </w:r>
          </w:p>
        </w:tc>
        <w:tc>
          <w:tcPr>
            <w:tcW w:w="35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0">
              <w:r>
                <w:rPr>
                  <w:rFonts w:ascii="Arial" w:cs="Arial" w:eastAsia="Arial" w:hAnsi="Arial"/>
                  <w:sz w:val="18"/>
                  <w:szCs w:val="18"/>
                  <w:color w:val="0000FF"/>
                </w:rPr>
                <w:t>Officers’ Certificate</w:t>
              </w:r>
            </w:hyperlink>
          </w:p>
        </w:tc>
        <w:tc>
          <w:tcPr>
            <w:tcW w:w="800" w:type="dxa"/>
            <w:vAlign w:val="bottom"/>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May 4, 2020</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4(m)</w:t>
            </w:r>
          </w:p>
        </w:tc>
        <w:tc>
          <w:tcPr>
            <w:tcW w:w="3580" w:type="dxa"/>
            <w:vAlign w:val="bottom"/>
            <w:tcBorders>
              <w:bottom w:val="single" w:sz="8" w:color="auto"/>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1">
              <w:r>
                <w:rPr>
                  <w:rFonts w:ascii="Arial" w:cs="Arial" w:eastAsia="Arial" w:hAnsi="Arial"/>
                  <w:sz w:val="18"/>
                  <w:szCs w:val="18"/>
                  <w:color w:val="0000FF"/>
                </w:rPr>
                <w:t>Description of Securities</w:t>
              </w:r>
            </w:hyperlink>
          </w:p>
        </w:tc>
        <w:tc>
          <w:tcPr>
            <w:tcW w:w="800" w:type="dxa"/>
            <w:vAlign w:val="bottom"/>
            <w:tcBorders>
              <w:bottom w:val="single" w:sz="8" w:color="auto"/>
            </w:tcBorders>
            <w:shd w:val="clear" w:color="auto" w:fill="DBDBDB"/>
          </w:tcPr>
          <w:p>
            <w:pPr>
              <w:spacing w:after="0" w:line="182" w:lineRule="exact"/>
              <w:rPr>
                <w:sz w:val="20"/>
                <w:szCs w:val="20"/>
                <w:color w:val="auto"/>
              </w:rPr>
            </w:pPr>
            <w:r>
              <w:rPr>
                <w:rFonts w:ascii="Arial" w:cs="Arial" w:eastAsia="Arial" w:hAnsi="Arial"/>
                <w:sz w:val="18"/>
                <w:szCs w:val="18"/>
                <w:color w:val="auto"/>
              </w:rPr>
              <w:t>10-K</w:t>
            </w:r>
          </w:p>
        </w:tc>
        <w:tc>
          <w:tcPr>
            <w:tcW w:w="980" w:type="dxa"/>
            <w:vAlign w:val="bottom"/>
            <w:tcBorders>
              <w:bottom w:val="single" w:sz="8" w:color="auto"/>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Borders>
              <w:bottom w:val="single" w:sz="8" w:color="auto"/>
            </w:tcBorders>
            <w:shd w:val="clear" w:color="auto" w:fill="DBDBDB"/>
          </w:tcPr>
          <w:p>
            <w:pPr>
              <w:ind w:left="360"/>
              <w:spacing w:after="0" w:line="182" w:lineRule="exact"/>
              <w:rPr>
                <w:sz w:val="20"/>
                <w:szCs w:val="20"/>
                <w:color w:val="auto"/>
              </w:rPr>
            </w:pPr>
            <w:r>
              <w:rPr>
                <w:rFonts w:ascii="Arial" w:cs="Arial" w:eastAsia="Arial" w:hAnsi="Arial"/>
                <w:sz w:val="18"/>
                <w:szCs w:val="18"/>
                <w:color w:val="auto"/>
              </w:rPr>
              <w:t>February 20, 2020</w:t>
            </w:r>
          </w:p>
        </w:tc>
        <w:tc>
          <w:tcPr>
            <w:tcW w:w="1520" w:type="dxa"/>
            <w:vAlign w:val="bottom"/>
            <w:tcBorders>
              <w:bottom w:val="single" w:sz="8" w:color="auto"/>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4(l)</w:t>
            </w:r>
          </w:p>
        </w:tc>
        <w:tc>
          <w:tcPr>
            <w:tcW w:w="96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4(n)</w:t>
            </w:r>
          </w:p>
        </w:tc>
        <w:tc>
          <w:tcPr>
            <w:tcW w:w="35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2">
              <w:r>
                <w:rPr>
                  <w:rFonts w:ascii="Arial" w:cs="Arial" w:eastAsia="Arial" w:hAnsi="Arial"/>
                  <w:sz w:val="18"/>
                  <w:szCs w:val="18"/>
                  <w:color w:val="0000FF"/>
                </w:rPr>
                <w:t>Officers’ Certificate</w:t>
              </w:r>
            </w:hyperlink>
          </w:p>
        </w:tc>
        <w:tc>
          <w:tcPr>
            <w:tcW w:w="800" w:type="dxa"/>
            <w:vAlign w:val="bottom"/>
          </w:tcPr>
          <w:p>
            <w:pPr>
              <w:spacing w:after="0" w:line="182" w:lineRule="exact"/>
              <w:rPr>
                <w:sz w:val="20"/>
                <w:szCs w:val="20"/>
                <w:color w:val="auto"/>
              </w:rPr>
            </w:pPr>
            <w:r>
              <w:rPr>
                <w:rFonts w:ascii="Arial" w:cs="Arial" w:eastAsia="Arial" w:hAnsi="Arial"/>
                <w:sz w:val="18"/>
                <w:szCs w:val="18"/>
                <w:color w:val="auto"/>
              </w:rPr>
              <w:t>8-K</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September 15, 2021</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4.1</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10(a)</w:t>
            </w:r>
          </w:p>
        </w:tc>
        <w:tc>
          <w:tcPr>
            <w:tcW w:w="35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TI Deferred Compensation Plan, as</w:t>
              </w:r>
            </w:hyperlink>
          </w:p>
        </w:tc>
        <w:tc>
          <w:tcPr>
            <w:tcW w:w="800" w:type="dxa"/>
            <w:vAlign w:val="bottom"/>
            <w:shd w:val="clear" w:color="auto" w:fill="DBDBDB"/>
          </w:tcPr>
          <w:p>
            <w:pPr>
              <w:spacing w:after="0" w:line="182" w:lineRule="exact"/>
              <w:rPr>
                <w:sz w:val="20"/>
                <w:szCs w:val="20"/>
                <w:color w:val="auto"/>
              </w:rPr>
            </w:pPr>
            <w:r>
              <w:rPr>
                <w:rFonts w:ascii="Arial" w:cs="Arial" w:eastAsia="Arial" w:hAnsi="Arial"/>
                <w:sz w:val="18"/>
                <w:szCs w:val="18"/>
                <w:color w:val="auto"/>
              </w:rPr>
              <w:t>10-K</w:t>
            </w:r>
          </w:p>
        </w:tc>
        <w:tc>
          <w:tcPr>
            <w:tcW w:w="98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shd w:val="clear" w:color="auto" w:fill="DBDBDB"/>
          </w:tcPr>
          <w:p>
            <w:pPr>
              <w:ind w:left="360"/>
              <w:spacing w:after="0" w:line="182" w:lineRule="exact"/>
              <w:rPr>
                <w:sz w:val="20"/>
                <w:szCs w:val="20"/>
                <w:color w:val="auto"/>
              </w:rPr>
            </w:pPr>
            <w:r>
              <w:rPr>
                <w:rFonts w:ascii="Arial" w:cs="Arial" w:eastAsia="Arial" w:hAnsi="Arial"/>
                <w:sz w:val="18"/>
                <w:szCs w:val="18"/>
                <w:color w:val="auto"/>
              </w:rPr>
              <w:t>February 24, 2016</w:t>
            </w:r>
          </w:p>
        </w:tc>
        <w:tc>
          <w:tcPr>
            <w:tcW w:w="15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10(a)</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7"/>
                <w:szCs w:val="17"/>
                <w:color w:val="auto"/>
              </w:rPr>
            </w:pPr>
          </w:p>
        </w:tc>
        <w:tc>
          <w:tcPr>
            <w:tcW w:w="2820" w:type="dxa"/>
            <w:vAlign w:val="bottom"/>
            <w:tcBorders>
              <w:top w:val="single" w:sz="8" w:color="0000FF"/>
              <w:bottom w:val="single" w:sz="8" w:color="auto"/>
            </w:tcBorders>
            <w:gridSpan w:val="11"/>
            <w:shd w:val="clear" w:color="auto" w:fill="DBDBDB"/>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amended*</w:t>
              </w:r>
            </w:hyperlink>
          </w:p>
        </w:tc>
        <w:tc>
          <w:tcPr>
            <w:tcW w:w="20" w:type="dxa"/>
            <w:vAlign w:val="bottom"/>
            <w:tcBorders>
              <w:top w:val="single" w:sz="8" w:color="DBDBDB"/>
              <w:bottom w:val="single" w:sz="8" w:color="auto"/>
            </w:tcBorders>
            <w:shd w:val="clear" w:color="auto" w:fill="DBDBDB"/>
          </w:tcPr>
          <w:p>
            <w:pPr>
              <w:spacing w:after="0"/>
              <w:rPr>
                <w:sz w:val="17"/>
                <w:szCs w:val="17"/>
                <w:color w:val="auto"/>
              </w:rPr>
            </w:pPr>
          </w:p>
        </w:tc>
        <w:tc>
          <w:tcPr>
            <w:tcW w:w="40" w:type="dxa"/>
            <w:vAlign w:val="bottom"/>
            <w:tcBorders>
              <w:top w:val="single" w:sz="8" w:color="DBDBDB"/>
              <w:bottom w:val="single" w:sz="8" w:color="auto"/>
            </w:tcBorders>
            <w:gridSpan w:val="2"/>
            <w:shd w:val="clear" w:color="auto" w:fill="DBDBDB"/>
          </w:tcPr>
          <w:p>
            <w:pPr>
              <w:spacing w:after="0"/>
              <w:rPr>
                <w:sz w:val="17"/>
                <w:szCs w:val="17"/>
                <w:color w:val="auto"/>
              </w:rPr>
            </w:pPr>
          </w:p>
        </w:tc>
        <w:tc>
          <w:tcPr>
            <w:tcW w:w="40" w:type="dxa"/>
            <w:vAlign w:val="bottom"/>
            <w:tcBorders>
              <w:top w:val="single" w:sz="8" w:color="DBDBDB"/>
              <w:bottom w:val="single" w:sz="8" w:color="auto"/>
            </w:tcBorders>
            <w:shd w:val="clear" w:color="auto" w:fill="DBDBDB"/>
          </w:tcPr>
          <w:p>
            <w:pPr>
              <w:spacing w:after="0"/>
              <w:rPr>
                <w:sz w:val="17"/>
                <w:szCs w:val="17"/>
                <w:color w:val="auto"/>
              </w:rPr>
            </w:pPr>
          </w:p>
        </w:tc>
        <w:tc>
          <w:tcPr>
            <w:tcW w:w="220" w:type="dxa"/>
            <w:vAlign w:val="bottom"/>
            <w:tcBorders>
              <w:top w:val="single" w:sz="8" w:color="DBDBDB"/>
              <w:bottom w:val="single" w:sz="8" w:color="auto"/>
            </w:tcBorders>
            <w:shd w:val="clear" w:color="auto" w:fill="DBDBDB"/>
          </w:tcPr>
          <w:p>
            <w:pPr>
              <w:spacing w:after="0"/>
              <w:rPr>
                <w:sz w:val="17"/>
                <w:szCs w:val="17"/>
                <w:color w:val="auto"/>
              </w:rPr>
            </w:pPr>
          </w:p>
        </w:tc>
        <w:tc>
          <w:tcPr>
            <w:tcW w:w="40" w:type="dxa"/>
            <w:vAlign w:val="bottom"/>
            <w:tcBorders>
              <w:top w:val="single" w:sz="8" w:color="DBDBDB"/>
              <w:bottom w:val="single" w:sz="8" w:color="auto"/>
            </w:tcBorders>
            <w:shd w:val="clear" w:color="auto" w:fill="DBDBDB"/>
          </w:tcPr>
          <w:p>
            <w:pPr>
              <w:spacing w:after="0"/>
              <w:rPr>
                <w:sz w:val="17"/>
                <w:szCs w:val="17"/>
                <w:color w:val="auto"/>
              </w:rPr>
            </w:pPr>
          </w:p>
        </w:tc>
        <w:tc>
          <w:tcPr>
            <w:tcW w:w="120" w:type="dxa"/>
            <w:vAlign w:val="bottom"/>
            <w:tcBorders>
              <w:top w:val="single" w:sz="8" w:color="DBDBDB"/>
              <w:bottom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auto"/>
            </w:tcBorders>
            <w:shd w:val="clear" w:color="auto" w:fill="DBDBDB"/>
          </w:tcPr>
          <w:p>
            <w:pPr>
              <w:spacing w:after="0"/>
              <w:rPr>
                <w:sz w:val="17"/>
                <w:szCs w:val="17"/>
                <w:color w:val="auto"/>
              </w:rPr>
            </w:pPr>
          </w:p>
        </w:tc>
        <w:tc>
          <w:tcPr>
            <w:tcW w:w="40" w:type="dxa"/>
            <w:vAlign w:val="bottom"/>
            <w:tcBorders>
              <w:top w:val="single" w:sz="8" w:color="DBDBDB"/>
              <w:bottom w:val="single" w:sz="8" w:color="auto"/>
            </w:tcBorders>
            <w:gridSpan w:val="2"/>
            <w:shd w:val="clear" w:color="auto" w:fill="DBDBDB"/>
          </w:tcPr>
          <w:p>
            <w:pPr>
              <w:spacing w:after="0"/>
              <w:rPr>
                <w:sz w:val="17"/>
                <w:szCs w:val="17"/>
                <w:color w:val="auto"/>
              </w:rPr>
            </w:pPr>
          </w:p>
        </w:tc>
        <w:tc>
          <w:tcPr>
            <w:tcW w:w="20" w:type="dxa"/>
            <w:vAlign w:val="bottom"/>
            <w:tcBorders>
              <w:top w:val="single" w:sz="8" w:color="DBDBDB"/>
              <w:bottom w:val="single" w:sz="8" w:color="auto"/>
            </w:tcBorders>
            <w:shd w:val="clear" w:color="auto" w:fill="DBDBDB"/>
          </w:tcPr>
          <w:p>
            <w:pPr>
              <w:spacing w:after="0"/>
              <w:rPr>
                <w:sz w:val="17"/>
                <w:szCs w:val="17"/>
                <w:color w:val="auto"/>
              </w:rPr>
            </w:pPr>
          </w:p>
        </w:tc>
        <w:tc>
          <w:tcPr>
            <w:tcW w:w="40" w:type="dxa"/>
            <w:vAlign w:val="bottom"/>
            <w:tcBorders>
              <w:top w:val="single" w:sz="8" w:color="DBDBDB"/>
              <w:bottom w:val="single" w:sz="8" w:color="auto"/>
            </w:tcBorders>
            <w:shd w:val="clear" w:color="auto" w:fill="DBDBDB"/>
          </w:tcPr>
          <w:p>
            <w:pPr>
              <w:spacing w:after="0"/>
              <w:rPr>
                <w:sz w:val="17"/>
                <w:szCs w:val="17"/>
                <w:color w:val="auto"/>
              </w:rPr>
            </w:pPr>
          </w:p>
        </w:tc>
        <w:tc>
          <w:tcPr>
            <w:tcW w:w="1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800" w:type="dxa"/>
            <w:vAlign w:val="bottom"/>
            <w:tcBorders>
              <w:top w:val="single" w:sz="8" w:color="DBDBDB"/>
              <w:bottom w:val="single" w:sz="8" w:color="auto"/>
            </w:tcBorders>
            <w:shd w:val="clear" w:color="auto" w:fill="DBDBDB"/>
          </w:tcPr>
          <w:p>
            <w:pPr>
              <w:spacing w:after="0"/>
              <w:rPr>
                <w:sz w:val="17"/>
                <w:szCs w:val="17"/>
                <w:color w:val="auto"/>
              </w:rPr>
            </w:pPr>
          </w:p>
        </w:tc>
        <w:tc>
          <w:tcPr>
            <w:tcW w:w="980" w:type="dxa"/>
            <w:vAlign w:val="bottom"/>
            <w:tcBorders>
              <w:top w:val="single" w:sz="8" w:color="DBDBDB"/>
              <w:bottom w:val="single" w:sz="8" w:color="auto"/>
            </w:tcBorders>
            <w:shd w:val="clear" w:color="auto" w:fill="DBDBDB"/>
          </w:tcPr>
          <w:p>
            <w:pPr>
              <w:spacing w:after="0"/>
              <w:rPr>
                <w:sz w:val="17"/>
                <w:szCs w:val="17"/>
                <w:color w:val="auto"/>
              </w:rPr>
            </w:pPr>
          </w:p>
        </w:tc>
        <w:tc>
          <w:tcPr>
            <w:tcW w:w="2260" w:type="dxa"/>
            <w:vAlign w:val="bottom"/>
            <w:tcBorders>
              <w:top w:val="single" w:sz="8" w:color="DBDBDB"/>
              <w:bottom w:val="single" w:sz="8" w:color="auto"/>
            </w:tcBorders>
            <w:shd w:val="clear" w:color="auto" w:fill="DBDBDB"/>
          </w:tcPr>
          <w:p>
            <w:pPr>
              <w:spacing w:after="0"/>
              <w:rPr>
                <w:sz w:val="17"/>
                <w:szCs w:val="17"/>
                <w:color w:val="auto"/>
              </w:rPr>
            </w:pPr>
          </w:p>
        </w:tc>
        <w:tc>
          <w:tcPr>
            <w:tcW w:w="15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10(b)</w:t>
            </w:r>
          </w:p>
        </w:tc>
        <w:tc>
          <w:tcPr>
            <w:tcW w:w="35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TI Employees Non-Qualified Pension Plan,</w:t>
              </w:r>
            </w:hyperlink>
          </w:p>
        </w:tc>
        <w:tc>
          <w:tcPr>
            <w:tcW w:w="800" w:type="dxa"/>
            <w:vAlign w:val="bottom"/>
          </w:tcPr>
          <w:p>
            <w:pPr>
              <w:spacing w:after="0" w:line="182" w:lineRule="exact"/>
              <w:rPr>
                <w:sz w:val="20"/>
                <w:szCs w:val="20"/>
                <w:color w:val="auto"/>
              </w:rPr>
            </w:pPr>
            <w:r>
              <w:rPr>
                <w:rFonts w:ascii="Arial" w:cs="Arial" w:eastAsia="Arial" w:hAnsi="Arial"/>
                <w:sz w:val="18"/>
                <w:szCs w:val="18"/>
                <w:color w:val="auto"/>
              </w:rPr>
              <w:t>10-K</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February 24, 2016</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10(b)</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34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effective January 1, 2009, as amended*</w:t>
              </w:r>
            </w:hyperlink>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10(c)</w:t>
            </w:r>
          </w:p>
        </w:tc>
        <w:tc>
          <w:tcPr>
            <w:tcW w:w="35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TI Employees Non-Qualified Pension Plan</w:t>
              </w:r>
            </w:hyperlink>
          </w:p>
        </w:tc>
        <w:tc>
          <w:tcPr>
            <w:tcW w:w="800" w:type="dxa"/>
            <w:vAlign w:val="bottom"/>
            <w:shd w:val="clear" w:color="auto" w:fill="DBDBDB"/>
          </w:tcPr>
          <w:p>
            <w:pPr>
              <w:spacing w:after="0" w:line="182" w:lineRule="exact"/>
              <w:rPr>
                <w:sz w:val="20"/>
                <w:szCs w:val="20"/>
                <w:color w:val="auto"/>
              </w:rPr>
            </w:pPr>
            <w:r>
              <w:rPr>
                <w:rFonts w:ascii="Arial" w:cs="Arial" w:eastAsia="Arial" w:hAnsi="Arial"/>
                <w:sz w:val="18"/>
                <w:szCs w:val="18"/>
                <w:color w:val="auto"/>
              </w:rPr>
              <w:t>10-K</w:t>
            </w:r>
          </w:p>
        </w:tc>
        <w:tc>
          <w:tcPr>
            <w:tcW w:w="98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shd w:val="clear" w:color="auto" w:fill="DBDBDB"/>
          </w:tcPr>
          <w:p>
            <w:pPr>
              <w:ind w:left="360"/>
              <w:spacing w:after="0" w:line="182" w:lineRule="exact"/>
              <w:rPr>
                <w:sz w:val="20"/>
                <w:szCs w:val="20"/>
                <w:color w:val="auto"/>
              </w:rPr>
            </w:pPr>
            <w:r>
              <w:rPr>
                <w:rFonts w:ascii="Arial" w:cs="Arial" w:eastAsia="Arial" w:hAnsi="Arial"/>
                <w:sz w:val="18"/>
                <w:szCs w:val="18"/>
                <w:color w:val="auto"/>
              </w:rPr>
              <w:t>February 24, 2016</w:t>
            </w:r>
          </w:p>
        </w:tc>
        <w:tc>
          <w:tcPr>
            <w:tcW w:w="15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10(c)</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7"/>
                <w:szCs w:val="17"/>
                <w:color w:val="auto"/>
              </w:rPr>
            </w:pPr>
          </w:p>
        </w:tc>
        <w:tc>
          <w:tcPr>
            <w:tcW w:w="3360" w:type="dxa"/>
            <w:vAlign w:val="bottom"/>
            <w:tcBorders>
              <w:top w:val="single" w:sz="8" w:color="0000FF"/>
              <w:bottom w:val="single" w:sz="8" w:color="auto"/>
            </w:tcBorders>
            <w:gridSpan w:val="19"/>
            <w:shd w:val="clear" w:color="auto" w:fill="DBDBDB"/>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II*</w:t>
              </w:r>
            </w:hyperlink>
          </w:p>
        </w:tc>
        <w:tc>
          <w:tcPr>
            <w:tcW w:w="40" w:type="dxa"/>
            <w:vAlign w:val="bottom"/>
            <w:tcBorders>
              <w:top w:val="single" w:sz="8" w:color="DBDBDB"/>
              <w:bottom w:val="single" w:sz="8" w:color="auto"/>
            </w:tcBorders>
            <w:gridSpan w:val="2"/>
            <w:shd w:val="clear" w:color="auto" w:fill="DBDBDB"/>
          </w:tcPr>
          <w:p>
            <w:pPr>
              <w:spacing w:after="0"/>
              <w:rPr>
                <w:sz w:val="17"/>
                <w:szCs w:val="17"/>
                <w:color w:val="auto"/>
              </w:rPr>
            </w:pPr>
          </w:p>
        </w:tc>
        <w:tc>
          <w:tcPr>
            <w:tcW w:w="60" w:type="dxa"/>
            <w:vAlign w:val="bottom"/>
            <w:tcBorders>
              <w:top w:val="single" w:sz="8" w:color="DBDBDB"/>
              <w:bottom w:val="single" w:sz="8" w:color="auto"/>
            </w:tcBorders>
            <w:gridSpan w:val="2"/>
            <w:shd w:val="clear" w:color="auto" w:fill="DBDBDB"/>
          </w:tcPr>
          <w:p>
            <w:pPr>
              <w:spacing w:after="0"/>
              <w:rPr>
                <w:sz w:val="17"/>
                <w:szCs w:val="17"/>
                <w:color w:val="auto"/>
              </w:rPr>
            </w:pPr>
          </w:p>
        </w:tc>
        <w:tc>
          <w:tcPr>
            <w:tcW w:w="1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800" w:type="dxa"/>
            <w:vAlign w:val="bottom"/>
            <w:tcBorders>
              <w:top w:val="single" w:sz="8" w:color="DBDBDB"/>
              <w:bottom w:val="single" w:sz="8" w:color="auto"/>
            </w:tcBorders>
            <w:shd w:val="clear" w:color="auto" w:fill="DBDBDB"/>
          </w:tcPr>
          <w:p>
            <w:pPr>
              <w:spacing w:after="0"/>
              <w:rPr>
                <w:sz w:val="17"/>
                <w:szCs w:val="17"/>
                <w:color w:val="auto"/>
              </w:rPr>
            </w:pPr>
          </w:p>
        </w:tc>
        <w:tc>
          <w:tcPr>
            <w:tcW w:w="980" w:type="dxa"/>
            <w:vAlign w:val="bottom"/>
            <w:tcBorders>
              <w:top w:val="single" w:sz="8" w:color="DBDBDB"/>
              <w:bottom w:val="single" w:sz="8" w:color="auto"/>
            </w:tcBorders>
            <w:shd w:val="clear" w:color="auto" w:fill="DBDBDB"/>
          </w:tcPr>
          <w:p>
            <w:pPr>
              <w:spacing w:after="0"/>
              <w:rPr>
                <w:sz w:val="17"/>
                <w:szCs w:val="17"/>
                <w:color w:val="auto"/>
              </w:rPr>
            </w:pPr>
          </w:p>
        </w:tc>
        <w:tc>
          <w:tcPr>
            <w:tcW w:w="2260" w:type="dxa"/>
            <w:vAlign w:val="bottom"/>
            <w:tcBorders>
              <w:top w:val="single" w:sz="8" w:color="DBDBDB"/>
              <w:bottom w:val="single" w:sz="8" w:color="auto"/>
            </w:tcBorders>
            <w:shd w:val="clear" w:color="auto" w:fill="DBDBDB"/>
          </w:tcPr>
          <w:p>
            <w:pPr>
              <w:spacing w:after="0"/>
              <w:rPr>
                <w:sz w:val="17"/>
                <w:szCs w:val="17"/>
                <w:color w:val="auto"/>
              </w:rPr>
            </w:pPr>
          </w:p>
        </w:tc>
        <w:tc>
          <w:tcPr>
            <w:tcW w:w="15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10(d)</w:t>
            </w:r>
          </w:p>
        </w:tc>
        <w:tc>
          <w:tcPr>
            <w:tcW w:w="35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Texas Instruments Long-Term Incentive</w:t>
              </w:r>
            </w:hyperlink>
          </w:p>
        </w:tc>
        <w:tc>
          <w:tcPr>
            <w:tcW w:w="800" w:type="dxa"/>
            <w:vAlign w:val="bottom"/>
          </w:tcPr>
          <w:p>
            <w:pPr>
              <w:spacing w:after="0" w:line="182" w:lineRule="exact"/>
              <w:rPr>
                <w:sz w:val="20"/>
                <w:szCs w:val="20"/>
                <w:color w:val="auto"/>
              </w:rPr>
            </w:pPr>
            <w:r>
              <w:rPr>
                <w:rFonts w:ascii="Arial" w:cs="Arial" w:eastAsia="Arial" w:hAnsi="Arial"/>
                <w:sz w:val="18"/>
                <w:szCs w:val="18"/>
                <w:color w:val="auto"/>
              </w:rPr>
              <w:t>10-K</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February 24, 2012</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10(c)</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spacing w:after="0"/>
              <w:rPr>
                <w:sz w:val="13"/>
                <w:szCs w:val="13"/>
                <w:color w:val="auto"/>
              </w:rPr>
            </w:pPr>
          </w:p>
        </w:tc>
        <w:tc>
          <w:tcPr>
            <w:tcW w:w="31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Plan, adopted April 15, 1993*</w:t>
              </w:r>
            </w:hyperlink>
          </w:p>
        </w:tc>
        <w:tc>
          <w:tcPr>
            <w:tcW w:w="1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10(e)</w:t>
            </w:r>
          </w:p>
        </w:tc>
        <w:tc>
          <w:tcPr>
            <w:tcW w:w="35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Texas Instruments 2003 Director</w:t>
              </w:r>
            </w:hyperlink>
          </w:p>
        </w:tc>
        <w:tc>
          <w:tcPr>
            <w:tcW w:w="800" w:type="dxa"/>
            <w:vAlign w:val="bottom"/>
            <w:shd w:val="clear" w:color="auto" w:fill="DBDBDB"/>
          </w:tcPr>
          <w:p>
            <w:pPr>
              <w:spacing w:after="0" w:line="182" w:lineRule="exact"/>
              <w:rPr>
                <w:sz w:val="20"/>
                <w:szCs w:val="20"/>
                <w:color w:val="auto"/>
              </w:rPr>
            </w:pPr>
            <w:r>
              <w:rPr>
                <w:rFonts w:ascii="Arial" w:cs="Arial" w:eastAsia="Arial" w:hAnsi="Arial"/>
                <w:sz w:val="18"/>
                <w:szCs w:val="18"/>
                <w:color w:val="auto"/>
              </w:rPr>
              <w:t>10-K</w:t>
            </w:r>
          </w:p>
        </w:tc>
        <w:tc>
          <w:tcPr>
            <w:tcW w:w="98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shd w:val="clear" w:color="auto" w:fill="DBDBDB"/>
          </w:tcPr>
          <w:p>
            <w:pPr>
              <w:ind w:left="360"/>
              <w:spacing w:after="0" w:line="182" w:lineRule="exact"/>
              <w:rPr>
                <w:sz w:val="20"/>
                <w:szCs w:val="20"/>
                <w:color w:val="auto"/>
              </w:rPr>
            </w:pPr>
            <w:r>
              <w:rPr>
                <w:rFonts w:ascii="Arial" w:cs="Arial" w:eastAsia="Arial" w:hAnsi="Arial"/>
                <w:sz w:val="18"/>
                <w:szCs w:val="18"/>
                <w:color w:val="auto"/>
              </w:rPr>
              <w:t>February 24, 2015</w:t>
            </w:r>
          </w:p>
        </w:tc>
        <w:tc>
          <w:tcPr>
            <w:tcW w:w="15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10(j)</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DBDBDB"/>
              <w:left w:val="single" w:sz="8" w:color="auto"/>
              <w:right w:val="single" w:sz="8" w:color="auto"/>
            </w:tcBorders>
            <w:shd w:val="clear" w:color="auto" w:fill="DBDBDB"/>
          </w:tcPr>
          <w:p>
            <w:pPr>
              <w:spacing w:after="0"/>
              <w:rPr>
                <w:sz w:val="13"/>
                <w:szCs w:val="13"/>
                <w:color w:val="auto"/>
              </w:rPr>
            </w:pPr>
          </w:p>
        </w:tc>
        <w:tc>
          <w:tcPr>
            <w:tcW w:w="2600" w:type="dxa"/>
            <w:vAlign w:val="bottom"/>
            <w:tcBorders>
              <w:top w:val="single" w:sz="8" w:color="0000FF"/>
            </w:tcBorders>
            <w:gridSpan w:val="10"/>
            <w:shd w:val="clear" w:color="auto" w:fill="DBDBDB"/>
          </w:tcPr>
          <w:p>
            <w:pPr>
              <w:spacing w:after="0" w:line="157" w:lineRule="exact"/>
              <w:rPr>
                <w:rFonts w:ascii="Arial" w:cs="Arial" w:eastAsia="Arial" w:hAnsi="Arial"/>
                <w:sz w:val="18"/>
                <w:szCs w:val="18"/>
                <w:color w:val="0000FF"/>
                <w:w w:val="98"/>
              </w:rPr>
            </w:pPr>
            <w:hyperlink r:id="rId97">
              <w:r>
                <w:rPr>
                  <w:rFonts w:ascii="Arial" w:cs="Arial" w:eastAsia="Arial" w:hAnsi="Arial"/>
                  <w:sz w:val="18"/>
                  <w:szCs w:val="18"/>
                  <w:color w:val="0000FF"/>
                  <w:w w:val="98"/>
                </w:rPr>
                <w:t>Compensation Plan as amended</w:t>
              </w:r>
            </w:hyperlink>
          </w:p>
        </w:tc>
        <w:tc>
          <w:tcPr>
            <w:tcW w:w="980" w:type="dxa"/>
            <w:vAlign w:val="bottom"/>
            <w:tcBorders>
              <w:top w:val="single" w:sz="8" w:color="DBDBDB"/>
              <w:right w:val="single" w:sz="8" w:color="auto"/>
            </w:tcBorders>
            <w:gridSpan w:val="14"/>
            <w:shd w:val="clear" w:color="auto" w:fill="DBDBDB"/>
          </w:tcPr>
          <w:p>
            <w:pPr>
              <w:ind w:left="60"/>
              <w:spacing w:after="0" w:line="157" w:lineRule="exact"/>
              <w:rPr>
                <w:rFonts w:ascii="Arial" w:cs="Arial" w:eastAsia="Arial" w:hAnsi="Arial"/>
                <w:sz w:val="18"/>
                <w:szCs w:val="18"/>
                <w:color w:val="0000FF"/>
              </w:rPr>
            </w:pPr>
            <w:hyperlink r:id="rId97">
              <w:r>
                <w:rPr>
                  <w:rFonts w:ascii="Arial" w:cs="Arial" w:eastAsia="Arial" w:hAnsi="Arial"/>
                  <w:sz w:val="18"/>
                  <w:szCs w:val="18"/>
                  <w:color w:val="0000FF"/>
                </w:rPr>
                <w:t>January</w:t>
              </w:r>
            </w:hyperlink>
          </w:p>
        </w:tc>
        <w:tc>
          <w:tcPr>
            <w:tcW w:w="800" w:type="dxa"/>
            <w:vAlign w:val="bottom"/>
            <w:tcBorders>
              <w:top w:val="single" w:sz="8" w:color="DBDBDB"/>
            </w:tcBorders>
            <w:shd w:val="clear" w:color="auto" w:fill="DBDBDB"/>
          </w:tcPr>
          <w:p>
            <w:pPr>
              <w:spacing w:after="0"/>
              <w:rPr>
                <w:sz w:val="13"/>
                <w:szCs w:val="13"/>
                <w:color w:val="auto"/>
              </w:rPr>
            </w:pPr>
          </w:p>
        </w:tc>
        <w:tc>
          <w:tcPr>
            <w:tcW w:w="980" w:type="dxa"/>
            <w:vAlign w:val="bottom"/>
            <w:tcBorders>
              <w:top w:val="single" w:sz="8" w:color="DBDBDB"/>
            </w:tcBorders>
            <w:shd w:val="clear" w:color="auto" w:fill="DBDBDB"/>
          </w:tcPr>
          <w:p>
            <w:pPr>
              <w:spacing w:after="0"/>
              <w:rPr>
                <w:sz w:val="13"/>
                <w:szCs w:val="13"/>
                <w:color w:val="auto"/>
              </w:rPr>
            </w:pPr>
          </w:p>
        </w:tc>
        <w:tc>
          <w:tcPr>
            <w:tcW w:w="2260" w:type="dxa"/>
            <w:vAlign w:val="bottom"/>
            <w:tcBorders>
              <w:top w:val="single" w:sz="8" w:color="DBDBDB"/>
            </w:tcBorders>
            <w:shd w:val="clear" w:color="auto" w:fill="DBDBDB"/>
          </w:tcPr>
          <w:p>
            <w:pPr>
              <w:spacing w:after="0"/>
              <w:rPr>
                <w:sz w:val="13"/>
                <w:szCs w:val="13"/>
                <w:color w:val="auto"/>
              </w:rPr>
            </w:pPr>
          </w:p>
        </w:tc>
        <w:tc>
          <w:tcPr>
            <w:tcW w:w="1520" w:type="dxa"/>
            <w:vAlign w:val="bottom"/>
            <w:tcBorders>
              <w:top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7"/>
                <w:szCs w:val="17"/>
                <w:color w:val="auto"/>
              </w:rPr>
            </w:pPr>
          </w:p>
        </w:tc>
        <w:tc>
          <w:tcPr>
            <w:tcW w:w="760" w:type="dxa"/>
            <w:vAlign w:val="bottom"/>
            <w:tcBorders>
              <w:top w:val="single" w:sz="8" w:color="0000FF"/>
              <w:bottom w:val="single" w:sz="8" w:color="auto"/>
            </w:tcBorders>
            <w:gridSpan w:val="3"/>
            <w:shd w:val="clear" w:color="auto" w:fill="DBDBDB"/>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19, 2012</w:t>
              </w:r>
            </w:hyperlink>
          </w:p>
        </w:tc>
        <w:tc>
          <w:tcPr>
            <w:tcW w:w="60" w:type="dxa"/>
            <w:vAlign w:val="bottom"/>
            <w:tcBorders>
              <w:top w:val="single" w:sz="8" w:color="0000FF"/>
              <w:bottom w:val="single" w:sz="8" w:color="auto"/>
            </w:tcBorders>
            <w:shd w:val="clear" w:color="auto" w:fill="DBDBDB"/>
          </w:tcPr>
          <w:p>
            <w:pPr>
              <w:spacing w:after="0"/>
              <w:rPr>
                <w:sz w:val="17"/>
                <w:szCs w:val="17"/>
                <w:color w:val="auto"/>
              </w:rPr>
            </w:pPr>
          </w:p>
        </w:tc>
        <w:tc>
          <w:tcPr>
            <w:tcW w:w="380" w:type="dxa"/>
            <w:vAlign w:val="bottom"/>
            <w:tcBorders>
              <w:top w:val="single" w:sz="8" w:color="0000FF"/>
              <w:bottom w:val="single" w:sz="8" w:color="auto"/>
            </w:tcBorders>
            <w:shd w:val="clear" w:color="auto" w:fill="DBDBDB"/>
          </w:tcPr>
          <w:p>
            <w:pPr>
              <w:spacing w:after="0"/>
              <w:rPr>
                <w:sz w:val="17"/>
                <w:szCs w:val="17"/>
                <w:color w:val="auto"/>
              </w:rPr>
            </w:pPr>
          </w:p>
        </w:tc>
        <w:tc>
          <w:tcPr>
            <w:tcW w:w="320" w:type="dxa"/>
            <w:vAlign w:val="bottom"/>
            <w:tcBorders>
              <w:top w:val="single" w:sz="8" w:color="0000FF"/>
              <w:bottom w:val="single" w:sz="8" w:color="auto"/>
            </w:tcBorders>
            <w:shd w:val="clear" w:color="auto" w:fill="DBDBDB"/>
          </w:tcPr>
          <w:p>
            <w:pPr>
              <w:spacing w:after="0"/>
              <w:rPr>
                <w:sz w:val="17"/>
                <w:szCs w:val="17"/>
                <w:color w:val="auto"/>
              </w:rPr>
            </w:pPr>
          </w:p>
        </w:tc>
        <w:tc>
          <w:tcPr>
            <w:tcW w:w="420" w:type="dxa"/>
            <w:vAlign w:val="bottom"/>
            <w:tcBorders>
              <w:top w:val="single" w:sz="8" w:color="0000FF"/>
              <w:bottom w:val="single" w:sz="8" w:color="auto"/>
            </w:tcBorders>
            <w:shd w:val="clear" w:color="auto" w:fill="DBDBDB"/>
          </w:tcPr>
          <w:p>
            <w:pPr>
              <w:spacing w:after="0"/>
              <w:rPr>
                <w:sz w:val="17"/>
                <w:szCs w:val="17"/>
                <w:color w:val="auto"/>
              </w:rPr>
            </w:pPr>
          </w:p>
        </w:tc>
        <w:tc>
          <w:tcPr>
            <w:tcW w:w="120" w:type="dxa"/>
            <w:vAlign w:val="bottom"/>
            <w:tcBorders>
              <w:top w:val="single" w:sz="8" w:color="0000FF"/>
              <w:bottom w:val="single" w:sz="8" w:color="auto"/>
            </w:tcBorders>
            <w:shd w:val="clear" w:color="auto" w:fill="DBDBDB"/>
          </w:tcPr>
          <w:p>
            <w:pPr>
              <w:spacing w:after="0"/>
              <w:rPr>
                <w:sz w:val="17"/>
                <w:szCs w:val="17"/>
                <w:color w:val="auto"/>
              </w:rPr>
            </w:pPr>
          </w:p>
        </w:tc>
        <w:tc>
          <w:tcPr>
            <w:tcW w:w="280" w:type="dxa"/>
            <w:vAlign w:val="bottom"/>
            <w:tcBorders>
              <w:top w:val="single" w:sz="8" w:color="0000FF"/>
              <w:bottom w:val="single" w:sz="8" w:color="auto"/>
            </w:tcBorders>
            <w:shd w:val="clear" w:color="auto" w:fill="DBDBDB"/>
          </w:tcPr>
          <w:p>
            <w:pPr>
              <w:spacing w:after="0"/>
              <w:rPr>
                <w:sz w:val="17"/>
                <w:szCs w:val="17"/>
                <w:color w:val="auto"/>
              </w:rPr>
            </w:pPr>
          </w:p>
        </w:tc>
        <w:tc>
          <w:tcPr>
            <w:tcW w:w="260" w:type="dxa"/>
            <w:vAlign w:val="bottom"/>
            <w:tcBorders>
              <w:top w:val="single" w:sz="8" w:color="0000FF"/>
              <w:bottom w:val="single" w:sz="8" w:color="auto"/>
            </w:tcBorders>
            <w:shd w:val="clear" w:color="auto" w:fill="DBDBDB"/>
          </w:tcPr>
          <w:p>
            <w:pPr>
              <w:spacing w:after="0"/>
              <w:rPr>
                <w:sz w:val="17"/>
                <w:szCs w:val="17"/>
                <w:color w:val="auto"/>
              </w:rPr>
            </w:pPr>
          </w:p>
        </w:tc>
        <w:tc>
          <w:tcPr>
            <w:tcW w:w="220" w:type="dxa"/>
            <w:vAlign w:val="bottom"/>
            <w:tcBorders>
              <w:top w:val="single" w:sz="8" w:color="0000FF"/>
              <w:bottom w:val="single" w:sz="8" w:color="auto"/>
            </w:tcBorders>
            <w:shd w:val="clear" w:color="auto" w:fill="DBDBDB"/>
          </w:tcPr>
          <w:p>
            <w:pPr>
              <w:spacing w:after="0"/>
              <w:rPr>
                <w:sz w:val="17"/>
                <w:szCs w:val="17"/>
                <w:color w:val="auto"/>
              </w:rPr>
            </w:pPr>
          </w:p>
        </w:tc>
        <w:tc>
          <w:tcPr>
            <w:tcW w:w="20" w:type="dxa"/>
            <w:vAlign w:val="bottom"/>
            <w:tcBorders>
              <w:top w:val="single" w:sz="8" w:color="0000FF"/>
              <w:bottom w:val="single" w:sz="8" w:color="auto"/>
            </w:tcBorders>
            <w:shd w:val="clear" w:color="auto" w:fill="DBDBDB"/>
          </w:tcPr>
          <w:p>
            <w:pPr>
              <w:spacing w:after="0"/>
              <w:rPr>
                <w:sz w:val="17"/>
                <w:szCs w:val="17"/>
                <w:color w:val="auto"/>
              </w:rPr>
            </w:pPr>
          </w:p>
        </w:tc>
        <w:tc>
          <w:tcPr>
            <w:tcW w:w="20" w:type="dxa"/>
            <w:vAlign w:val="bottom"/>
            <w:tcBorders>
              <w:top w:val="single" w:sz="8" w:color="0000FF"/>
              <w:bottom w:val="single" w:sz="8" w:color="auto"/>
            </w:tcBorders>
            <w:shd w:val="clear" w:color="auto" w:fill="DBDBDB"/>
          </w:tcPr>
          <w:p>
            <w:pPr>
              <w:spacing w:after="0"/>
              <w:rPr>
                <w:sz w:val="17"/>
                <w:szCs w:val="17"/>
                <w:color w:val="auto"/>
              </w:rPr>
            </w:pPr>
          </w:p>
        </w:tc>
        <w:tc>
          <w:tcPr>
            <w:tcW w:w="20" w:type="dxa"/>
            <w:vAlign w:val="bottom"/>
            <w:tcBorders>
              <w:top w:val="single" w:sz="8" w:color="0000FF"/>
              <w:bottom w:val="single" w:sz="8" w:color="auto"/>
            </w:tcBorders>
            <w:shd w:val="clear" w:color="auto" w:fill="DBDBDB"/>
          </w:tcPr>
          <w:p>
            <w:pPr>
              <w:spacing w:after="0"/>
              <w:rPr>
                <w:sz w:val="17"/>
                <w:szCs w:val="17"/>
                <w:color w:val="auto"/>
              </w:rPr>
            </w:pPr>
          </w:p>
        </w:tc>
        <w:tc>
          <w:tcPr>
            <w:tcW w:w="40" w:type="dxa"/>
            <w:vAlign w:val="bottom"/>
            <w:tcBorders>
              <w:top w:val="single" w:sz="8" w:color="0000FF"/>
              <w:bottom w:val="single" w:sz="8" w:color="auto"/>
            </w:tcBorders>
            <w:shd w:val="clear" w:color="auto" w:fill="DBDBDB"/>
          </w:tcPr>
          <w:p>
            <w:pPr>
              <w:spacing w:after="0"/>
              <w:rPr>
                <w:sz w:val="17"/>
                <w:szCs w:val="17"/>
                <w:color w:val="auto"/>
              </w:rPr>
            </w:pPr>
          </w:p>
        </w:tc>
        <w:tc>
          <w:tcPr>
            <w:tcW w:w="220" w:type="dxa"/>
            <w:vAlign w:val="bottom"/>
            <w:tcBorders>
              <w:top w:val="single" w:sz="8" w:color="0000FF"/>
              <w:bottom w:val="single" w:sz="8" w:color="auto"/>
            </w:tcBorders>
            <w:shd w:val="clear" w:color="auto" w:fill="DBDBDB"/>
          </w:tcPr>
          <w:p>
            <w:pPr>
              <w:spacing w:after="0"/>
              <w:rPr>
                <w:sz w:val="17"/>
                <w:szCs w:val="17"/>
                <w:color w:val="auto"/>
              </w:rPr>
            </w:pPr>
          </w:p>
        </w:tc>
        <w:tc>
          <w:tcPr>
            <w:tcW w:w="40" w:type="dxa"/>
            <w:vAlign w:val="bottom"/>
            <w:tcBorders>
              <w:top w:val="single" w:sz="8" w:color="0000FF"/>
              <w:bottom w:val="single" w:sz="8" w:color="auto"/>
            </w:tcBorders>
            <w:shd w:val="clear" w:color="auto" w:fill="DBDBDB"/>
          </w:tcPr>
          <w:p>
            <w:pPr>
              <w:spacing w:after="0"/>
              <w:rPr>
                <w:sz w:val="17"/>
                <w:szCs w:val="17"/>
                <w:color w:val="auto"/>
              </w:rPr>
            </w:pPr>
          </w:p>
        </w:tc>
        <w:tc>
          <w:tcPr>
            <w:tcW w:w="120" w:type="dxa"/>
            <w:vAlign w:val="bottom"/>
            <w:tcBorders>
              <w:top w:val="single" w:sz="8" w:color="0000FF"/>
              <w:bottom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auto"/>
            </w:tcBorders>
            <w:shd w:val="clear" w:color="auto" w:fill="DBDBDB"/>
          </w:tcPr>
          <w:p>
            <w:pPr>
              <w:spacing w:after="0"/>
              <w:rPr>
                <w:sz w:val="17"/>
                <w:szCs w:val="17"/>
                <w:color w:val="auto"/>
              </w:rPr>
            </w:pPr>
          </w:p>
        </w:tc>
        <w:tc>
          <w:tcPr>
            <w:tcW w:w="20" w:type="dxa"/>
            <w:vAlign w:val="bottom"/>
            <w:tcBorders>
              <w:top w:val="single" w:sz="8" w:color="DBDBDB"/>
              <w:bottom w:val="single" w:sz="8" w:color="auto"/>
            </w:tcBorders>
            <w:shd w:val="clear" w:color="auto" w:fill="DBDBDB"/>
          </w:tcPr>
          <w:p>
            <w:pPr>
              <w:spacing w:after="0"/>
              <w:rPr>
                <w:sz w:val="17"/>
                <w:szCs w:val="17"/>
                <w:color w:val="auto"/>
              </w:rPr>
            </w:pPr>
          </w:p>
        </w:tc>
        <w:tc>
          <w:tcPr>
            <w:tcW w:w="20" w:type="dxa"/>
            <w:vAlign w:val="bottom"/>
            <w:tcBorders>
              <w:top w:val="single" w:sz="8" w:color="DBDBDB"/>
              <w:bottom w:val="single" w:sz="8" w:color="auto"/>
            </w:tcBorders>
            <w:shd w:val="clear" w:color="auto" w:fill="DBDBDB"/>
          </w:tcPr>
          <w:p>
            <w:pPr>
              <w:spacing w:after="0"/>
              <w:rPr>
                <w:sz w:val="17"/>
                <w:szCs w:val="17"/>
                <w:color w:val="auto"/>
              </w:rPr>
            </w:pPr>
          </w:p>
        </w:tc>
        <w:tc>
          <w:tcPr>
            <w:tcW w:w="20" w:type="dxa"/>
            <w:vAlign w:val="bottom"/>
            <w:tcBorders>
              <w:top w:val="single" w:sz="8" w:color="DBDBDB"/>
              <w:bottom w:val="single" w:sz="8" w:color="auto"/>
            </w:tcBorders>
            <w:shd w:val="clear" w:color="auto" w:fill="DBDBDB"/>
          </w:tcPr>
          <w:p>
            <w:pPr>
              <w:spacing w:after="0"/>
              <w:rPr>
                <w:sz w:val="17"/>
                <w:szCs w:val="17"/>
                <w:color w:val="auto"/>
              </w:rPr>
            </w:pPr>
          </w:p>
        </w:tc>
        <w:tc>
          <w:tcPr>
            <w:tcW w:w="40" w:type="dxa"/>
            <w:vAlign w:val="bottom"/>
            <w:tcBorders>
              <w:top w:val="single" w:sz="8" w:color="DBDBDB"/>
              <w:bottom w:val="single" w:sz="8" w:color="auto"/>
            </w:tcBorders>
            <w:shd w:val="clear" w:color="auto" w:fill="DBDBDB"/>
          </w:tcPr>
          <w:p>
            <w:pPr>
              <w:spacing w:after="0"/>
              <w:rPr>
                <w:sz w:val="17"/>
                <w:szCs w:val="17"/>
                <w:color w:val="auto"/>
              </w:rPr>
            </w:pPr>
          </w:p>
        </w:tc>
        <w:tc>
          <w:tcPr>
            <w:tcW w:w="1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800" w:type="dxa"/>
            <w:vAlign w:val="bottom"/>
            <w:tcBorders>
              <w:top w:val="single" w:sz="8" w:color="DBDBDB"/>
              <w:bottom w:val="single" w:sz="8" w:color="auto"/>
            </w:tcBorders>
            <w:shd w:val="clear" w:color="auto" w:fill="DBDBDB"/>
          </w:tcPr>
          <w:p>
            <w:pPr>
              <w:spacing w:after="0"/>
              <w:rPr>
                <w:sz w:val="17"/>
                <w:szCs w:val="17"/>
                <w:color w:val="auto"/>
              </w:rPr>
            </w:pPr>
          </w:p>
        </w:tc>
        <w:tc>
          <w:tcPr>
            <w:tcW w:w="980" w:type="dxa"/>
            <w:vAlign w:val="bottom"/>
            <w:tcBorders>
              <w:top w:val="single" w:sz="8" w:color="DBDBDB"/>
              <w:bottom w:val="single" w:sz="8" w:color="auto"/>
            </w:tcBorders>
            <w:shd w:val="clear" w:color="auto" w:fill="DBDBDB"/>
          </w:tcPr>
          <w:p>
            <w:pPr>
              <w:spacing w:after="0"/>
              <w:rPr>
                <w:sz w:val="17"/>
                <w:szCs w:val="17"/>
                <w:color w:val="auto"/>
              </w:rPr>
            </w:pPr>
          </w:p>
        </w:tc>
        <w:tc>
          <w:tcPr>
            <w:tcW w:w="2260" w:type="dxa"/>
            <w:vAlign w:val="bottom"/>
            <w:tcBorders>
              <w:top w:val="single" w:sz="8" w:color="DBDBDB"/>
              <w:bottom w:val="single" w:sz="8" w:color="auto"/>
            </w:tcBorders>
            <w:shd w:val="clear" w:color="auto" w:fill="DBDBDB"/>
          </w:tcPr>
          <w:p>
            <w:pPr>
              <w:spacing w:after="0"/>
              <w:rPr>
                <w:sz w:val="17"/>
                <w:szCs w:val="17"/>
                <w:color w:val="auto"/>
              </w:rPr>
            </w:pPr>
          </w:p>
        </w:tc>
        <w:tc>
          <w:tcPr>
            <w:tcW w:w="15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10(f)</w:t>
            </w:r>
          </w:p>
        </w:tc>
        <w:tc>
          <w:tcPr>
            <w:tcW w:w="288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Form of Non-Qualified Stock Option</w:t>
              </w:r>
            </w:hyperlink>
          </w:p>
        </w:tc>
        <w:tc>
          <w:tcPr>
            <w:tcW w:w="700" w:type="dxa"/>
            <w:vAlign w:val="bottom"/>
            <w:tcBorders>
              <w:right w:val="single" w:sz="8" w:color="auto"/>
            </w:tcBorders>
            <w:gridSpan w:val="10"/>
          </w:tcPr>
          <w:p>
            <w:pPr>
              <w:spacing w:after="0"/>
              <w:rPr>
                <w:sz w:val="15"/>
                <w:szCs w:val="15"/>
                <w:color w:val="auto"/>
              </w:rPr>
            </w:pPr>
          </w:p>
        </w:tc>
        <w:tc>
          <w:tcPr>
            <w:tcW w:w="800" w:type="dxa"/>
            <w:vAlign w:val="bottom"/>
          </w:tcPr>
          <w:p>
            <w:pPr>
              <w:spacing w:after="0" w:line="182" w:lineRule="exact"/>
              <w:rPr>
                <w:sz w:val="20"/>
                <w:szCs w:val="20"/>
                <w:color w:val="auto"/>
              </w:rPr>
            </w:pPr>
            <w:r>
              <w:rPr>
                <w:rFonts w:ascii="Arial" w:cs="Arial" w:eastAsia="Arial" w:hAnsi="Arial"/>
                <w:sz w:val="18"/>
                <w:szCs w:val="18"/>
                <w:color w:val="auto"/>
              </w:rPr>
              <w:t>10-K</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February 23, 2017</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10(k)</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3580" w:type="dxa"/>
            <w:vAlign w:val="bottom"/>
            <w:tcBorders>
              <w:right w:val="single" w:sz="8" w:color="auto"/>
            </w:tcBorders>
            <w:gridSpan w:val="24"/>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Agreement for Executive Officers under the</w:t>
              </w:r>
            </w:hyperlink>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34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Texas Instruments 2009 Long-Term</w:t>
              </w:r>
            </w:hyperlink>
          </w:p>
        </w:tc>
        <w:tc>
          <w:tcPr>
            <w:tcW w:w="12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spacing w:after="0"/>
              <w:rPr>
                <w:sz w:val="13"/>
                <w:szCs w:val="13"/>
                <w:color w:val="auto"/>
              </w:rPr>
            </w:pPr>
          </w:p>
        </w:tc>
        <w:tc>
          <w:tcPr>
            <w:tcW w:w="28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Incentive Plan*</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80" w:type="dxa"/>
            <w:vAlign w:val="bottom"/>
            <w:gridSpan w:val="6"/>
          </w:tcPr>
          <w:p>
            <w:pPr>
              <w:spacing w:after="0"/>
              <w:rPr>
                <w:sz w:val="13"/>
                <w:szCs w:val="13"/>
                <w:color w:val="auto"/>
              </w:rPr>
            </w:pPr>
          </w:p>
        </w:tc>
        <w:tc>
          <w:tcPr>
            <w:tcW w:w="180" w:type="dxa"/>
            <w:vAlign w:val="bottom"/>
            <w:tcBorders>
              <w:right w:val="single" w:sz="8" w:color="auto"/>
            </w:tcBorders>
            <w:gridSpan w:val="3"/>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bottom w:val="single" w:sz="8" w:color="DBDBDB"/>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10(g)</w:t>
            </w:r>
          </w:p>
        </w:tc>
        <w:tc>
          <w:tcPr>
            <w:tcW w:w="2920" w:type="dxa"/>
            <w:vAlign w:val="bottom"/>
            <w:tcBorders>
              <w:bottom w:val="single" w:sz="8" w:color="0000FF"/>
            </w:tcBorders>
            <w:gridSpan w:val="15"/>
            <w:shd w:val="clear" w:color="auto" w:fill="DBDBDB"/>
          </w:tcPr>
          <w:p>
            <w:pPr>
              <w:spacing w:after="0" w:line="182"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Form of Restricted Stock Unit Award</w:t>
              </w:r>
            </w:hyperlink>
          </w:p>
        </w:tc>
        <w:tc>
          <w:tcPr>
            <w:tcW w:w="660" w:type="dxa"/>
            <w:vAlign w:val="bottom"/>
            <w:tcBorders>
              <w:bottom w:val="single" w:sz="8" w:color="DBDBDB"/>
              <w:right w:val="single" w:sz="8" w:color="auto"/>
            </w:tcBorders>
            <w:gridSpan w:val="9"/>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spacing w:after="0" w:line="182" w:lineRule="exact"/>
              <w:rPr>
                <w:sz w:val="20"/>
                <w:szCs w:val="20"/>
                <w:color w:val="auto"/>
              </w:rPr>
            </w:pPr>
            <w:r>
              <w:rPr>
                <w:rFonts w:ascii="Arial" w:cs="Arial" w:eastAsia="Arial" w:hAnsi="Arial"/>
                <w:sz w:val="18"/>
                <w:szCs w:val="18"/>
                <w:color w:val="auto"/>
              </w:rPr>
              <w:t>10-K</w:t>
            </w:r>
          </w:p>
        </w:tc>
        <w:tc>
          <w:tcPr>
            <w:tcW w:w="980" w:type="dxa"/>
            <w:vAlign w:val="bottom"/>
            <w:tcBorders>
              <w:bottom w:val="single" w:sz="8" w:color="DBDBDB"/>
            </w:tcBorders>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Borders>
              <w:bottom w:val="single" w:sz="8" w:color="DBDBDB"/>
            </w:tcBorders>
            <w:shd w:val="clear" w:color="auto" w:fill="DBDBDB"/>
          </w:tcPr>
          <w:p>
            <w:pPr>
              <w:ind w:left="360"/>
              <w:spacing w:after="0" w:line="182" w:lineRule="exact"/>
              <w:rPr>
                <w:sz w:val="20"/>
                <w:szCs w:val="20"/>
                <w:color w:val="auto"/>
              </w:rPr>
            </w:pPr>
            <w:r>
              <w:rPr>
                <w:rFonts w:ascii="Arial" w:cs="Arial" w:eastAsia="Arial" w:hAnsi="Arial"/>
                <w:sz w:val="18"/>
                <w:szCs w:val="18"/>
                <w:color w:val="auto"/>
              </w:rPr>
              <w:t>February 23, 2017</w:t>
            </w:r>
          </w:p>
        </w:tc>
        <w:tc>
          <w:tcPr>
            <w:tcW w:w="1520" w:type="dxa"/>
            <w:vAlign w:val="bottom"/>
            <w:tcBorders>
              <w:bottom w:val="single" w:sz="8" w:color="DBDBDB"/>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10(l)</w:t>
            </w:r>
          </w:p>
        </w:tc>
        <w:tc>
          <w:tcPr>
            <w:tcW w:w="960" w:type="dxa"/>
            <w:vAlign w:val="bottom"/>
            <w:tcBorders>
              <w:bottom w:val="single" w:sz="8" w:color="DBDBDB"/>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shd w:val="clear" w:color="auto" w:fill="DBDBDB"/>
          </w:tcPr>
          <w:p>
            <w:pPr>
              <w:spacing w:after="0"/>
              <w:rPr>
                <w:sz w:val="13"/>
                <w:szCs w:val="13"/>
                <w:color w:val="auto"/>
              </w:rPr>
            </w:pPr>
          </w:p>
        </w:tc>
        <w:tc>
          <w:tcPr>
            <w:tcW w:w="3580" w:type="dxa"/>
            <w:vAlign w:val="bottom"/>
            <w:tcBorders>
              <w:right w:val="single" w:sz="8" w:color="auto"/>
            </w:tcBorders>
            <w:gridSpan w:val="24"/>
            <w:shd w:val="clear" w:color="auto" w:fill="DBDBDB"/>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Agreement for Executive Officers under the</w:t>
              </w:r>
            </w:hyperlink>
          </w:p>
        </w:tc>
        <w:tc>
          <w:tcPr>
            <w:tcW w:w="80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2260" w:type="dxa"/>
            <w:vAlign w:val="bottom"/>
            <w:shd w:val="clear" w:color="auto" w:fill="DBDBDB"/>
          </w:tcPr>
          <w:p>
            <w:pPr>
              <w:spacing w:after="0"/>
              <w:rPr>
                <w:sz w:val="13"/>
                <w:szCs w:val="13"/>
                <w:color w:val="auto"/>
              </w:rPr>
            </w:pPr>
          </w:p>
        </w:tc>
        <w:tc>
          <w:tcPr>
            <w:tcW w:w="1520" w:type="dxa"/>
            <w:vAlign w:val="bottom"/>
            <w:tcBorders>
              <w:right w:val="single" w:sz="8" w:color="auto"/>
            </w:tcBorders>
            <w:shd w:val="clear" w:color="auto" w:fill="DBDBDB"/>
          </w:tcPr>
          <w:p>
            <w:pPr>
              <w:spacing w:after="0"/>
              <w:rPr>
                <w:sz w:val="13"/>
                <w:szCs w:val="13"/>
                <w:color w:val="auto"/>
              </w:rPr>
            </w:pPr>
          </w:p>
        </w:tc>
        <w:tc>
          <w:tcPr>
            <w:tcW w:w="96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Borders>
              <w:top w:val="single" w:sz="8" w:color="DBDBDB"/>
              <w:left w:val="single" w:sz="8" w:color="auto"/>
              <w:right w:val="single" w:sz="8" w:color="auto"/>
            </w:tcBorders>
            <w:shd w:val="clear" w:color="auto" w:fill="DBDBDB"/>
          </w:tcPr>
          <w:p>
            <w:pPr>
              <w:spacing w:after="0"/>
              <w:rPr>
                <w:sz w:val="13"/>
                <w:szCs w:val="13"/>
                <w:color w:val="auto"/>
              </w:rPr>
            </w:pPr>
          </w:p>
        </w:tc>
        <w:tc>
          <w:tcPr>
            <w:tcW w:w="3460" w:type="dxa"/>
            <w:vAlign w:val="bottom"/>
            <w:tcBorders>
              <w:top w:val="single" w:sz="8" w:color="0000FF"/>
            </w:tcBorders>
            <w:gridSpan w:val="23"/>
            <w:shd w:val="clear" w:color="auto" w:fill="DBDBDB"/>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Texas Instruments 2009 Long-Term</w:t>
              </w:r>
            </w:hyperlink>
          </w:p>
        </w:tc>
        <w:tc>
          <w:tcPr>
            <w:tcW w:w="120" w:type="dxa"/>
            <w:vAlign w:val="bottom"/>
            <w:tcBorders>
              <w:top w:val="single" w:sz="8" w:color="DBDBDB"/>
              <w:right w:val="single" w:sz="8" w:color="auto"/>
            </w:tcBorders>
            <w:shd w:val="clear" w:color="auto" w:fill="DBDBDB"/>
          </w:tcPr>
          <w:p>
            <w:pPr>
              <w:spacing w:after="0"/>
              <w:rPr>
                <w:sz w:val="13"/>
                <w:szCs w:val="13"/>
                <w:color w:val="auto"/>
              </w:rPr>
            </w:pPr>
          </w:p>
        </w:tc>
        <w:tc>
          <w:tcPr>
            <w:tcW w:w="800" w:type="dxa"/>
            <w:vAlign w:val="bottom"/>
            <w:tcBorders>
              <w:top w:val="single" w:sz="8" w:color="DBDBDB"/>
            </w:tcBorders>
            <w:shd w:val="clear" w:color="auto" w:fill="DBDBDB"/>
          </w:tcPr>
          <w:p>
            <w:pPr>
              <w:spacing w:after="0"/>
              <w:rPr>
                <w:sz w:val="13"/>
                <w:szCs w:val="13"/>
                <w:color w:val="auto"/>
              </w:rPr>
            </w:pPr>
          </w:p>
        </w:tc>
        <w:tc>
          <w:tcPr>
            <w:tcW w:w="980" w:type="dxa"/>
            <w:vAlign w:val="bottom"/>
            <w:tcBorders>
              <w:top w:val="single" w:sz="8" w:color="DBDBDB"/>
            </w:tcBorders>
            <w:shd w:val="clear" w:color="auto" w:fill="DBDBDB"/>
          </w:tcPr>
          <w:p>
            <w:pPr>
              <w:spacing w:after="0"/>
              <w:rPr>
                <w:sz w:val="13"/>
                <w:szCs w:val="13"/>
                <w:color w:val="auto"/>
              </w:rPr>
            </w:pPr>
          </w:p>
        </w:tc>
        <w:tc>
          <w:tcPr>
            <w:tcW w:w="2260" w:type="dxa"/>
            <w:vAlign w:val="bottom"/>
            <w:tcBorders>
              <w:top w:val="single" w:sz="8" w:color="DBDBDB"/>
            </w:tcBorders>
            <w:shd w:val="clear" w:color="auto" w:fill="DBDBDB"/>
          </w:tcPr>
          <w:p>
            <w:pPr>
              <w:spacing w:after="0"/>
              <w:rPr>
                <w:sz w:val="13"/>
                <w:szCs w:val="13"/>
                <w:color w:val="auto"/>
              </w:rPr>
            </w:pPr>
          </w:p>
        </w:tc>
        <w:tc>
          <w:tcPr>
            <w:tcW w:w="1520" w:type="dxa"/>
            <w:vAlign w:val="bottom"/>
            <w:tcBorders>
              <w:top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7"/>
                <w:szCs w:val="17"/>
                <w:color w:val="auto"/>
              </w:rPr>
            </w:pPr>
          </w:p>
        </w:tc>
        <w:tc>
          <w:tcPr>
            <w:tcW w:w="2820" w:type="dxa"/>
            <w:vAlign w:val="bottom"/>
            <w:tcBorders>
              <w:top w:val="single" w:sz="8" w:color="0000FF"/>
              <w:bottom w:val="single" w:sz="8" w:color="auto"/>
            </w:tcBorders>
            <w:gridSpan w:val="11"/>
            <w:shd w:val="clear" w:color="auto" w:fill="DBDBDB"/>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Incentive Plan*</w:t>
              </w:r>
            </w:hyperlink>
          </w:p>
        </w:tc>
        <w:tc>
          <w:tcPr>
            <w:tcW w:w="20" w:type="dxa"/>
            <w:vAlign w:val="bottom"/>
            <w:tcBorders>
              <w:top w:val="single" w:sz="8" w:color="DBDBDB"/>
              <w:bottom w:val="single" w:sz="8" w:color="auto"/>
            </w:tcBorders>
            <w:shd w:val="clear" w:color="auto" w:fill="DBDBDB"/>
          </w:tcPr>
          <w:p>
            <w:pPr>
              <w:spacing w:after="0"/>
              <w:rPr>
                <w:sz w:val="17"/>
                <w:szCs w:val="17"/>
                <w:color w:val="auto"/>
              </w:rPr>
            </w:pPr>
          </w:p>
        </w:tc>
        <w:tc>
          <w:tcPr>
            <w:tcW w:w="560" w:type="dxa"/>
            <w:vAlign w:val="bottom"/>
            <w:tcBorders>
              <w:top w:val="single" w:sz="8" w:color="DBDBDB"/>
              <w:bottom w:val="single" w:sz="8" w:color="auto"/>
            </w:tcBorders>
            <w:gridSpan w:val="9"/>
            <w:shd w:val="clear" w:color="auto" w:fill="DBDBDB"/>
          </w:tcPr>
          <w:p>
            <w:pPr>
              <w:spacing w:after="0"/>
              <w:rPr>
                <w:sz w:val="17"/>
                <w:szCs w:val="17"/>
                <w:color w:val="auto"/>
              </w:rPr>
            </w:pPr>
          </w:p>
        </w:tc>
        <w:tc>
          <w:tcPr>
            <w:tcW w:w="180" w:type="dxa"/>
            <w:vAlign w:val="bottom"/>
            <w:tcBorders>
              <w:top w:val="single" w:sz="8" w:color="DBDBDB"/>
              <w:bottom w:val="single" w:sz="8" w:color="auto"/>
              <w:right w:val="single" w:sz="8" w:color="auto"/>
            </w:tcBorders>
            <w:gridSpan w:val="3"/>
            <w:shd w:val="clear" w:color="auto" w:fill="DBDBDB"/>
          </w:tcPr>
          <w:p>
            <w:pPr>
              <w:spacing w:after="0"/>
              <w:rPr>
                <w:sz w:val="17"/>
                <w:szCs w:val="17"/>
                <w:color w:val="auto"/>
              </w:rPr>
            </w:pPr>
          </w:p>
        </w:tc>
        <w:tc>
          <w:tcPr>
            <w:tcW w:w="800" w:type="dxa"/>
            <w:vAlign w:val="bottom"/>
            <w:tcBorders>
              <w:top w:val="single" w:sz="8" w:color="DBDBDB"/>
              <w:bottom w:val="single" w:sz="8" w:color="auto"/>
            </w:tcBorders>
            <w:shd w:val="clear" w:color="auto" w:fill="DBDBDB"/>
          </w:tcPr>
          <w:p>
            <w:pPr>
              <w:spacing w:after="0"/>
              <w:rPr>
                <w:sz w:val="17"/>
                <w:szCs w:val="17"/>
                <w:color w:val="auto"/>
              </w:rPr>
            </w:pPr>
          </w:p>
        </w:tc>
        <w:tc>
          <w:tcPr>
            <w:tcW w:w="980" w:type="dxa"/>
            <w:vAlign w:val="bottom"/>
            <w:tcBorders>
              <w:top w:val="single" w:sz="8" w:color="DBDBDB"/>
              <w:bottom w:val="single" w:sz="8" w:color="auto"/>
            </w:tcBorders>
            <w:shd w:val="clear" w:color="auto" w:fill="DBDBDB"/>
          </w:tcPr>
          <w:p>
            <w:pPr>
              <w:spacing w:after="0"/>
              <w:rPr>
                <w:sz w:val="17"/>
                <w:szCs w:val="17"/>
                <w:color w:val="auto"/>
              </w:rPr>
            </w:pPr>
          </w:p>
        </w:tc>
        <w:tc>
          <w:tcPr>
            <w:tcW w:w="2260" w:type="dxa"/>
            <w:vAlign w:val="bottom"/>
            <w:tcBorders>
              <w:top w:val="single" w:sz="8" w:color="DBDBDB"/>
              <w:bottom w:val="single" w:sz="8" w:color="auto"/>
            </w:tcBorders>
            <w:shd w:val="clear" w:color="auto" w:fill="DBDBDB"/>
          </w:tcPr>
          <w:p>
            <w:pPr>
              <w:spacing w:after="0"/>
              <w:rPr>
                <w:sz w:val="17"/>
                <w:szCs w:val="17"/>
                <w:color w:val="auto"/>
              </w:rPr>
            </w:pPr>
          </w:p>
        </w:tc>
        <w:tc>
          <w:tcPr>
            <w:tcW w:w="15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10(h)</w:t>
            </w:r>
          </w:p>
        </w:tc>
        <w:tc>
          <w:tcPr>
            <w:tcW w:w="3580" w:type="dxa"/>
            <w:vAlign w:val="bottom"/>
            <w:tcBorders>
              <w:right w:val="single" w:sz="8" w:color="auto"/>
            </w:tcBorders>
            <w:gridSpan w:val="24"/>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Texas Instruments 2009 Long-Term</w:t>
              </w:r>
            </w:hyperlink>
          </w:p>
        </w:tc>
        <w:tc>
          <w:tcPr>
            <w:tcW w:w="800" w:type="dxa"/>
            <w:vAlign w:val="bottom"/>
          </w:tcPr>
          <w:p>
            <w:pPr>
              <w:spacing w:after="0" w:line="182" w:lineRule="exact"/>
              <w:rPr>
                <w:sz w:val="20"/>
                <w:szCs w:val="20"/>
                <w:color w:val="auto"/>
              </w:rPr>
            </w:pPr>
            <w:r>
              <w:rPr>
                <w:rFonts w:ascii="Arial" w:cs="Arial" w:eastAsia="Arial" w:hAnsi="Arial"/>
                <w:sz w:val="18"/>
                <w:szCs w:val="18"/>
                <w:color w:val="auto"/>
              </w:rPr>
              <w:t>DEF 14A</w:t>
            </w:r>
          </w:p>
        </w:tc>
        <w:tc>
          <w:tcPr>
            <w:tcW w:w="980" w:type="dxa"/>
            <w:vAlign w:val="bottom"/>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tcPr>
          <w:p>
            <w:pPr>
              <w:ind w:left="360"/>
              <w:spacing w:after="0" w:line="182" w:lineRule="exact"/>
              <w:rPr>
                <w:sz w:val="20"/>
                <w:szCs w:val="20"/>
                <w:color w:val="auto"/>
              </w:rPr>
            </w:pPr>
            <w:r>
              <w:rPr>
                <w:rFonts w:ascii="Arial" w:cs="Arial" w:eastAsia="Arial" w:hAnsi="Arial"/>
                <w:sz w:val="18"/>
                <w:szCs w:val="18"/>
                <w:color w:val="auto"/>
              </w:rPr>
              <w:t>March 9, 2016</w:t>
            </w:r>
          </w:p>
        </w:tc>
        <w:tc>
          <w:tcPr>
            <w:tcW w:w="152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Appendix B</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spacing w:after="0"/>
              <w:rPr>
                <w:sz w:val="13"/>
                <w:szCs w:val="13"/>
                <w:color w:val="auto"/>
              </w:rPr>
            </w:pPr>
          </w:p>
        </w:tc>
        <w:tc>
          <w:tcPr>
            <w:tcW w:w="2840" w:type="dxa"/>
            <w:vAlign w:val="bottom"/>
            <w:tcBorders>
              <w:top w:val="single" w:sz="8" w:color="0000FF"/>
            </w:tcBorders>
            <w:gridSpan w:val="12"/>
          </w:tcPr>
          <w:p>
            <w:pPr>
              <w:spacing w:after="0" w:line="157" w:lineRule="exact"/>
              <w:rPr>
                <w:rFonts w:ascii="Arial" w:cs="Arial" w:eastAsia="Arial" w:hAnsi="Arial"/>
                <w:sz w:val="18"/>
                <w:szCs w:val="18"/>
                <w:color w:val="0000FF"/>
                <w:w w:val="97"/>
              </w:rPr>
            </w:pPr>
            <w:hyperlink r:id="rId100">
              <w:r>
                <w:rPr>
                  <w:rFonts w:ascii="Arial" w:cs="Arial" w:eastAsia="Arial" w:hAnsi="Arial"/>
                  <w:sz w:val="18"/>
                  <w:szCs w:val="18"/>
                  <w:color w:val="0000FF"/>
                  <w:w w:val="97"/>
                </w:rPr>
                <w:t>Incentive Plan as amended April 21,</w:t>
              </w:r>
            </w:hyperlink>
          </w:p>
        </w:tc>
        <w:tc>
          <w:tcPr>
            <w:tcW w:w="740" w:type="dxa"/>
            <w:vAlign w:val="bottom"/>
            <w:tcBorders>
              <w:right w:val="single" w:sz="8" w:color="auto"/>
            </w:tcBorders>
            <w:gridSpan w:val="12"/>
          </w:tcPr>
          <w:p>
            <w:pPr>
              <w:jc w:val="right"/>
              <w:ind w:right="180"/>
              <w:spacing w:after="0" w:line="157" w:lineRule="exact"/>
              <w:rPr>
                <w:rFonts w:ascii="Arial" w:cs="Arial" w:eastAsia="Arial" w:hAnsi="Arial"/>
                <w:sz w:val="18"/>
                <w:szCs w:val="18"/>
                <w:color w:val="0000FF"/>
              </w:rPr>
            </w:pPr>
            <w:hyperlink r:id="rId100">
              <w:r>
                <w:rPr>
                  <w:rFonts w:ascii="Arial" w:cs="Arial" w:eastAsia="Arial" w:hAnsi="Arial"/>
                  <w:sz w:val="18"/>
                  <w:szCs w:val="18"/>
                  <w:color w:val="0000FF"/>
                </w:rPr>
                <w:t>2016*</w:t>
              </w:r>
            </w:hyperlink>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10(i)</w:t>
            </w:r>
          </w:p>
        </w:tc>
        <w:tc>
          <w:tcPr>
            <w:tcW w:w="3580" w:type="dxa"/>
            <w:vAlign w:val="bottom"/>
            <w:tcBorders>
              <w:right w:val="single" w:sz="8" w:color="auto"/>
            </w:tcBorders>
            <w:gridSpan w:val="24"/>
            <w:shd w:val="clear" w:color="auto" w:fill="DBDBDB"/>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Texas Instruments 2009 Director</w:t>
              </w:r>
            </w:hyperlink>
          </w:p>
        </w:tc>
        <w:tc>
          <w:tcPr>
            <w:tcW w:w="800" w:type="dxa"/>
            <w:vAlign w:val="bottom"/>
            <w:shd w:val="clear" w:color="auto" w:fill="DBDBDB"/>
          </w:tcPr>
          <w:p>
            <w:pPr>
              <w:spacing w:after="0" w:line="182" w:lineRule="exact"/>
              <w:rPr>
                <w:sz w:val="20"/>
                <w:szCs w:val="20"/>
                <w:color w:val="auto"/>
              </w:rPr>
            </w:pPr>
            <w:r>
              <w:rPr>
                <w:rFonts w:ascii="Arial" w:cs="Arial" w:eastAsia="Arial" w:hAnsi="Arial"/>
                <w:sz w:val="18"/>
                <w:szCs w:val="18"/>
                <w:color w:val="auto"/>
              </w:rPr>
              <w:t>10-K</w:t>
            </w:r>
          </w:p>
        </w:tc>
        <w:tc>
          <w:tcPr>
            <w:tcW w:w="980" w:type="dxa"/>
            <w:vAlign w:val="bottom"/>
            <w:shd w:val="clear" w:color="auto" w:fill="DBDBDB"/>
          </w:tcPr>
          <w:p>
            <w:pPr>
              <w:ind w:left="60"/>
              <w:spacing w:after="0" w:line="182" w:lineRule="exact"/>
              <w:rPr>
                <w:sz w:val="20"/>
                <w:szCs w:val="20"/>
                <w:color w:val="auto"/>
              </w:rPr>
            </w:pPr>
            <w:r>
              <w:rPr>
                <w:rFonts w:ascii="Arial" w:cs="Arial" w:eastAsia="Arial" w:hAnsi="Arial"/>
                <w:sz w:val="18"/>
                <w:szCs w:val="18"/>
                <w:color w:val="auto"/>
              </w:rPr>
              <w:t>001-3761</w:t>
            </w:r>
          </w:p>
        </w:tc>
        <w:tc>
          <w:tcPr>
            <w:tcW w:w="2260" w:type="dxa"/>
            <w:vAlign w:val="bottom"/>
            <w:shd w:val="clear" w:color="auto" w:fill="DBDBDB"/>
          </w:tcPr>
          <w:p>
            <w:pPr>
              <w:ind w:left="360"/>
              <w:spacing w:after="0" w:line="182" w:lineRule="exact"/>
              <w:rPr>
                <w:sz w:val="20"/>
                <w:szCs w:val="20"/>
                <w:color w:val="auto"/>
              </w:rPr>
            </w:pPr>
            <w:r>
              <w:rPr>
                <w:rFonts w:ascii="Arial" w:cs="Arial" w:eastAsia="Arial" w:hAnsi="Arial"/>
                <w:sz w:val="18"/>
                <w:szCs w:val="18"/>
                <w:color w:val="auto"/>
              </w:rPr>
              <w:t>February 23, 2017</w:t>
            </w:r>
          </w:p>
        </w:tc>
        <w:tc>
          <w:tcPr>
            <w:tcW w:w="1520" w:type="dxa"/>
            <w:vAlign w:val="bottom"/>
            <w:tcBorders>
              <w:right w:val="single" w:sz="8" w:color="auto"/>
            </w:tcBorders>
            <w:shd w:val="clear" w:color="auto" w:fill="DBDBDB"/>
          </w:tcPr>
          <w:p>
            <w:pPr>
              <w:ind w:left="260"/>
              <w:spacing w:after="0" w:line="182" w:lineRule="exact"/>
              <w:rPr>
                <w:sz w:val="20"/>
                <w:szCs w:val="20"/>
                <w:color w:val="auto"/>
              </w:rPr>
            </w:pPr>
            <w:r>
              <w:rPr>
                <w:rFonts w:ascii="Arial" w:cs="Arial" w:eastAsia="Arial" w:hAnsi="Arial"/>
                <w:sz w:val="18"/>
                <w:szCs w:val="18"/>
                <w:color w:val="auto"/>
              </w:rPr>
              <w:t>10(n)</w:t>
            </w: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DBDBDB"/>
              <w:left w:val="single" w:sz="8" w:color="auto"/>
              <w:right w:val="single" w:sz="8" w:color="auto"/>
            </w:tcBorders>
            <w:shd w:val="clear" w:color="auto" w:fill="DBDBDB"/>
          </w:tcPr>
          <w:p>
            <w:pPr>
              <w:spacing w:after="0"/>
              <w:rPr>
                <w:sz w:val="13"/>
                <w:szCs w:val="13"/>
                <w:color w:val="auto"/>
              </w:rPr>
            </w:pPr>
          </w:p>
        </w:tc>
        <w:tc>
          <w:tcPr>
            <w:tcW w:w="2600" w:type="dxa"/>
            <w:vAlign w:val="bottom"/>
            <w:tcBorders>
              <w:top w:val="single" w:sz="8" w:color="0000FF"/>
            </w:tcBorders>
            <w:gridSpan w:val="10"/>
            <w:shd w:val="clear" w:color="auto" w:fill="DBDBDB"/>
          </w:tcPr>
          <w:p>
            <w:pPr>
              <w:spacing w:after="0" w:line="157" w:lineRule="exact"/>
              <w:rPr>
                <w:rFonts w:ascii="Arial" w:cs="Arial" w:eastAsia="Arial" w:hAnsi="Arial"/>
                <w:sz w:val="18"/>
                <w:szCs w:val="18"/>
                <w:color w:val="0000FF"/>
                <w:w w:val="98"/>
              </w:rPr>
            </w:pPr>
            <w:hyperlink r:id="rId101">
              <w:r>
                <w:rPr>
                  <w:rFonts w:ascii="Arial" w:cs="Arial" w:eastAsia="Arial" w:hAnsi="Arial"/>
                  <w:sz w:val="18"/>
                  <w:szCs w:val="18"/>
                  <w:color w:val="0000FF"/>
                  <w:w w:val="98"/>
                </w:rPr>
                <w:t>Compensation Plan as amended</w:t>
              </w:r>
            </w:hyperlink>
          </w:p>
        </w:tc>
        <w:tc>
          <w:tcPr>
            <w:tcW w:w="980" w:type="dxa"/>
            <w:vAlign w:val="bottom"/>
            <w:tcBorders>
              <w:top w:val="single" w:sz="8" w:color="DBDBDB"/>
              <w:right w:val="single" w:sz="8" w:color="auto"/>
            </w:tcBorders>
            <w:gridSpan w:val="14"/>
            <w:shd w:val="clear" w:color="auto" w:fill="DBDBDB"/>
          </w:tcPr>
          <w:p>
            <w:pPr>
              <w:ind w:left="60"/>
              <w:spacing w:after="0" w:line="157" w:lineRule="exact"/>
              <w:rPr>
                <w:rFonts w:ascii="Arial" w:cs="Arial" w:eastAsia="Arial" w:hAnsi="Arial"/>
                <w:sz w:val="18"/>
                <w:szCs w:val="18"/>
                <w:color w:val="0000FF"/>
              </w:rPr>
            </w:pPr>
            <w:hyperlink r:id="rId101">
              <w:r>
                <w:rPr>
                  <w:rFonts w:ascii="Arial" w:cs="Arial" w:eastAsia="Arial" w:hAnsi="Arial"/>
                  <w:sz w:val="18"/>
                  <w:szCs w:val="18"/>
                  <w:color w:val="0000FF"/>
                </w:rPr>
                <w:t>January</w:t>
              </w:r>
            </w:hyperlink>
          </w:p>
        </w:tc>
        <w:tc>
          <w:tcPr>
            <w:tcW w:w="800" w:type="dxa"/>
            <w:vAlign w:val="bottom"/>
            <w:tcBorders>
              <w:top w:val="single" w:sz="8" w:color="DBDBDB"/>
            </w:tcBorders>
            <w:shd w:val="clear" w:color="auto" w:fill="DBDBDB"/>
          </w:tcPr>
          <w:p>
            <w:pPr>
              <w:spacing w:after="0"/>
              <w:rPr>
                <w:sz w:val="13"/>
                <w:szCs w:val="13"/>
                <w:color w:val="auto"/>
              </w:rPr>
            </w:pPr>
          </w:p>
        </w:tc>
        <w:tc>
          <w:tcPr>
            <w:tcW w:w="980" w:type="dxa"/>
            <w:vAlign w:val="bottom"/>
            <w:tcBorders>
              <w:top w:val="single" w:sz="8" w:color="DBDBDB"/>
            </w:tcBorders>
            <w:shd w:val="clear" w:color="auto" w:fill="DBDBDB"/>
          </w:tcPr>
          <w:p>
            <w:pPr>
              <w:spacing w:after="0"/>
              <w:rPr>
                <w:sz w:val="13"/>
                <w:szCs w:val="13"/>
                <w:color w:val="auto"/>
              </w:rPr>
            </w:pPr>
          </w:p>
        </w:tc>
        <w:tc>
          <w:tcPr>
            <w:tcW w:w="2260" w:type="dxa"/>
            <w:vAlign w:val="bottom"/>
            <w:tcBorders>
              <w:top w:val="single" w:sz="8" w:color="DBDBDB"/>
            </w:tcBorders>
            <w:shd w:val="clear" w:color="auto" w:fill="DBDBDB"/>
          </w:tcPr>
          <w:p>
            <w:pPr>
              <w:spacing w:after="0"/>
              <w:rPr>
                <w:sz w:val="13"/>
                <w:szCs w:val="13"/>
                <w:color w:val="auto"/>
              </w:rPr>
            </w:pPr>
          </w:p>
        </w:tc>
        <w:tc>
          <w:tcPr>
            <w:tcW w:w="1520" w:type="dxa"/>
            <w:vAlign w:val="bottom"/>
            <w:tcBorders>
              <w:top w:val="single" w:sz="8" w:color="DBDBDB"/>
              <w:right w:val="single" w:sz="8" w:color="auto"/>
            </w:tcBorders>
            <w:shd w:val="clear" w:color="auto" w:fill="DBDBDB"/>
          </w:tcPr>
          <w:p>
            <w:pPr>
              <w:spacing w:after="0"/>
              <w:rPr>
                <w:sz w:val="13"/>
                <w:szCs w:val="13"/>
                <w:color w:val="auto"/>
              </w:rPr>
            </w:pPr>
          </w:p>
        </w:tc>
        <w:tc>
          <w:tcPr>
            <w:tcW w:w="960" w:type="dxa"/>
            <w:vAlign w:val="bottom"/>
            <w:tcBorders>
              <w:top w:val="single" w:sz="8" w:color="DBDBDB"/>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DBDBDB"/>
              <w:left w:val="single" w:sz="8" w:color="auto"/>
              <w:bottom w:val="single" w:sz="8" w:color="auto"/>
              <w:right w:val="single" w:sz="8" w:color="auto"/>
            </w:tcBorders>
            <w:shd w:val="clear" w:color="auto" w:fill="DBDBDB"/>
          </w:tcPr>
          <w:p>
            <w:pPr>
              <w:spacing w:after="0"/>
              <w:rPr>
                <w:sz w:val="17"/>
                <w:szCs w:val="17"/>
                <w:color w:val="auto"/>
              </w:rPr>
            </w:pPr>
          </w:p>
        </w:tc>
        <w:tc>
          <w:tcPr>
            <w:tcW w:w="760" w:type="dxa"/>
            <w:vAlign w:val="bottom"/>
            <w:tcBorders>
              <w:top w:val="single" w:sz="8" w:color="0000FF"/>
              <w:bottom w:val="single" w:sz="8" w:color="auto"/>
            </w:tcBorders>
            <w:gridSpan w:val="3"/>
            <w:shd w:val="clear" w:color="auto" w:fill="DBDBDB"/>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19, 2012</w:t>
              </w:r>
            </w:hyperlink>
          </w:p>
        </w:tc>
        <w:tc>
          <w:tcPr>
            <w:tcW w:w="60" w:type="dxa"/>
            <w:vAlign w:val="bottom"/>
            <w:tcBorders>
              <w:top w:val="single" w:sz="8" w:color="0000FF"/>
              <w:bottom w:val="single" w:sz="8" w:color="auto"/>
            </w:tcBorders>
            <w:shd w:val="clear" w:color="auto" w:fill="DBDBDB"/>
          </w:tcPr>
          <w:p>
            <w:pPr>
              <w:spacing w:after="0"/>
              <w:rPr>
                <w:sz w:val="17"/>
                <w:szCs w:val="17"/>
                <w:color w:val="auto"/>
              </w:rPr>
            </w:pPr>
          </w:p>
        </w:tc>
        <w:tc>
          <w:tcPr>
            <w:tcW w:w="380" w:type="dxa"/>
            <w:vAlign w:val="bottom"/>
            <w:tcBorders>
              <w:top w:val="single" w:sz="8" w:color="0000FF"/>
              <w:bottom w:val="single" w:sz="8" w:color="auto"/>
            </w:tcBorders>
            <w:shd w:val="clear" w:color="auto" w:fill="DBDBDB"/>
          </w:tcPr>
          <w:p>
            <w:pPr>
              <w:spacing w:after="0"/>
              <w:rPr>
                <w:sz w:val="17"/>
                <w:szCs w:val="17"/>
                <w:color w:val="auto"/>
              </w:rPr>
            </w:pPr>
          </w:p>
        </w:tc>
        <w:tc>
          <w:tcPr>
            <w:tcW w:w="320" w:type="dxa"/>
            <w:vAlign w:val="bottom"/>
            <w:tcBorders>
              <w:top w:val="single" w:sz="8" w:color="0000FF"/>
              <w:bottom w:val="single" w:sz="8" w:color="auto"/>
            </w:tcBorders>
            <w:shd w:val="clear" w:color="auto" w:fill="DBDBDB"/>
          </w:tcPr>
          <w:p>
            <w:pPr>
              <w:spacing w:after="0"/>
              <w:rPr>
                <w:sz w:val="17"/>
                <w:szCs w:val="17"/>
                <w:color w:val="auto"/>
              </w:rPr>
            </w:pPr>
          </w:p>
        </w:tc>
        <w:tc>
          <w:tcPr>
            <w:tcW w:w="420" w:type="dxa"/>
            <w:vAlign w:val="bottom"/>
            <w:tcBorders>
              <w:top w:val="single" w:sz="8" w:color="0000FF"/>
              <w:bottom w:val="single" w:sz="8" w:color="auto"/>
            </w:tcBorders>
            <w:shd w:val="clear" w:color="auto" w:fill="DBDBDB"/>
          </w:tcPr>
          <w:p>
            <w:pPr>
              <w:spacing w:after="0"/>
              <w:rPr>
                <w:sz w:val="17"/>
                <w:szCs w:val="17"/>
                <w:color w:val="auto"/>
              </w:rPr>
            </w:pPr>
          </w:p>
        </w:tc>
        <w:tc>
          <w:tcPr>
            <w:tcW w:w="120" w:type="dxa"/>
            <w:vAlign w:val="bottom"/>
            <w:tcBorders>
              <w:top w:val="single" w:sz="8" w:color="0000FF"/>
              <w:bottom w:val="single" w:sz="8" w:color="auto"/>
            </w:tcBorders>
            <w:shd w:val="clear" w:color="auto" w:fill="DBDBDB"/>
          </w:tcPr>
          <w:p>
            <w:pPr>
              <w:spacing w:after="0"/>
              <w:rPr>
                <w:sz w:val="17"/>
                <w:szCs w:val="17"/>
                <w:color w:val="auto"/>
              </w:rPr>
            </w:pPr>
          </w:p>
        </w:tc>
        <w:tc>
          <w:tcPr>
            <w:tcW w:w="280" w:type="dxa"/>
            <w:vAlign w:val="bottom"/>
            <w:tcBorders>
              <w:top w:val="single" w:sz="8" w:color="0000FF"/>
              <w:bottom w:val="single" w:sz="8" w:color="auto"/>
            </w:tcBorders>
            <w:shd w:val="clear" w:color="auto" w:fill="DBDBDB"/>
          </w:tcPr>
          <w:p>
            <w:pPr>
              <w:spacing w:after="0"/>
              <w:rPr>
                <w:sz w:val="17"/>
                <w:szCs w:val="17"/>
                <w:color w:val="auto"/>
              </w:rPr>
            </w:pPr>
          </w:p>
        </w:tc>
        <w:tc>
          <w:tcPr>
            <w:tcW w:w="260" w:type="dxa"/>
            <w:vAlign w:val="bottom"/>
            <w:tcBorders>
              <w:top w:val="single" w:sz="8" w:color="0000FF"/>
              <w:bottom w:val="single" w:sz="8" w:color="auto"/>
            </w:tcBorders>
            <w:shd w:val="clear" w:color="auto" w:fill="DBDBDB"/>
          </w:tcPr>
          <w:p>
            <w:pPr>
              <w:spacing w:after="0"/>
              <w:rPr>
                <w:sz w:val="17"/>
                <w:szCs w:val="17"/>
                <w:color w:val="auto"/>
              </w:rPr>
            </w:pPr>
          </w:p>
        </w:tc>
        <w:tc>
          <w:tcPr>
            <w:tcW w:w="220" w:type="dxa"/>
            <w:vAlign w:val="bottom"/>
            <w:tcBorders>
              <w:top w:val="single" w:sz="8" w:color="0000FF"/>
              <w:bottom w:val="single" w:sz="8" w:color="auto"/>
            </w:tcBorders>
            <w:shd w:val="clear" w:color="auto" w:fill="DBDBDB"/>
          </w:tcPr>
          <w:p>
            <w:pPr>
              <w:spacing w:after="0"/>
              <w:rPr>
                <w:sz w:val="17"/>
                <w:szCs w:val="17"/>
                <w:color w:val="auto"/>
              </w:rPr>
            </w:pPr>
          </w:p>
        </w:tc>
        <w:tc>
          <w:tcPr>
            <w:tcW w:w="20" w:type="dxa"/>
            <w:vAlign w:val="bottom"/>
            <w:tcBorders>
              <w:top w:val="single" w:sz="8" w:color="0000FF"/>
              <w:bottom w:val="single" w:sz="8" w:color="auto"/>
            </w:tcBorders>
            <w:shd w:val="clear" w:color="auto" w:fill="DBDBDB"/>
          </w:tcPr>
          <w:p>
            <w:pPr>
              <w:spacing w:after="0"/>
              <w:rPr>
                <w:sz w:val="17"/>
                <w:szCs w:val="17"/>
                <w:color w:val="auto"/>
              </w:rPr>
            </w:pPr>
          </w:p>
        </w:tc>
        <w:tc>
          <w:tcPr>
            <w:tcW w:w="20" w:type="dxa"/>
            <w:vAlign w:val="bottom"/>
            <w:tcBorders>
              <w:top w:val="single" w:sz="8" w:color="0000FF"/>
              <w:bottom w:val="single" w:sz="8" w:color="auto"/>
            </w:tcBorders>
            <w:shd w:val="clear" w:color="auto" w:fill="DBDBDB"/>
          </w:tcPr>
          <w:p>
            <w:pPr>
              <w:spacing w:after="0"/>
              <w:rPr>
                <w:sz w:val="17"/>
                <w:szCs w:val="17"/>
                <w:color w:val="auto"/>
              </w:rPr>
            </w:pPr>
          </w:p>
        </w:tc>
        <w:tc>
          <w:tcPr>
            <w:tcW w:w="20" w:type="dxa"/>
            <w:vAlign w:val="bottom"/>
            <w:tcBorders>
              <w:top w:val="single" w:sz="8" w:color="0000FF"/>
              <w:bottom w:val="single" w:sz="8" w:color="auto"/>
            </w:tcBorders>
            <w:shd w:val="clear" w:color="auto" w:fill="DBDBDB"/>
          </w:tcPr>
          <w:p>
            <w:pPr>
              <w:spacing w:after="0"/>
              <w:rPr>
                <w:sz w:val="17"/>
                <w:szCs w:val="17"/>
                <w:color w:val="auto"/>
              </w:rPr>
            </w:pPr>
          </w:p>
        </w:tc>
        <w:tc>
          <w:tcPr>
            <w:tcW w:w="40" w:type="dxa"/>
            <w:vAlign w:val="bottom"/>
            <w:tcBorders>
              <w:top w:val="single" w:sz="8" w:color="0000FF"/>
              <w:bottom w:val="single" w:sz="8" w:color="auto"/>
            </w:tcBorders>
            <w:shd w:val="clear" w:color="auto" w:fill="DBDBDB"/>
          </w:tcPr>
          <w:p>
            <w:pPr>
              <w:spacing w:after="0"/>
              <w:rPr>
                <w:sz w:val="17"/>
                <w:szCs w:val="17"/>
                <w:color w:val="auto"/>
              </w:rPr>
            </w:pPr>
          </w:p>
        </w:tc>
        <w:tc>
          <w:tcPr>
            <w:tcW w:w="220" w:type="dxa"/>
            <w:vAlign w:val="bottom"/>
            <w:tcBorders>
              <w:top w:val="single" w:sz="8" w:color="0000FF"/>
              <w:bottom w:val="single" w:sz="8" w:color="auto"/>
            </w:tcBorders>
            <w:shd w:val="clear" w:color="auto" w:fill="DBDBDB"/>
          </w:tcPr>
          <w:p>
            <w:pPr>
              <w:spacing w:after="0"/>
              <w:rPr>
                <w:sz w:val="17"/>
                <w:szCs w:val="17"/>
                <w:color w:val="auto"/>
              </w:rPr>
            </w:pPr>
          </w:p>
        </w:tc>
        <w:tc>
          <w:tcPr>
            <w:tcW w:w="40" w:type="dxa"/>
            <w:vAlign w:val="bottom"/>
            <w:tcBorders>
              <w:top w:val="single" w:sz="8" w:color="0000FF"/>
              <w:bottom w:val="single" w:sz="8" w:color="auto"/>
            </w:tcBorders>
            <w:shd w:val="clear" w:color="auto" w:fill="DBDBDB"/>
          </w:tcPr>
          <w:p>
            <w:pPr>
              <w:spacing w:after="0"/>
              <w:rPr>
                <w:sz w:val="17"/>
                <w:szCs w:val="17"/>
                <w:color w:val="auto"/>
              </w:rPr>
            </w:pPr>
          </w:p>
        </w:tc>
        <w:tc>
          <w:tcPr>
            <w:tcW w:w="120" w:type="dxa"/>
            <w:vAlign w:val="bottom"/>
            <w:tcBorders>
              <w:top w:val="single" w:sz="8" w:color="0000FF"/>
              <w:bottom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auto"/>
            </w:tcBorders>
            <w:shd w:val="clear" w:color="auto" w:fill="DBDBDB"/>
          </w:tcPr>
          <w:p>
            <w:pPr>
              <w:spacing w:after="0"/>
              <w:rPr>
                <w:sz w:val="17"/>
                <w:szCs w:val="17"/>
                <w:color w:val="auto"/>
              </w:rPr>
            </w:pPr>
          </w:p>
        </w:tc>
        <w:tc>
          <w:tcPr>
            <w:tcW w:w="20" w:type="dxa"/>
            <w:vAlign w:val="bottom"/>
            <w:tcBorders>
              <w:top w:val="single" w:sz="8" w:color="DBDBDB"/>
              <w:bottom w:val="single" w:sz="8" w:color="auto"/>
            </w:tcBorders>
            <w:shd w:val="clear" w:color="auto" w:fill="DBDBDB"/>
          </w:tcPr>
          <w:p>
            <w:pPr>
              <w:spacing w:after="0"/>
              <w:rPr>
                <w:sz w:val="17"/>
                <w:szCs w:val="17"/>
                <w:color w:val="auto"/>
              </w:rPr>
            </w:pPr>
          </w:p>
        </w:tc>
        <w:tc>
          <w:tcPr>
            <w:tcW w:w="20" w:type="dxa"/>
            <w:vAlign w:val="bottom"/>
            <w:tcBorders>
              <w:top w:val="single" w:sz="8" w:color="DBDBDB"/>
              <w:bottom w:val="single" w:sz="8" w:color="auto"/>
            </w:tcBorders>
            <w:shd w:val="clear" w:color="auto" w:fill="DBDBDB"/>
          </w:tcPr>
          <w:p>
            <w:pPr>
              <w:spacing w:after="0"/>
              <w:rPr>
                <w:sz w:val="17"/>
                <w:szCs w:val="17"/>
                <w:color w:val="auto"/>
              </w:rPr>
            </w:pPr>
          </w:p>
        </w:tc>
        <w:tc>
          <w:tcPr>
            <w:tcW w:w="20" w:type="dxa"/>
            <w:vAlign w:val="bottom"/>
            <w:tcBorders>
              <w:top w:val="single" w:sz="8" w:color="DBDBDB"/>
              <w:bottom w:val="single" w:sz="8" w:color="auto"/>
            </w:tcBorders>
            <w:shd w:val="clear" w:color="auto" w:fill="DBDBDB"/>
          </w:tcPr>
          <w:p>
            <w:pPr>
              <w:spacing w:after="0"/>
              <w:rPr>
                <w:sz w:val="17"/>
                <w:szCs w:val="17"/>
                <w:color w:val="auto"/>
              </w:rPr>
            </w:pPr>
          </w:p>
        </w:tc>
        <w:tc>
          <w:tcPr>
            <w:tcW w:w="40" w:type="dxa"/>
            <w:vAlign w:val="bottom"/>
            <w:tcBorders>
              <w:top w:val="single" w:sz="8" w:color="DBDBDB"/>
              <w:bottom w:val="single" w:sz="8" w:color="auto"/>
            </w:tcBorders>
            <w:shd w:val="clear" w:color="auto" w:fill="DBDBDB"/>
          </w:tcPr>
          <w:p>
            <w:pPr>
              <w:spacing w:after="0"/>
              <w:rPr>
                <w:sz w:val="17"/>
                <w:szCs w:val="17"/>
                <w:color w:val="auto"/>
              </w:rPr>
            </w:pPr>
          </w:p>
        </w:tc>
        <w:tc>
          <w:tcPr>
            <w:tcW w:w="1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800" w:type="dxa"/>
            <w:vAlign w:val="bottom"/>
            <w:tcBorders>
              <w:top w:val="single" w:sz="8" w:color="DBDBDB"/>
              <w:bottom w:val="single" w:sz="8" w:color="auto"/>
            </w:tcBorders>
            <w:shd w:val="clear" w:color="auto" w:fill="DBDBDB"/>
          </w:tcPr>
          <w:p>
            <w:pPr>
              <w:spacing w:after="0"/>
              <w:rPr>
                <w:sz w:val="17"/>
                <w:szCs w:val="17"/>
                <w:color w:val="auto"/>
              </w:rPr>
            </w:pPr>
          </w:p>
        </w:tc>
        <w:tc>
          <w:tcPr>
            <w:tcW w:w="980" w:type="dxa"/>
            <w:vAlign w:val="bottom"/>
            <w:tcBorders>
              <w:top w:val="single" w:sz="8" w:color="DBDBDB"/>
              <w:bottom w:val="single" w:sz="8" w:color="auto"/>
            </w:tcBorders>
            <w:shd w:val="clear" w:color="auto" w:fill="DBDBDB"/>
          </w:tcPr>
          <w:p>
            <w:pPr>
              <w:spacing w:after="0"/>
              <w:rPr>
                <w:sz w:val="17"/>
                <w:szCs w:val="17"/>
                <w:color w:val="auto"/>
              </w:rPr>
            </w:pPr>
          </w:p>
        </w:tc>
        <w:tc>
          <w:tcPr>
            <w:tcW w:w="2260" w:type="dxa"/>
            <w:vAlign w:val="bottom"/>
            <w:tcBorders>
              <w:top w:val="single" w:sz="8" w:color="DBDBDB"/>
              <w:bottom w:val="single" w:sz="8" w:color="auto"/>
            </w:tcBorders>
            <w:shd w:val="clear" w:color="auto" w:fill="DBDBDB"/>
          </w:tcPr>
          <w:p>
            <w:pPr>
              <w:spacing w:after="0"/>
              <w:rPr>
                <w:sz w:val="17"/>
                <w:szCs w:val="17"/>
                <w:color w:val="auto"/>
              </w:rPr>
            </w:pPr>
          </w:p>
        </w:tc>
        <w:tc>
          <w:tcPr>
            <w:tcW w:w="152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960" w:type="dxa"/>
            <w:vAlign w:val="bottom"/>
            <w:tcBorders>
              <w:top w:val="single" w:sz="8" w:color="DBDBDB"/>
              <w:bottom w:val="single" w:sz="8" w:color="auto"/>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60" w:name="page61"/>
    <w:bookmarkEnd w:id="60"/>
    <w:tbl>
      <w:tblPr>
        <w:tblLayout w:type="fixed"/>
        <w:tblInd w:w="10" w:type="dxa"/>
        <w:tblCellMar>
          <w:top w:w="0" w:type="dxa"/>
          <w:left w:w="0" w:type="dxa"/>
          <w:bottom w:w="0" w:type="dxa"/>
          <w:right w:w="0" w:type="dxa"/>
        </w:tblCellMar>
      </w:tblPr>
      <w:tr>
        <w:trPr>
          <w:trHeight w:val="256"/>
        </w:trPr>
        <w:tc>
          <w:tcPr>
            <w:tcW w:w="1140" w:type="dxa"/>
            <w:vAlign w:val="bottom"/>
            <w:tcBorders>
              <w:top w:val="single" w:sz="8" w:color="auto"/>
              <w:left w:val="single" w:sz="8" w:color="auto"/>
              <w:right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right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22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1580" w:type="dxa"/>
            <w:vAlign w:val="bottom"/>
            <w:tcBorders>
              <w:top w:val="single" w:sz="8" w:color="auto"/>
              <w:bottom w:val="single" w:sz="8" w:color="auto"/>
              <w:right w:val="single" w:sz="8" w:color="auto"/>
            </w:tcBorders>
          </w:tcPr>
          <w:p>
            <w:pPr>
              <w:spacing w:after="0"/>
              <w:rPr>
                <w:sz w:val="22"/>
                <w:szCs w:val="22"/>
                <w:color w:val="auto"/>
              </w:rPr>
            </w:pPr>
          </w:p>
        </w:tc>
        <w:tc>
          <w:tcPr>
            <w:tcW w:w="9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48"/>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Designation of</w:t>
            </w: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vMerge w:val="continue"/>
          </w:tcPr>
          <w:p>
            <w:pPr>
              <w:spacing w:after="0"/>
              <w:rPr>
                <w:sz w:val="11"/>
                <w:szCs w:val="11"/>
                <w:color w:val="auto"/>
              </w:rPr>
            </w:pPr>
          </w:p>
        </w:tc>
        <w:tc>
          <w:tcPr>
            <w:tcW w:w="3580" w:type="dxa"/>
            <w:vAlign w:val="bottom"/>
            <w:tcBorders>
              <w:right w:val="single" w:sz="8" w:color="auto"/>
            </w:tcBorders>
            <w:gridSpan w:val="14"/>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2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 of Filing</w:t>
            </w:r>
          </w:p>
        </w:tc>
        <w:tc>
          <w:tcPr>
            <w:tcW w:w="15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Exhibit Number</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Exhibit</w:t>
            </w:r>
          </w:p>
        </w:tc>
        <w:tc>
          <w:tcPr>
            <w:tcW w:w="3580" w:type="dxa"/>
            <w:vAlign w:val="bottom"/>
            <w:tcBorders>
              <w:bottom w:val="single" w:sz="8" w:color="auto"/>
              <w:right w:val="single" w:sz="8" w:color="auto"/>
            </w:tcBorders>
            <w:gridSpan w:val="14"/>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20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10(j)</w:t>
            </w:r>
          </w:p>
        </w:tc>
        <w:tc>
          <w:tcPr>
            <w:tcW w:w="3580" w:type="dxa"/>
            <w:vAlign w:val="bottom"/>
            <w:tcBorders>
              <w:right w:val="single" w:sz="8" w:color="auto"/>
            </w:tcBorders>
            <w:gridSpan w:val="14"/>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Texas Instruments 2018 Director</w:t>
              </w:r>
            </w:hyperlink>
          </w:p>
        </w:tc>
        <w:tc>
          <w:tcPr>
            <w:tcW w:w="620" w:type="dxa"/>
            <w:vAlign w:val="bottom"/>
          </w:tcPr>
          <w:p>
            <w:pPr>
              <w:spacing w:after="0" w:line="182" w:lineRule="exact"/>
              <w:rPr>
                <w:sz w:val="20"/>
                <w:szCs w:val="20"/>
                <w:color w:val="auto"/>
              </w:rPr>
            </w:pPr>
            <w:r>
              <w:rPr>
                <w:rFonts w:ascii="Arial" w:cs="Arial" w:eastAsia="Arial" w:hAnsi="Arial"/>
                <w:sz w:val="18"/>
                <w:szCs w:val="18"/>
                <w:color w:val="auto"/>
              </w:rPr>
              <w:t>10-K</w:t>
            </w:r>
          </w:p>
        </w:tc>
        <w:tc>
          <w:tcPr>
            <w:tcW w:w="1160" w:type="dxa"/>
            <w:vAlign w:val="bottom"/>
          </w:tcPr>
          <w:p>
            <w:pPr>
              <w:ind w:left="240"/>
              <w:spacing w:after="0" w:line="182" w:lineRule="exact"/>
              <w:rPr>
                <w:sz w:val="20"/>
                <w:szCs w:val="20"/>
                <w:color w:val="auto"/>
              </w:rPr>
            </w:pPr>
            <w:r>
              <w:rPr>
                <w:rFonts w:ascii="Arial" w:cs="Arial" w:eastAsia="Arial" w:hAnsi="Arial"/>
                <w:sz w:val="18"/>
                <w:szCs w:val="18"/>
                <w:color w:val="auto"/>
              </w:rPr>
              <w:t>001-3761</w:t>
            </w:r>
          </w:p>
        </w:tc>
        <w:tc>
          <w:tcPr>
            <w:tcW w:w="2200" w:type="dxa"/>
            <w:vAlign w:val="bottom"/>
          </w:tcPr>
          <w:p>
            <w:pPr>
              <w:ind w:left="360"/>
              <w:spacing w:after="0" w:line="182" w:lineRule="exact"/>
              <w:rPr>
                <w:sz w:val="20"/>
                <w:szCs w:val="20"/>
                <w:color w:val="auto"/>
              </w:rPr>
            </w:pPr>
            <w:r>
              <w:rPr>
                <w:rFonts w:ascii="Arial" w:cs="Arial" w:eastAsia="Arial" w:hAnsi="Arial"/>
                <w:sz w:val="18"/>
                <w:szCs w:val="18"/>
                <w:color w:val="auto"/>
              </w:rPr>
              <w:t>February 20, 2020</w:t>
            </w:r>
          </w:p>
        </w:tc>
        <w:tc>
          <w:tcPr>
            <w:tcW w:w="1580" w:type="dxa"/>
            <w:vAlign w:val="bottom"/>
            <w:tcBorders>
              <w:right w:val="single" w:sz="8" w:color="auto"/>
            </w:tcBorders>
          </w:tcPr>
          <w:p>
            <w:pPr>
              <w:ind w:left="320"/>
              <w:spacing w:after="0" w:line="182" w:lineRule="exact"/>
              <w:rPr>
                <w:sz w:val="20"/>
                <w:szCs w:val="20"/>
                <w:color w:val="auto"/>
              </w:rPr>
            </w:pPr>
            <w:r>
              <w:rPr>
                <w:rFonts w:ascii="Arial" w:cs="Arial" w:eastAsia="Arial" w:hAnsi="Arial"/>
                <w:sz w:val="18"/>
                <w:szCs w:val="18"/>
                <w:color w:val="auto"/>
              </w:rPr>
              <w:t>10(k)</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spacing w:after="0"/>
              <w:rPr>
                <w:sz w:val="13"/>
                <w:szCs w:val="13"/>
                <w:color w:val="auto"/>
              </w:rPr>
            </w:pPr>
          </w:p>
        </w:tc>
        <w:tc>
          <w:tcPr>
            <w:tcW w:w="2600" w:type="dxa"/>
            <w:vAlign w:val="bottom"/>
            <w:tcBorders>
              <w:top w:val="single" w:sz="8" w:color="0000FF"/>
            </w:tcBorders>
            <w:gridSpan w:val="6"/>
          </w:tcPr>
          <w:p>
            <w:pPr>
              <w:spacing w:after="0" w:line="157" w:lineRule="exact"/>
              <w:rPr>
                <w:rFonts w:ascii="Arial" w:cs="Arial" w:eastAsia="Arial" w:hAnsi="Arial"/>
                <w:sz w:val="18"/>
                <w:szCs w:val="18"/>
                <w:color w:val="0000FF"/>
                <w:w w:val="98"/>
              </w:rPr>
            </w:pPr>
            <w:hyperlink r:id="rId103">
              <w:r>
                <w:rPr>
                  <w:rFonts w:ascii="Arial" w:cs="Arial" w:eastAsia="Arial" w:hAnsi="Arial"/>
                  <w:sz w:val="18"/>
                  <w:szCs w:val="18"/>
                  <w:color w:val="0000FF"/>
                  <w:w w:val="98"/>
                </w:rPr>
                <w:t>Compensation Plan as amended</w:t>
              </w:r>
            </w:hyperlink>
          </w:p>
        </w:tc>
        <w:tc>
          <w:tcPr>
            <w:tcW w:w="980" w:type="dxa"/>
            <w:vAlign w:val="bottom"/>
            <w:tcBorders>
              <w:right w:val="single" w:sz="8" w:color="auto"/>
            </w:tcBorders>
            <w:gridSpan w:val="8"/>
          </w:tcPr>
          <w:p>
            <w:pPr>
              <w:ind w:left="60"/>
              <w:spacing w:after="0" w:line="157" w:lineRule="exact"/>
              <w:rPr>
                <w:rFonts w:ascii="Arial" w:cs="Arial" w:eastAsia="Arial" w:hAnsi="Arial"/>
                <w:sz w:val="18"/>
                <w:szCs w:val="18"/>
                <w:color w:val="0000FF"/>
              </w:rPr>
            </w:pPr>
            <w:hyperlink r:id="rId103">
              <w:r>
                <w:rPr>
                  <w:rFonts w:ascii="Arial" w:cs="Arial" w:eastAsia="Arial" w:hAnsi="Arial"/>
                  <w:sz w:val="18"/>
                  <w:szCs w:val="18"/>
                  <w:color w:val="0000FF"/>
                </w:rPr>
                <w:t>December</w:t>
              </w:r>
            </w:hyperlink>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auto"/>
              <w:right w:val="single" w:sz="8" w:color="auto"/>
            </w:tcBorders>
          </w:tcPr>
          <w:p>
            <w:pPr>
              <w:spacing w:after="0"/>
              <w:rPr>
                <w:sz w:val="13"/>
                <w:szCs w:val="13"/>
                <w:color w:val="auto"/>
              </w:rPr>
            </w:pPr>
          </w:p>
        </w:tc>
        <w:tc>
          <w:tcPr>
            <w:tcW w:w="130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5, 2019</w:t>
              </w:r>
            </w:hyperlink>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21</w:t>
            </w:r>
          </w:p>
        </w:tc>
        <w:tc>
          <w:tcPr>
            <w:tcW w:w="3580" w:type="dxa"/>
            <w:vAlign w:val="bottom"/>
            <w:tcBorders>
              <w:bottom w:val="single" w:sz="8" w:color="auto"/>
              <w:right w:val="single" w:sz="8" w:color="auto"/>
            </w:tcBorders>
            <w:gridSpan w:val="14"/>
            <w:shd w:val="clear" w:color="auto" w:fill="DBDBDB"/>
          </w:tcPr>
          <w:p>
            <w:pPr>
              <w:spacing w:after="0" w:line="182" w:lineRule="exact"/>
              <w:rPr>
                <w:rFonts w:ascii="Arial" w:cs="Arial" w:eastAsia="Arial" w:hAnsi="Arial"/>
                <w:sz w:val="18"/>
                <w:szCs w:val="18"/>
                <w:color w:val="0000FF"/>
              </w:rPr>
            </w:pPr>
            <w:hyperlink w:anchor="page66">
              <w:r>
                <w:rPr>
                  <w:rFonts w:ascii="Arial" w:cs="Arial" w:eastAsia="Arial" w:hAnsi="Arial"/>
                  <w:sz w:val="18"/>
                  <w:szCs w:val="18"/>
                  <w:color w:val="0000FF"/>
                </w:rPr>
                <w:t>List of Subsidiaries of the Registrant</w:t>
              </w:r>
            </w:hyperlink>
          </w:p>
        </w:tc>
        <w:tc>
          <w:tcPr>
            <w:tcW w:w="62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23</w:t>
            </w:r>
          </w:p>
        </w:tc>
        <w:tc>
          <w:tcPr>
            <w:tcW w:w="3580" w:type="dxa"/>
            <w:vAlign w:val="bottom"/>
            <w:tcBorders>
              <w:right w:val="single" w:sz="8" w:color="auto"/>
            </w:tcBorders>
            <w:gridSpan w:val="14"/>
          </w:tcPr>
          <w:p>
            <w:pPr>
              <w:spacing w:after="0" w:line="182" w:lineRule="exact"/>
              <w:rPr>
                <w:rFonts w:ascii="Arial" w:cs="Arial" w:eastAsia="Arial" w:hAnsi="Arial"/>
                <w:sz w:val="18"/>
                <w:szCs w:val="18"/>
                <w:color w:val="0000FF"/>
              </w:rPr>
            </w:pPr>
            <w:hyperlink w:anchor="page68">
              <w:r>
                <w:rPr>
                  <w:rFonts w:ascii="Arial" w:cs="Arial" w:eastAsia="Arial" w:hAnsi="Arial"/>
                  <w:sz w:val="18"/>
                  <w:szCs w:val="18"/>
                  <w:color w:val="0000FF"/>
                </w:rPr>
                <w:t>Consent of Independent Registered Public</w:t>
              </w:r>
            </w:hyperlink>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02"/>
        </w:trPr>
        <w:tc>
          <w:tcPr>
            <w:tcW w:w="1140" w:type="dxa"/>
            <w:vAlign w:val="bottom"/>
            <w:tcBorders>
              <w:left w:val="single" w:sz="8" w:color="auto"/>
              <w:right w:val="single" w:sz="8" w:color="auto"/>
            </w:tcBorders>
          </w:tcPr>
          <w:p>
            <w:pPr>
              <w:spacing w:after="0"/>
              <w:rPr>
                <w:sz w:val="8"/>
                <w:szCs w:val="8"/>
                <w:color w:val="auto"/>
              </w:rPr>
            </w:pPr>
          </w:p>
        </w:tc>
        <w:tc>
          <w:tcPr>
            <w:tcW w:w="3380" w:type="dxa"/>
            <w:vAlign w:val="bottom"/>
            <w:tcBorders>
              <w:top w:val="single" w:sz="8" w:color="0000FF"/>
            </w:tcBorders>
            <w:gridSpan w:val="12"/>
            <w:vMerge w:val="restart"/>
          </w:tcPr>
          <w:p>
            <w:pPr>
              <w:spacing w:after="0" w:line="156" w:lineRule="exact"/>
              <w:rPr>
                <w:rFonts w:ascii="Arial" w:cs="Arial" w:eastAsia="Arial" w:hAnsi="Arial"/>
                <w:sz w:val="18"/>
                <w:szCs w:val="18"/>
                <w:color w:val="0000FF"/>
              </w:rPr>
            </w:pPr>
            <w:hyperlink w:anchor="page68">
              <w:r>
                <w:rPr>
                  <w:rFonts w:ascii="Arial" w:cs="Arial" w:eastAsia="Arial" w:hAnsi="Arial"/>
                  <w:sz w:val="18"/>
                  <w:szCs w:val="18"/>
                  <w:color w:val="0000FF"/>
                </w:rPr>
                <w:t>Accounting Firm</w:t>
              </w:r>
            </w:hyperlink>
          </w:p>
        </w:tc>
        <w:tc>
          <w:tcPr>
            <w:tcW w:w="200" w:type="dxa"/>
            <w:vAlign w:val="bottom"/>
            <w:tcBorders>
              <w:right w:val="single" w:sz="8" w:color="auto"/>
            </w:tcBorders>
            <w:gridSpan w:val="2"/>
            <w:vMerge w:val="restart"/>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auto"/>
              <w:right w:val="single" w:sz="8" w:color="auto"/>
            </w:tcBorders>
          </w:tcPr>
          <w:p>
            <w:pPr>
              <w:spacing w:after="0"/>
              <w:rPr>
                <w:sz w:val="4"/>
                <w:szCs w:val="4"/>
                <w:color w:val="auto"/>
              </w:rPr>
            </w:pPr>
          </w:p>
        </w:tc>
        <w:tc>
          <w:tcPr>
            <w:tcW w:w="3380" w:type="dxa"/>
            <w:vAlign w:val="bottom"/>
            <w:gridSpan w:val="12"/>
            <w:vMerge w:val="continue"/>
          </w:tcPr>
          <w:p>
            <w:pPr>
              <w:spacing w:after="0"/>
              <w:rPr>
                <w:sz w:val="4"/>
                <w:szCs w:val="4"/>
                <w:color w:val="auto"/>
              </w:rPr>
            </w:pPr>
          </w:p>
        </w:tc>
        <w:tc>
          <w:tcPr>
            <w:tcW w:w="200" w:type="dxa"/>
            <w:vAlign w:val="bottom"/>
            <w:tcBorders>
              <w:right w:val="single" w:sz="8" w:color="auto"/>
            </w:tcBorders>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bottom w:val="single" w:sz="8" w:color="DBDBDB"/>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31(a)</w:t>
            </w:r>
          </w:p>
        </w:tc>
        <w:tc>
          <w:tcPr>
            <w:tcW w:w="3300" w:type="dxa"/>
            <w:vAlign w:val="bottom"/>
            <w:tcBorders>
              <w:bottom w:val="single" w:sz="8" w:color="0000FF"/>
            </w:tcBorders>
            <w:gridSpan w:val="10"/>
            <w:shd w:val="clear" w:color="auto" w:fill="DBDBDB"/>
          </w:tcPr>
          <w:p>
            <w:pPr>
              <w:spacing w:after="0" w:line="182" w:lineRule="exact"/>
              <w:rPr>
                <w:rFonts w:ascii="Arial" w:cs="Arial" w:eastAsia="Arial" w:hAnsi="Arial"/>
                <w:sz w:val="18"/>
                <w:szCs w:val="18"/>
                <w:color w:val="0000FF"/>
                <w:w w:val="99"/>
              </w:rPr>
            </w:pPr>
            <w:hyperlink w:anchor="page69">
              <w:r>
                <w:rPr>
                  <w:rFonts w:ascii="Arial" w:cs="Arial" w:eastAsia="Arial" w:hAnsi="Arial"/>
                  <w:sz w:val="18"/>
                  <w:szCs w:val="18"/>
                  <w:color w:val="0000FF"/>
                  <w:w w:val="99"/>
                </w:rPr>
                <w:t>Rule 13a-14(aRule 13a-14(a)/15(d)-14(a)</w:t>
              </w:r>
            </w:hyperlink>
          </w:p>
        </w:tc>
        <w:tc>
          <w:tcPr>
            <w:tcW w:w="280" w:type="dxa"/>
            <w:vAlign w:val="bottom"/>
            <w:tcBorders>
              <w:bottom w:val="single" w:sz="8" w:color="DBDBDB"/>
              <w:right w:val="single" w:sz="8" w:color="auto"/>
            </w:tcBorders>
            <w:gridSpan w:val="4"/>
            <w:shd w:val="clear" w:color="auto" w:fill="DBDBDB"/>
          </w:tcPr>
          <w:p>
            <w:pPr>
              <w:spacing w:after="0"/>
              <w:rPr>
                <w:sz w:val="15"/>
                <w:szCs w:val="15"/>
                <w:color w:val="auto"/>
              </w:rPr>
            </w:pPr>
          </w:p>
        </w:tc>
        <w:tc>
          <w:tcPr>
            <w:tcW w:w="62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c>
          <w:tcPr>
            <w:tcW w:w="2200" w:type="dxa"/>
            <w:vAlign w:val="bottom"/>
            <w:tcBorders>
              <w:bottom w:val="single" w:sz="8" w:color="DBDBDB"/>
            </w:tcBorders>
            <w:shd w:val="clear" w:color="auto" w:fill="DBDBDB"/>
          </w:tcPr>
          <w:p>
            <w:pPr>
              <w:spacing w:after="0"/>
              <w:rPr>
                <w:sz w:val="15"/>
                <w:szCs w:val="15"/>
                <w:color w:val="auto"/>
              </w:rPr>
            </w:pPr>
          </w:p>
        </w:tc>
        <w:tc>
          <w:tcPr>
            <w:tcW w:w="1580" w:type="dxa"/>
            <w:vAlign w:val="bottom"/>
            <w:tcBorders>
              <w:bottom w:val="single" w:sz="8" w:color="DBDBDB"/>
              <w:right w:val="single" w:sz="8" w:color="auto"/>
            </w:tcBorders>
            <w:shd w:val="clear" w:color="auto" w:fill="DBDBDB"/>
          </w:tcPr>
          <w:p>
            <w:pPr>
              <w:spacing w:after="0"/>
              <w:rPr>
                <w:sz w:val="15"/>
                <w:szCs w:val="15"/>
                <w:color w:val="auto"/>
              </w:rPr>
            </w:pPr>
          </w:p>
        </w:tc>
        <w:tc>
          <w:tcPr>
            <w:tcW w:w="960" w:type="dxa"/>
            <w:vAlign w:val="bottom"/>
            <w:tcBorders>
              <w:bottom w:val="single" w:sz="8" w:color="DBDBDB"/>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02"/>
        </w:trPr>
        <w:tc>
          <w:tcPr>
            <w:tcW w:w="1140" w:type="dxa"/>
            <w:vAlign w:val="bottom"/>
            <w:tcBorders>
              <w:left w:val="single" w:sz="8" w:color="auto"/>
              <w:right w:val="single" w:sz="8" w:color="auto"/>
            </w:tcBorders>
            <w:shd w:val="clear" w:color="auto" w:fill="DBDBDB"/>
          </w:tcPr>
          <w:p>
            <w:pPr>
              <w:spacing w:after="0"/>
              <w:rPr>
                <w:sz w:val="8"/>
                <w:szCs w:val="8"/>
                <w:color w:val="auto"/>
              </w:rPr>
            </w:pPr>
          </w:p>
        </w:tc>
        <w:tc>
          <w:tcPr>
            <w:tcW w:w="3580" w:type="dxa"/>
            <w:vAlign w:val="bottom"/>
            <w:tcBorders>
              <w:right w:val="single" w:sz="8" w:color="auto"/>
            </w:tcBorders>
            <w:gridSpan w:val="14"/>
            <w:vMerge w:val="restart"/>
            <w:shd w:val="clear" w:color="auto" w:fill="DBDBDB"/>
          </w:tcPr>
          <w:p>
            <w:pPr>
              <w:spacing w:after="0" w:line="156" w:lineRule="exact"/>
              <w:rPr>
                <w:rFonts w:ascii="Arial" w:cs="Arial" w:eastAsia="Arial" w:hAnsi="Arial"/>
                <w:sz w:val="18"/>
                <w:szCs w:val="18"/>
                <w:color w:val="0000FF"/>
              </w:rPr>
            </w:pPr>
            <w:hyperlink w:anchor="page69">
              <w:r>
                <w:rPr>
                  <w:rFonts w:ascii="Arial" w:cs="Arial" w:eastAsia="Arial" w:hAnsi="Arial"/>
                  <w:sz w:val="18"/>
                  <w:szCs w:val="18"/>
                  <w:color w:val="0000FF"/>
                </w:rPr>
                <w:t>Certification of Chief Executive Officer</w:t>
              </w:r>
            </w:hyperlink>
          </w:p>
        </w:tc>
        <w:tc>
          <w:tcPr>
            <w:tcW w:w="620" w:type="dxa"/>
            <w:vAlign w:val="bottom"/>
            <w:shd w:val="clear" w:color="auto" w:fill="DBDBDB"/>
          </w:tcPr>
          <w:p>
            <w:pPr>
              <w:spacing w:after="0"/>
              <w:rPr>
                <w:sz w:val="8"/>
                <w:szCs w:val="8"/>
                <w:color w:val="auto"/>
              </w:rPr>
            </w:pPr>
          </w:p>
        </w:tc>
        <w:tc>
          <w:tcPr>
            <w:tcW w:w="1160" w:type="dxa"/>
            <w:vAlign w:val="bottom"/>
            <w:shd w:val="clear" w:color="auto" w:fill="DBDBDB"/>
          </w:tcPr>
          <w:p>
            <w:pPr>
              <w:spacing w:after="0"/>
              <w:rPr>
                <w:sz w:val="8"/>
                <w:szCs w:val="8"/>
                <w:color w:val="auto"/>
              </w:rPr>
            </w:pPr>
          </w:p>
        </w:tc>
        <w:tc>
          <w:tcPr>
            <w:tcW w:w="2200" w:type="dxa"/>
            <w:vAlign w:val="bottom"/>
            <w:shd w:val="clear" w:color="auto" w:fill="DBDBDB"/>
          </w:tcPr>
          <w:p>
            <w:pPr>
              <w:spacing w:after="0"/>
              <w:rPr>
                <w:sz w:val="8"/>
                <w:szCs w:val="8"/>
                <w:color w:val="auto"/>
              </w:rPr>
            </w:pPr>
          </w:p>
        </w:tc>
        <w:tc>
          <w:tcPr>
            <w:tcW w:w="1580" w:type="dxa"/>
            <w:vAlign w:val="bottom"/>
            <w:tcBorders>
              <w:right w:val="single" w:sz="8" w:color="auto"/>
            </w:tcBorders>
            <w:shd w:val="clear" w:color="auto" w:fill="DBDBDB"/>
          </w:tcPr>
          <w:p>
            <w:pPr>
              <w:spacing w:after="0"/>
              <w:rPr>
                <w:sz w:val="8"/>
                <w:szCs w:val="8"/>
                <w:color w:val="auto"/>
              </w:rPr>
            </w:pPr>
          </w:p>
        </w:tc>
        <w:tc>
          <w:tcPr>
            <w:tcW w:w="960" w:type="dxa"/>
            <w:vAlign w:val="bottom"/>
            <w:tcBorders>
              <w:right w:val="single" w:sz="8" w:color="auto"/>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40" w:type="dxa"/>
            <w:vAlign w:val="bottom"/>
            <w:tcBorders>
              <w:left w:val="single" w:sz="8" w:color="auto"/>
              <w:bottom w:val="single" w:sz="8" w:color="auto"/>
              <w:right w:val="single" w:sz="8" w:color="auto"/>
            </w:tcBorders>
            <w:shd w:val="clear" w:color="auto" w:fill="DBDBDB"/>
          </w:tcPr>
          <w:p>
            <w:pPr>
              <w:spacing w:after="0"/>
              <w:rPr>
                <w:sz w:val="8"/>
                <w:szCs w:val="8"/>
                <w:color w:val="auto"/>
              </w:rPr>
            </w:pPr>
          </w:p>
        </w:tc>
        <w:tc>
          <w:tcPr>
            <w:tcW w:w="3580" w:type="dxa"/>
            <w:vAlign w:val="bottom"/>
            <w:tcBorders>
              <w:bottom w:val="single" w:sz="8" w:color="auto"/>
              <w:right w:val="single" w:sz="8" w:color="auto"/>
            </w:tcBorders>
            <w:gridSpan w:val="14"/>
            <w:vMerge w:val="continue"/>
            <w:shd w:val="clear" w:color="auto" w:fill="DBDBDB"/>
          </w:tcPr>
          <w:p>
            <w:pPr>
              <w:spacing w:after="0"/>
              <w:rPr>
                <w:sz w:val="8"/>
                <w:szCs w:val="8"/>
                <w:color w:val="auto"/>
              </w:rPr>
            </w:pPr>
          </w:p>
        </w:tc>
        <w:tc>
          <w:tcPr>
            <w:tcW w:w="620" w:type="dxa"/>
            <w:vAlign w:val="bottom"/>
            <w:tcBorders>
              <w:bottom w:val="single" w:sz="8" w:color="auto"/>
            </w:tcBorders>
            <w:shd w:val="clear" w:color="auto" w:fill="DBDBDB"/>
          </w:tcPr>
          <w:p>
            <w:pPr>
              <w:spacing w:after="0"/>
              <w:rPr>
                <w:sz w:val="8"/>
                <w:szCs w:val="8"/>
                <w:color w:val="auto"/>
              </w:rPr>
            </w:pPr>
          </w:p>
        </w:tc>
        <w:tc>
          <w:tcPr>
            <w:tcW w:w="1160" w:type="dxa"/>
            <w:vAlign w:val="bottom"/>
            <w:tcBorders>
              <w:bottom w:val="single" w:sz="8" w:color="auto"/>
            </w:tcBorders>
            <w:shd w:val="clear" w:color="auto" w:fill="DBDBDB"/>
          </w:tcPr>
          <w:p>
            <w:pPr>
              <w:spacing w:after="0"/>
              <w:rPr>
                <w:sz w:val="8"/>
                <w:szCs w:val="8"/>
                <w:color w:val="auto"/>
              </w:rPr>
            </w:pPr>
          </w:p>
        </w:tc>
        <w:tc>
          <w:tcPr>
            <w:tcW w:w="2200" w:type="dxa"/>
            <w:vAlign w:val="bottom"/>
            <w:tcBorders>
              <w:bottom w:val="single" w:sz="8" w:color="auto"/>
            </w:tcBorders>
            <w:shd w:val="clear" w:color="auto" w:fill="DBDBDB"/>
          </w:tcPr>
          <w:p>
            <w:pPr>
              <w:spacing w:after="0"/>
              <w:rPr>
                <w:sz w:val="8"/>
                <w:szCs w:val="8"/>
                <w:color w:val="auto"/>
              </w:rPr>
            </w:pPr>
          </w:p>
        </w:tc>
        <w:tc>
          <w:tcPr>
            <w:tcW w:w="1580" w:type="dxa"/>
            <w:vAlign w:val="bottom"/>
            <w:tcBorders>
              <w:bottom w:val="single" w:sz="8" w:color="auto"/>
              <w:right w:val="single" w:sz="8" w:color="auto"/>
            </w:tcBorders>
            <w:shd w:val="clear" w:color="auto" w:fill="DBDBDB"/>
          </w:tcPr>
          <w:p>
            <w:pPr>
              <w:spacing w:after="0"/>
              <w:rPr>
                <w:sz w:val="8"/>
                <w:szCs w:val="8"/>
                <w:color w:val="auto"/>
              </w:rPr>
            </w:pPr>
          </w:p>
        </w:tc>
        <w:tc>
          <w:tcPr>
            <w:tcW w:w="960" w:type="dxa"/>
            <w:vAlign w:val="bottom"/>
            <w:tcBorders>
              <w:bottom w:val="single" w:sz="8" w:color="auto"/>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31(b)</w:t>
            </w:r>
          </w:p>
        </w:tc>
        <w:tc>
          <w:tcPr>
            <w:tcW w:w="336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w:anchor="page70">
              <w:r>
                <w:rPr>
                  <w:rFonts w:ascii="Arial" w:cs="Arial" w:eastAsia="Arial" w:hAnsi="Arial"/>
                  <w:sz w:val="18"/>
                  <w:szCs w:val="18"/>
                  <w:color w:val="0000FF"/>
                  <w:w w:val="99"/>
                </w:rPr>
                <w:t>Rule 13a-14(a)/15(d)-14(a) Certification of</w:t>
              </w:r>
            </w:hyperlink>
          </w:p>
        </w:tc>
        <w:tc>
          <w:tcPr>
            <w:tcW w:w="220" w:type="dxa"/>
            <w:vAlign w:val="bottom"/>
            <w:tcBorders>
              <w:right w:val="single" w:sz="8" w:color="auto"/>
            </w:tcBorders>
            <w:gridSpan w:val="3"/>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02"/>
        </w:trPr>
        <w:tc>
          <w:tcPr>
            <w:tcW w:w="1140" w:type="dxa"/>
            <w:vAlign w:val="bottom"/>
            <w:tcBorders>
              <w:left w:val="single" w:sz="8" w:color="auto"/>
              <w:right w:val="single" w:sz="8" w:color="auto"/>
            </w:tcBorders>
          </w:tcPr>
          <w:p>
            <w:pPr>
              <w:spacing w:after="0"/>
              <w:rPr>
                <w:sz w:val="8"/>
                <w:szCs w:val="8"/>
                <w:color w:val="auto"/>
              </w:rPr>
            </w:pPr>
          </w:p>
        </w:tc>
        <w:tc>
          <w:tcPr>
            <w:tcW w:w="3580" w:type="dxa"/>
            <w:vAlign w:val="bottom"/>
            <w:tcBorders>
              <w:right w:val="single" w:sz="8" w:color="auto"/>
            </w:tcBorders>
            <w:gridSpan w:val="14"/>
            <w:vMerge w:val="restart"/>
          </w:tcPr>
          <w:p>
            <w:pPr>
              <w:spacing w:after="0" w:line="156" w:lineRule="exact"/>
              <w:rPr>
                <w:rFonts w:ascii="Arial" w:cs="Arial" w:eastAsia="Arial" w:hAnsi="Arial"/>
                <w:sz w:val="18"/>
                <w:szCs w:val="18"/>
                <w:color w:val="0000FF"/>
              </w:rPr>
            </w:pPr>
            <w:hyperlink w:anchor="page70">
              <w:r>
                <w:rPr>
                  <w:rFonts w:ascii="Arial" w:cs="Arial" w:eastAsia="Arial" w:hAnsi="Arial"/>
                  <w:sz w:val="18"/>
                  <w:szCs w:val="18"/>
                  <w:color w:val="0000FF"/>
                </w:rPr>
                <w:t>Chief Financial Officer</w:t>
              </w:r>
            </w:hyperlink>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auto"/>
              <w:right w:val="single" w:sz="8" w:color="auto"/>
            </w:tcBorders>
          </w:tcPr>
          <w:p>
            <w:pPr>
              <w:spacing w:after="0"/>
              <w:rPr>
                <w:sz w:val="4"/>
                <w:szCs w:val="4"/>
                <w:color w:val="auto"/>
              </w:rPr>
            </w:pPr>
          </w:p>
        </w:tc>
        <w:tc>
          <w:tcPr>
            <w:tcW w:w="3580" w:type="dxa"/>
            <w:vAlign w:val="bottom"/>
            <w:tcBorders>
              <w:right w:val="single" w:sz="8" w:color="auto"/>
            </w:tcBorders>
            <w:gridSpan w:val="14"/>
            <w:vMerge w:val="continue"/>
          </w:tcPr>
          <w:p>
            <w:pPr>
              <w:spacing w:after="0"/>
              <w:rPr>
                <w:sz w:val="4"/>
                <w:szCs w:val="4"/>
                <w:color w:val="auto"/>
              </w:rPr>
            </w:pPr>
          </w:p>
        </w:tc>
        <w:tc>
          <w:tcPr>
            <w:tcW w:w="6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32(a)</w:t>
            </w:r>
          </w:p>
        </w:tc>
        <w:tc>
          <w:tcPr>
            <w:tcW w:w="3580" w:type="dxa"/>
            <w:vAlign w:val="bottom"/>
            <w:tcBorders>
              <w:right w:val="single" w:sz="8" w:color="auto"/>
            </w:tcBorders>
            <w:gridSpan w:val="14"/>
            <w:shd w:val="clear" w:color="auto" w:fill="DBDBDB"/>
          </w:tcPr>
          <w:p>
            <w:pPr>
              <w:spacing w:after="0" w:line="182" w:lineRule="exact"/>
              <w:rPr>
                <w:rFonts w:ascii="Arial" w:cs="Arial" w:eastAsia="Arial" w:hAnsi="Arial"/>
                <w:sz w:val="18"/>
                <w:szCs w:val="18"/>
                <w:color w:val="0000FF"/>
              </w:rPr>
            </w:pPr>
            <w:hyperlink w:anchor="page71">
              <w:r>
                <w:rPr>
                  <w:rFonts w:ascii="Arial" w:cs="Arial" w:eastAsia="Arial" w:hAnsi="Arial"/>
                  <w:sz w:val="18"/>
                  <w:szCs w:val="18"/>
                  <w:color w:val="0000FF"/>
                </w:rPr>
                <w:t>Section 1350 Certification of Chief</w:t>
              </w:r>
            </w:hyperlink>
          </w:p>
        </w:tc>
        <w:tc>
          <w:tcPr>
            <w:tcW w:w="62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58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02"/>
        </w:trPr>
        <w:tc>
          <w:tcPr>
            <w:tcW w:w="1140" w:type="dxa"/>
            <w:vAlign w:val="bottom"/>
            <w:tcBorders>
              <w:top w:val="single" w:sz="8" w:color="DBDBDB"/>
              <w:left w:val="single" w:sz="8" w:color="auto"/>
              <w:right w:val="single" w:sz="8" w:color="auto"/>
            </w:tcBorders>
            <w:shd w:val="clear" w:color="auto" w:fill="DBDBDB"/>
          </w:tcPr>
          <w:p>
            <w:pPr>
              <w:spacing w:after="0"/>
              <w:rPr>
                <w:sz w:val="8"/>
                <w:szCs w:val="8"/>
                <w:color w:val="auto"/>
              </w:rPr>
            </w:pPr>
          </w:p>
        </w:tc>
        <w:tc>
          <w:tcPr>
            <w:tcW w:w="2720" w:type="dxa"/>
            <w:vAlign w:val="bottom"/>
            <w:tcBorders>
              <w:top w:val="single" w:sz="8" w:color="0000FF"/>
            </w:tcBorders>
            <w:gridSpan w:val="7"/>
            <w:vMerge w:val="restart"/>
            <w:shd w:val="clear" w:color="auto" w:fill="DBDBDB"/>
          </w:tcPr>
          <w:p>
            <w:pPr>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Executive Officer</w:t>
              </w:r>
            </w:hyperlink>
          </w:p>
        </w:tc>
        <w:tc>
          <w:tcPr>
            <w:tcW w:w="860" w:type="dxa"/>
            <w:vAlign w:val="bottom"/>
            <w:tcBorders>
              <w:top w:val="single" w:sz="8" w:color="DBDBDB"/>
              <w:right w:val="single" w:sz="8" w:color="auto"/>
            </w:tcBorders>
            <w:gridSpan w:val="7"/>
            <w:vMerge w:val="restart"/>
            <w:shd w:val="clear" w:color="auto" w:fill="DBDBDB"/>
          </w:tcPr>
          <w:p>
            <w:pPr>
              <w:spacing w:after="0"/>
              <w:rPr>
                <w:sz w:val="8"/>
                <w:szCs w:val="8"/>
                <w:color w:val="auto"/>
              </w:rPr>
            </w:pPr>
          </w:p>
        </w:tc>
        <w:tc>
          <w:tcPr>
            <w:tcW w:w="620" w:type="dxa"/>
            <w:vAlign w:val="bottom"/>
            <w:tcBorders>
              <w:top w:val="single" w:sz="8" w:color="DBDBDB"/>
            </w:tcBorders>
            <w:shd w:val="clear" w:color="auto" w:fill="DBDBDB"/>
          </w:tcPr>
          <w:p>
            <w:pPr>
              <w:spacing w:after="0"/>
              <w:rPr>
                <w:sz w:val="8"/>
                <w:szCs w:val="8"/>
                <w:color w:val="auto"/>
              </w:rPr>
            </w:pPr>
          </w:p>
        </w:tc>
        <w:tc>
          <w:tcPr>
            <w:tcW w:w="1160" w:type="dxa"/>
            <w:vAlign w:val="bottom"/>
            <w:tcBorders>
              <w:top w:val="single" w:sz="8" w:color="DBDBDB"/>
            </w:tcBorders>
            <w:shd w:val="clear" w:color="auto" w:fill="DBDBDB"/>
          </w:tcPr>
          <w:p>
            <w:pPr>
              <w:spacing w:after="0"/>
              <w:rPr>
                <w:sz w:val="8"/>
                <w:szCs w:val="8"/>
                <w:color w:val="auto"/>
              </w:rPr>
            </w:pPr>
          </w:p>
        </w:tc>
        <w:tc>
          <w:tcPr>
            <w:tcW w:w="2200" w:type="dxa"/>
            <w:vAlign w:val="bottom"/>
            <w:tcBorders>
              <w:top w:val="single" w:sz="8" w:color="DBDBDB"/>
            </w:tcBorders>
            <w:shd w:val="clear" w:color="auto" w:fill="DBDBDB"/>
          </w:tcPr>
          <w:p>
            <w:pPr>
              <w:spacing w:after="0"/>
              <w:rPr>
                <w:sz w:val="8"/>
                <w:szCs w:val="8"/>
                <w:color w:val="auto"/>
              </w:rPr>
            </w:pPr>
          </w:p>
        </w:tc>
        <w:tc>
          <w:tcPr>
            <w:tcW w:w="1580" w:type="dxa"/>
            <w:vAlign w:val="bottom"/>
            <w:tcBorders>
              <w:top w:val="single" w:sz="8" w:color="DBDBDB"/>
              <w:right w:val="single" w:sz="8" w:color="auto"/>
            </w:tcBorders>
            <w:shd w:val="clear" w:color="auto" w:fill="DBDBDB"/>
          </w:tcPr>
          <w:p>
            <w:pPr>
              <w:spacing w:after="0"/>
              <w:rPr>
                <w:sz w:val="8"/>
                <w:szCs w:val="8"/>
                <w:color w:val="auto"/>
              </w:rPr>
            </w:pPr>
          </w:p>
        </w:tc>
        <w:tc>
          <w:tcPr>
            <w:tcW w:w="960" w:type="dxa"/>
            <w:vAlign w:val="bottom"/>
            <w:tcBorders>
              <w:top w:val="single" w:sz="8" w:color="DBDBDB"/>
              <w:right w:val="single" w:sz="8" w:color="auto"/>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40" w:type="dxa"/>
            <w:vAlign w:val="bottom"/>
            <w:tcBorders>
              <w:left w:val="single" w:sz="8" w:color="auto"/>
              <w:bottom w:val="single" w:sz="8" w:color="auto"/>
              <w:right w:val="single" w:sz="8" w:color="auto"/>
            </w:tcBorders>
            <w:shd w:val="clear" w:color="auto" w:fill="DBDBDB"/>
          </w:tcPr>
          <w:p>
            <w:pPr>
              <w:spacing w:after="0"/>
              <w:rPr>
                <w:sz w:val="8"/>
                <w:szCs w:val="8"/>
                <w:color w:val="auto"/>
              </w:rPr>
            </w:pPr>
          </w:p>
        </w:tc>
        <w:tc>
          <w:tcPr>
            <w:tcW w:w="2720" w:type="dxa"/>
            <w:vAlign w:val="bottom"/>
            <w:tcBorders>
              <w:bottom w:val="single" w:sz="8" w:color="auto"/>
            </w:tcBorders>
            <w:gridSpan w:val="7"/>
            <w:vMerge w:val="continue"/>
            <w:shd w:val="clear" w:color="auto" w:fill="DBDBDB"/>
          </w:tcPr>
          <w:p>
            <w:pPr>
              <w:spacing w:after="0"/>
              <w:rPr>
                <w:sz w:val="8"/>
                <w:szCs w:val="8"/>
                <w:color w:val="auto"/>
              </w:rPr>
            </w:pPr>
          </w:p>
        </w:tc>
        <w:tc>
          <w:tcPr>
            <w:tcW w:w="860" w:type="dxa"/>
            <w:vAlign w:val="bottom"/>
            <w:tcBorders>
              <w:bottom w:val="single" w:sz="8" w:color="auto"/>
              <w:right w:val="single" w:sz="8" w:color="auto"/>
            </w:tcBorders>
            <w:gridSpan w:val="7"/>
            <w:vMerge w:val="continue"/>
            <w:shd w:val="clear" w:color="auto" w:fill="DBDBDB"/>
          </w:tcPr>
          <w:p>
            <w:pPr>
              <w:spacing w:after="0"/>
              <w:rPr>
                <w:sz w:val="8"/>
                <w:szCs w:val="8"/>
                <w:color w:val="auto"/>
              </w:rPr>
            </w:pPr>
          </w:p>
        </w:tc>
        <w:tc>
          <w:tcPr>
            <w:tcW w:w="620" w:type="dxa"/>
            <w:vAlign w:val="bottom"/>
            <w:tcBorders>
              <w:bottom w:val="single" w:sz="8" w:color="auto"/>
            </w:tcBorders>
            <w:shd w:val="clear" w:color="auto" w:fill="DBDBDB"/>
          </w:tcPr>
          <w:p>
            <w:pPr>
              <w:spacing w:after="0"/>
              <w:rPr>
                <w:sz w:val="8"/>
                <w:szCs w:val="8"/>
                <w:color w:val="auto"/>
              </w:rPr>
            </w:pPr>
          </w:p>
        </w:tc>
        <w:tc>
          <w:tcPr>
            <w:tcW w:w="1160" w:type="dxa"/>
            <w:vAlign w:val="bottom"/>
            <w:tcBorders>
              <w:bottom w:val="single" w:sz="8" w:color="auto"/>
            </w:tcBorders>
            <w:shd w:val="clear" w:color="auto" w:fill="DBDBDB"/>
          </w:tcPr>
          <w:p>
            <w:pPr>
              <w:spacing w:after="0"/>
              <w:rPr>
                <w:sz w:val="8"/>
                <w:szCs w:val="8"/>
                <w:color w:val="auto"/>
              </w:rPr>
            </w:pPr>
          </w:p>
        </w:tc>
        <w:tc>
          <w:tcPr>
            <w:tcW w:w="2200" w:type="dxa"/>
            <w:vAlign w:val="bottom"/>
            <w:tcBorders>
              <w:bottom w:val="single" w:sz="8" w:color="auto"/>
            </w:tcBorders>
            <w:shd w:val="clear" w:color="auto" w:fill="DBDBDB"/>
          </w:tcPr>
          <w:p>
            <w:pPr>
              <w:spacing w:after="0"/>
              <w:rPr>
                <w:sz w:val="8"/>
                <w:szCs w:val="8"/>
                <w:color w:val="auto"/>
              </w:rPr>
            </w:pPr>
          </w:p>
        </w:tc>
        <w:tc>
          <w:tcPr>
            <w:tcW w:w="1580" w:type="dxa"/>
            <w:vAlign w:val="bottom"/>
            <w:tcBorders>
              <w:bottom w:val="single" w:sz="8" w:color="auto"/>
              <w:right w:val="single" w:sz="8" w:color="auto"/>
            </w:tcBorders>
            <w:shd w:val="clear" w:color="auto" w:fill="DBDBDB"/>
          </w:tcPr>
          <w:p>
            <w:pPr>
              <w:spacing w:after="0"/>
              <w:rPr>
                <w:sz w:val="8"/>
                <w:szCs w:val="8"/>
                <w:color w:val="auto"/>
              </w:rPr>
            </w:pPr>
          </w:p>
        </w:tc>
        <w:tc>
          <w:tcPr>
            <w:tcW w:w="960" w:type="dxa"/>
            <w:vAlign w:val="bottom"/>
            <w:tcBorders>
              <w:bottom w:val="single" w:sz="8" w:color="auto"/>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1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32(b)</w:t>
            </w:r>
          </w:p>
        </w:tc>
        <w:tc>
          <w:tcPr>
            <w:tcW w:w="350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Section 1350 Certification of Chief Financial</w:t>
              </w:r>
            </w:hyperlink>
          </w:p>
        </w:tc>
        <w:tc>
          <w:tcPr>
            <w:tcW w:w="8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02"/>
        </w:trPr>
        <w:tc>
          <w:tcPr>
            <w:tcW w:w="1140" w:type="dxa"/>
            <w:vAlign w:val="bottom"/>
            <w:tcBorders>
              <w:left w:val="single" w:sz="8" w:color="auto"/>
              <w:right w:val="single" w:sz="8" w:color="auto"/>
            </w:tcBorders>
          </w:tcPr>
          <w:p>
            <w:pPr>
              <w:spacing w:after="0"/>
              <w:rPr>
                <w:sz w:val="8"/>
                <w:szCs w:val="8"/>
                <w:color w:val="auto"/>
              </w:rPr>
            </w:pPr>
          </w:p>
        </w:tc>
        <w:tc>
          <w:tcPr>
            <w:tcW w:w="3580" w:type="dxa"/>
            <w:vAlign w:val="bottom"/>
            <w:tcBorders>
              <w:right w:val="single" w:sz="8" w:color="auto"/>
            </w:tcBorders>
            <w:gridSpan w:val="14"/>
            <w:vMerge w:val="restart"/>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Officer</w:t>
              </w:r>
            </w:hyperlink>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auto"/>
              <w:right w:val="single" w:sz="8" w:color="auto"/>
            </w:tcBorders>
          </w:tcPr>
          <w:p>
            <w:pPr>
              <w:spacing w:after="0"/>
              <w:rPr>
                <w:sz w:val="4"/>
                <w:szCs w:val="4"/>
                <w:color w:val="auto"/>
              </w:rPr>
            </w:pPr>
          </w:p>
        </w:tc>
        <w:tc>
          <w:tcPr>
            <w:tcW w:w="3580" w:type="dxa"/>
            <w:vAlign w:val="bottom"/>
            <w:tcBorders>
              <w:right w:val="single" w:sz="8" w:color="auto"/>
            </w:tcBorders>
            <w:gridSpan w:val="14"/>
            <w:vMerge w:val="continue"/>
          </w:tcPr>
          <w:p>
            <w:pPr>
              <w:spacing w:after="0"/>
              <w:rPr>
                <w:sz w:val="4"/>
                <w:szCs w:val="4"/>
                <w:color w:val="auto"/>
              </w:rPr>
            </w:pPr>
          </w:p>
        </w:tc>
        <w:tc>
          <w:tcPr>
            <w:tcW w:w="6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101.ins</w:t>
            </w:r>
          </w:p>
        </w:tc>
        <w:tc>
          <w:tcPr>
            <w:tcW w:w="3580" w:type="dxa"/>
            <w:vAlign w:val="bottom"/>
            <w:tcBorders>
              <w:bottom w:val="single" w:sz="8" w:color="auto"/>
              <w:right w:val="single" w:sz="8" w:color="auto"/>
            </w:tcBorders>
            <w:gridSpan w:val="14"/>
            <w:shd w:val="clear" w:color="auto" w:fill="DBDBDB"/>
          </w:tcPr>
          <w:p>
            <w:pPr>
              <w:spacing w:after="0"/>
              <w:rPr>
                <w:sz w:val="20"/>
                <w:szCs w:val="20"/>
                <w:color w:val="auto"/>
              </w:rPr>
            </w:pPr>
            <w:r>
              <w:rPr>
                <w:rFonts w:ascii="Arial" w:cs="Arial" w:eastAsia="Arial" w:hAnsi="Arial"/>
                <w:sz w:val="18"/>
                <w:szCs w:val="18"/>
                <w:color w:val="auto"/>
              </w:rPr>
              <w:t>Instance Document</w:t>
            </w:r>
          </w:p>
        </w:tc>
        <w:tc>
          <w:tcPr>
            <w:tcW w:w="62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101.sch</w:t>
            </w:r>
          </w:p>
        </w:tc>
        <w:tc>
          <w:tcPr>
            <w:tcW w:w="358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XBRL Taxonomy Schema</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101.cal</w:t>
            </w:r>
          </w:p>
        </w:tc>
        <w:tc>
          <w:tcPr>
            <w:tcW w:w="3580" w:type="dxa"/>
            <w:vAlign w:val="bottom"/>
            <w:tcBorders>
              <w:bottom w:val="single" w:sz="8" w:color="auto"/>
              <w:right w:val="single" w:sz="8" w:color="auto"/>
            </w:tcBorders>
            <w:gridSpan w:val="14"/>
            <w:shd w:val="clear" w:color="auto" w:fill="DBDBDB"/>
          </w:tcPr>
          <w:p>
            <w:pPr>
              <w:spacing w:after="0"/>
              <w:rPr>
                <w:sz w:val="20"/>
                <w:szCs w:val="20"/>
                <w:color w:val="auto"/>
              </w:rPr>
            </w:pPr>
            <w:r>
              <w:rPr>
                <w:rFonts w:ascii="Arial" w:cs="Arial" w:eastAsia="Arial" w:hAnsi="Arial"/>
                <w:sz w:val="18"/>
                <w:szCs w:val="18"/>
                <w:color w:val="auto"/>
              </w:rPr>
              <w:t>XBRL Taxonomy Calculation Linkbase</w:t>
            </w:r>
          </w:p>
        </w:tc>
        <w:tc>
          <w:tcPr>
            <w:tcW w:w="62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101.def</w:t>
            </w:r>
          </w:p>
        </w:tc>
        <w:tc>
          <w:tcPr>
            <w:tcW w:w="358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XBRL Taxonomy Definitions Document</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101.lab</w:t>
            </w:r>
          </w:p>
        </w:tc>
        <w:tc>
          <w:tcPr>
            <w:tcW w:w="3580" w:type="dxa"/>
            <w:vAlign w:val="bottom"/>
            <w:tcBorders>
              <w:bottom w:val="single" w:sz="8" w:color="auto"/>
              <w:right w:val="single" w:sz="8" w:color="auto"/>
            </w:tcBorders>
            <w:gridSpan w:val="14"/>
            <w:shd w:val="clear" w:color="auto" w:fill="DBDBDB"/>
          </w:tcPr>
          <w:p>
            <w:pPr>
              <w:spacing w:after="0"/>
              <w:rPr>
                <w:sz w:val="20"/>
                <w:szCs w:val="20"/>
                <w:color w:val="auto"/>
              </w:rPr>
            </w:pPr>
            <w:r>
              <w:rPr>
                <w:rFonts w:ascii="Arial" w:cs="Arial" w:eastAsia="Arial" w:hAnsi="Arial"/>
                <w:sz w:val="18"/>
                <w:szCs w:val="18"/>
                <w:color w:val="auto"/>
              </w:rPr>
              <w:t>XBRL Taxonomy Labels Linkbase</w:t>
            </w:r>
          </w:p>
        </w:tc>
        <w:tc>
          <w:tcPr>
            <w:tcW w:w="62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spacing w:after="0"/>
              <w:rPr>
                <w:sz w:val="19"/>
                <w:szCs w:val="19"/>
                <w:color w:val="auto"/>
              </w:rPr>
            </w:pPr>
          </w:p>
        </w:tc>
        <w:tc>
          <w:tcPr>
            <w:tcW w:w="220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right w:val="single" w:sz="8" w:color="auto"/>
            </w:tcBorders>
            <w:shd w:val="clear" w:color="auto" w:fill="DBDBDB"/>
          </w:tcPr>
          <w:p>
            <w:pPr>
              <w:spacing w:after="0"/>
              <w:rPr>
                <w:sz w:val="19"/>
                <w:szCs w:val="19"/>
                <w:color w:val="auto"/>
              </w:rPr>
            </w:pPr>
          </w:p>
        </w:tc>
        <w:tc>
          <w:tcPr>
            <w:tcW w:w="9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101.pre</w:t>
            </w:r>
          </w:p>
        </w:tc>
        <w:tc>
          <w:tcPr>
            <w:tcW w:w="358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XBRL Taxonomy Presentation Linkbase</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right w:val="single" w:sz="8" w:color="auto"/>
            </w:tcBorders>
            <w:shd w:val="clear" w:color="auto" w:fill="DBDBDB"/>
          </w:tcPr>
          <w:p>
            <w:pPr>
              <w:ind w:left="40"/>
              <w:spacing w:after="0" w:line="182" w:lineRule="exact"/>
              <w:rPr>
                <w:sz w:val="20"/>
                <w:szCs w:val="20"/>
                <w:color w:val="auto"/>
              </w:rPr>
            </w:pPr>
            <w:r>
              <w:rPr>
                <w:rFonts w:ascii="Arial" w:cs="Arial" w:eastAsia="Arial" w:hAnsi="Arial"/>
                <w:sz w:val="18"/>
                <w:szCs w:val="18"/>
                <w:b w:val="1"/>
                <w:bCs w:val="1"/>
                <w:color w:val="auto"/>
              </w:rPr>
              <w:t>104</w:t>
            </w:r>
          </w:p>
        </w:tc>
        <w:tc>
          <w:tcPr>
            <w:tcW w:w="3580" w:type="dxa"/>
            <w:vAlign w:val="bottom"/>
            <w:tcBorders>
              <w:right w:val="single" w:sz="8" w:color="auto"/>
            </w:tcBorders>
            <w:gridSpan w:val="14"/>
            <w:shd w:val="clear" w:color="auto" w:fill="DBDBDB"/>
          </w:tcPr>
          <w:p>
            <w:pPr>
              <w:spacing w:after="0" w:line="182" w:lineRule="exact"/>
              <w:rPr>
                <w:sz w:val="20"/>
                <w:szCs w:val="20"/>
                <w:color w:val="auto"/>
              </w:rPr>
            </w:pPr>
            <w:r>
              <w:rPr>
                <w:rFonts w:ascii="Arial" w:cs="Arial" w:eastAsia="Arial" w:hAnsi="Arial"/>
                <w:sz w:val="18"/>
                <w:szCs w:val="18"/>
                <w:color w:val="auto"/>
              </w:rPr>
              <w:t>Cover Page Interactive Data File</w:t>
            </w:r>
          </w:p>
        </w:tc>
        <w:tc>
          <w:tcPr>
            <w:tcW w:w="62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58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shd w:val="clear" w:color="auto" w:fill="DBDBDB"/>
          </w:tcPr>
          <w:p>
            <w:pPr>
              <w:spacing w:after="0"/>
              <w:rPr>
                <w:sz w:val="15"/>
                <w:szCs w:val="15"/>
                <w:color w:val="auto"/>
              </w:rPr>
            </w:pPr>
          </w:p>
        </w:tc>
        <w:tc>
          <w:tcPr>
            <w:tcW w:w="3580" w:type="dxa"/>
            <w:vAlign w:val="bottom"/>
            <w:tcBorders>
              <w:right w:val="single" w:sz="8" w:color="auto"/>
            </w:tcBorders>
            <w:gridSpan w:val="14"/>
            <w:shd w:val="clear" w:color="auto" w:fill="DBDBDB"/>
          </w:tcPr>
          <w:p>
            <w:pPr>
              <w:spacing w:after="0" w:line="176" w:lineRule="exact"/>
              <w:rPr>
                <w:sz w:val="20"/>
                <w:szCs w:val="20"/>
                <w:color w:val="auto"/>
              </w:rPr>
            </w:pPr>
            <w:r>
              <w:rPr>
                <w:rFonts w:ascii="Arial" w:cs="Arial" w:eastAsia="Arial" w:hAnsi="Arial"/>
                <w:sz w:val="18"/>
                <w:szCs w:val="18"/>
                <w:color w:val="auto"/>
              </w:rPr>
              <w:t>(embedded within the Inline XBRL</w:t>
            </w:r>
          </w:p>
        </w:tc>
        <w:tc>
          <w:tcPr>
            <w:tcW w:w="62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2200" w:type="dxa"/>
            <w:vAlign w:val="bottom"/>
            <w:shd w:val="clear" w:color="auto" w:fill="DBDBDB"/>
          </w:tcPr>
          <w:p>
            <w:pPr>
              <w:spacing w:after="0"/>
              <w:rPr>
                <w:sz w:val="15"/>
                <w:szCs w:val="15"/>
                <w:color w:val="auto"/>
              </w:rPr>
            </w:pPr>
          </w:p>
        </w:tc>
        <w:tc>
          <w:tcPr>
            <w:tcW w:w="1580" w:type="dxa"/>
            <w:vAlign w:val="bottom"/>
            <w:tcBorders>
              <w:right w:val="single" w:sz="8" w:color="auto"/>
            </w:tcBorders>
            <w:shd w:val="clear" w:color="auto" w:fill="DBDBDB"/>
          </w:tcPr>
          <w:p>
            <w:pPr>
              <w:spacing w:after="0"/>
              <w:rPr>
                <w:sz w:val="15"/>
                <w:szCs w:val="15"/>
                <w:color w:val="auto"/>
              </w:rPr>
            </w:pPr>
          </w:p>
        </w:tc>
        <w:tc>
          <w:tcPr>
            <w:tcW w:w="960" w:type="dxa"/>
            <w:vAlign w:val="bottom"/>
            <w:tcBorders>
              <w:right w:val="single" w:sz="8" w:color="auto"/>
            </w:tcBorders>
            <w:shd w:val="clear" w:color="auto" w:fill="DBDBDB"/>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14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3580" w:type="dxa"/>
            <w:vAlign w:val="bottom"/>
            <w:tcBorders>
              <w:bottom w:val="single" w:sz="8" w:color="auto"/>
              <w:right w:val="single" w:sz="8" w:color="auto"/>
            </w:tcBorders>
            <w:gridSpan w:val="14"/>
            <w:shd w:val="clear" w:color="auto" w:fill="DBDBDB"/>
          </w:tcPr>
          <w:p>
            <w:pPr>
              <w:spacing w:after="0"/>
              <w:rPr>
                <w:sz w:val="20"/>
                <w:szCs w:val="20"/>
                <w:color w:val="auto"/>
              </w:rPr>
            </w:pPr>
            <w:r>
              <w:rPr>
                <w:rFonts w:ascii="Arial" w:cs="Arial" w:eastAsia="Arial" w:hAnsi="Arial"/>
                <w:sz w:val="18"/>
                <w:szCs w:val="18"/>
                <w:color w:val="auto"/>
              </w:rPr>
              <w:t>document)</w:t>
            </w:r>
          </w:p>
        </w:tc>
        <w:tc>
          <w:tcPr>
            <w:tcW w:w="62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spacing w:after="0"/>
              <w:rPr>
                <w:sz w:val="18"/>
                <w:szCs w:val="18"/>
                <w:color w:val="auto"/>
              </w:rPr>
            </w:pPr>
          </w:p>
        </w:tc>
        <w:tc>
          <w:tcPr>
            <w:tcW w:w="2200" w:type="dxa"/>
            <w:vAlign w:val="bottom"/>
            <w:tcBorders>
              <w:bottom w:val="single" w:sz="8" w:color="auto"/>
            </w:tcBorders>
            <w:shd w:val="clear" w:color="auto" w:fill="DBDBDB"/>
          </w:tcPr>
          <w:p>
            <w:pPr>
              <w:spacing w:after="0"/>
              <w:rPr>
                <w:sz w:val="18"/>
                <w:szCs w:val="18"/>
                <w:color w:val="auto"/>
              </w:rPr>
            </w:pPr>
          </w:p>
        </w:tc>
        <w:tc>
          <w:tcPr>
            <w:tcW w:w="1580" w:type="dxa"/>
            <w:vAlign w:val="bottom"/>
            <w:tcBorders>
              <w:bottom w:val="single" w:sz="8" w:color="auto"/>
              <w:right w:val="single" w:sz="8" w:color="auto"/>
            </w:tcBorders>
            <w:shd w:val="clear" w:color="auto" w:fill="DBDBDB"/>
          </w:tcPr>
          <w:p>
            <w:pPr>
              <w:spacing w:after="0"/>
              <w:rPr>
                <w:sz w:val="18"/>
                <w:szCs w:val="18"/>
                <w:color w:val="auto"/>
              </w:rPr>
            </w:pPr>
          </w:p>
        </w:tc>
        <w:tc>
          <w:tcPr>
            <w:tcW w:w="96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16"/>
          <w:szCs w:val="16"/>
          <w:color w:val="auto"/>
        </w:rPr>
      </w:pPr>
      <w:r>
        <w:rPr>
          <w:rFonts w:ascii="Arial" w:cs="Arial" w:eastAsia="Arial" w:hAnsi="Arial"/>
          <w:sz w:val="18"/>
          <w:szCs w:val="18"/>
          <w:color w:val="auto"/>
        </w:rPr>
        <w:t>Management compensation plans and arrangements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47" w:lineRule="exact"/>
        <w:rPr>
          <w:sz w:val="20"/>
          <w:szCs w:val="20"/>
          <w:color w:val="auto"/>
        </w:rPr>
      </w:pPr>
    </w:p>
    <w:p>
      <w:pPr>
        <w:ind w:right="480"/>
        <w:spacing w:after="0" w:line="252"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90" w:lineRule="exact"/>
        <w:rPr>
          <w:sz w:val="20"/>
          <w:szCs w:val="20"/>
          <w:color w:val="auto"/>
        </w:rPr>
      </w:pPr>
    </w:p>
    <w:p>
      <w:pPr>
        <w:ind w:left="660" w:right="1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89"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89"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w:t>
      </w:r>
    </w:p>
    <w:p>
      <w:pPr>
        <w:spacing w:after="0" w:line="89"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89" w:lineRule="exact"/>
        <w:rPr>
          <w:rFonts w:ascii="Arial" w:cs="Arial" w:eastAsia="Arial" w:hAnsi="Arial"/>
          <w:sz w:val="18"/>
          <w:szCs w:val="18"/>
          <w:color w:val="auto"/>
        </w:rPr>
      </w:pPr>
    </w:p>
    <w:p>
      <w:pPr>
        <w:ind w:left="660" w:right="220" w:hanging="328"/>
        <w:spacing w:after="0" w:line="25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93"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89" w:lineRule="exact"/>
        <w:rPr>
          <w:rFonts w:ascii="Arial" w:cs="Arial" w:eastAsia="Arial" w:hAnsi="Arial"/>
          <w:sz w:val="18"/>
          <w:szCs w:val="18"/>
          <w:color w:val="auto"/>
        </w:rPr>
      </w:pPr>
    </w:p>
    <w:p>
      <w:pPr>
        <w:ind w:left="660" w:right="11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89" w:lineRule="exact"/>
        <w:rPr>
          <w:rFonts w:ascii="Arial" w:cs="Arial" w:eastAsia="Arial" w:hAnsi="Arial"/>
          <w:sz w:val="18"/>
          <w:szCs w:val="18"/>
          <w:color w:val="auto"/>
        </w:rPr>
      </w:pPr>
    </w:p>
    <w:p>
      <w:pPr>
        <w:jc w:val="both"/>
        <w:ind w:left="660" w:right="64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89" w:lineRule="exact"/>
        <w:rPr>
          <w:rFonts w:ascii="Arial" w:cs="Arial" w:eastAsia="Arial" w:hAnsi="Arial"/>
          <w:sz w:val="18"/>
          <w:szCs w:val="18"/>
          <w:color w:val="auto"/>
        </w:rPr>
      </w:pPr>
    </w:p>
    <w:p>
      <w:pPr>
        <w:ind w:left="660" w:right="280" w:hanging="328"/>
        <w:spacing w:after="0" w:line="25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93"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89"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6350</wp:posOffset>
            </wp:positionV>
            <wp:extent cx="29571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jc w:val="center"/>
        <w:ind w:left="648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4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4" w:name="page65"/>
    <w:bookmarkEnd w:id="64"/>
    <w:p>
      <w:pPr>
        <w:ind w:right="40"/>
        <w:spacing w:after="0" w:line="251" w:lineRule="auto"/>
        <w:rPr>
          <w:sz w:val="20"/>
          <w:szCs w:val="20"/>
          <w:color w:val="auto"/>
        </w:rPr>
      </w:pPr>
      <w:r>
        <w:rPr>
          <w:rFonts w:ascii="Arial" w:cs="Arial" w:eastAsia="Arial" w:hAnsi="Arial"/>
          <w:sz w:val="18"/>
          <w:szCs w:val="18"/>
          <w:color w:val="auto"/>
        </w:rPr>
        <w:t>Each person whose signature appears below constitutes and appoints each of Richard K. Templeton, Rafael R. Lizardi, Julie C. Knecht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2021,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21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the 4th day of February 2022.</w:t>
      </w:r>
    </w:p>
    <w:p>
      <w:pPr>
        <w:sectPr>
          <w:pgSz w:w="11900" w:h="16838" w:orient="portrait"/>
          <w:cols w:equalWidth="0" w:num="1">
            <w:col w:w="11200"/>
          </w:cols>
          <w:pgMar w:left="320" w:top="1003" w:right="379" w:bottom="1440" w:gutter="0" w:footer="0" w:header="0"/>
        </w:sect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Mark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14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b w:val="1"/>
          <w:bCs w:val="1"/>
          <w:color w:val="auto"/>
        </w:rPr>
        <w:t xml:space="preserve">Mark A. Blinn, </w:t>
      </w:r>
      <w:r>
        <w:rPr>
          <w:rFonts w:ascii="Arial" w:cs="Arial" w:eastAsia="Arial" w:hAnsi="Arial"/>
          <w:sz w:val="18"/>
          <w:szCs w:val="18"/>
          <w:color w:val="auto"/>
        </w:rPr>
        <w:t>Director</w:t>
      </w: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Janet 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14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b w:val="1"/>
          <w:bCs w:val="1"/>
          <w:color w:val="auto"/>
        </w:rPr>
        <w:t xml:space="preserve">Janet F. Clark, </w:t>
      </w:r>
      <w:r>
        <w:rPr>
          <w:rFonts w:ascii="Arial" w:cs="Arial" w:eastAsia="Arial" w:hAnsi="Arial"/>
          <w:sz w:val="18"/>
          <w:szCs w:val="18"/>
          <w:color w:val="auto"/>
        </w:rPr>
        <w:t>Director</w:t>
      </w: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Martin S. Craighead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14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7"/>
          <w:szCs w:val="17"/>
          <w:b w:val="1"/>
          <w:bCs w:val="1"/>
          <w:color w:val="auto"/>
        </w:rPr>
        <w:t xml:space="preserve">Martin S. Craighead, </w:t>
      </w:r>
      <w:r>
        <w:rPr>
          <w:rFonts w:ascii="Arial" w:cs="Arial" w:eastAsia="Arial" w:hAnsi="Arial"/>
          <w:sz w:val="17"/>
          <w:szCs w:val="17"/>
          <w:color w:val="auto"/>
        </w:rPr>
        <w:t>Director</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Michael D.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14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b w:val="1"/>
          <w:bCs w:val="1"/>
          <w:color w:val="auto"/>
        </w:rPr>
        <w:t xml:space="preserve">Michael D. Hsu, </w:t>
      </w:r>
      <w:r>
        <w:rPr>
          <w:rFonts w:ascii="Arial" w:cs="Arial" w:eastAsia="Arial" w:hAnsi="Arial"/>
          <w:sz w:val="18"/>
          <w:szCs w:val="18"/>
          <w:color w:val="auto"/>
        </w:rPr>
        <w:t>Director</w:t>
      </w: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14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b w:val="1"/>
          <w:bCs w:val="1"/>
          <w:color w:val="auto"/>
        </w:rPr>
        <w:t xml:space="preserve">Ronald Kirk, </w:t>
      </w:r>
      <w:r>
        <w:rPr>
          <w:rFonts w:ascii="Arial" w:cs="Arial" w:eastAsia="Arial" w:hAnsi="Arial"/>
          <w:sz w:val="18"/>
          <w:szCs w:val="18"/>
          <w:color w:val="auto"/>
        </w:rPr>
        <w:t>Director</w:t>
      </w: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 Robert E.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14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b w:val="1"/>
          <w:bCs w:val="1"/>
          <w:color w:val="auto"/>
        </w:rPr>
        <w:t xml:space="preserve">Robert E. Sanchez, </w:t>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6350</wp:posOffset>
            </wp:positionV>
            <wp:extent cx="35229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jc w:val="center"/>
        <w:ind w:right="660"/>
        <w:spacing w:after="0"/>
        <w:rPr>
          <w:sz w:val="20"/>
          <w:szCs w:val="20"/>
          <w:color w:val="auto"/>
        </w:rPr>
      </w:pPr>
      <w:r>
        <w:rPr>
          <w:rFonts w:ascii="Arial" w:cs="Arial" w:eastAsia="Arial" w:hAnsi="Arial"/>
          <w:sz w:val="18"/>
          <w:szCs w:val="18"/>
          <w:b w:val="1"/>
          <w:bCs w:val="1"/>
          <w:color w:val="auto"/>
        </w:rPr>
        <w:t xml:space="preserve">Todd M. Bluedorn, </w:t>
      </w:r>
      <w:r>
        <w:rPr>
          <w:rFonts w:ascii="Arial" w:cs="Arial" w:eastAsia="Arial" w:hAnsi="Arial"/>
          <w:sz w:val="18"/>
          <w:szCs w:val="18"/>
          <w:color w:val="auto"/>
        </w:rPr>
        <w:t>Director</w:t>
      </w:r>
    </w:p>
    <w:p>
      <w:pPr>
        <w:spacing w:after="0" w:line="315"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6350</wp:posOffset>
            </wp:positionV>
            <wp:extent cx="35229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jc w:val="center"/>
        <w:ind w:right="660"/>
        <w:spacing w:after="0"/>
        <w:rPr>
          <w:sz w:val="20"/>
          <w:szCs w:val="20"/>
          <w:color w:val="auto"/>
        </w:rPr>
      </w:pPr>
      <w:r>
        <w:rPr>
          <w:rFonts w:ascii="Arial" w:cs="Arial" w:eastAsia="Arial" w:hAnsi="Arial"/>
          <w:sz w:val="18"/>
          <w:szCs w:val="18"/>
          <w:b w:val="1"/>
          <w:bCs w:val="1"/>
          <w:color w:val="auto"/>
        </w:rPr>
        <w:t xml:space="preserve">Carrie S. Cox, </w:t>
      </w:r>
      <w:r>
        <w:rPr>
          <w:rFonts w:ascii="Arial" w:cs="Arial" w:eastAsia="Arial" w:hAnsi="Arial"/>
          <w:sz w:val="18"/>
          <w:szCs w:val="18"/>
          <w:color w:val="auto"/>
        </w:rPr>
        <w:t>Director</w:t>
      </w:r>
    </w:p>
    <w:p>
      <w:pPr>
        <w:spacing w:after="0" w:line="315"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Jean M. Hobby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6350</wp:posOffset>
            </wp:positionV>
            <wp:extent cx="3522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jc w:val="center"/>
        <w:ind w:right="660"/>
        <w:spacing w:after="0"/>
        <w:rPr>
          <w:sz w:val="20"/>
          <w:szCs w:val="20"/>
          <w:color w:val="auto"/>
        </w:rPr>
      </w:pPr>
      <w:r>
        <w:rPr>
          <w:rFonts w:ascii="Arial" w:cs="Arial" w:eastAsia="Arial" w:hAnsi="Arial"/>
          <w:sz w:val="18"/>
          <w:szCs w:val="18"/>
          <w:b w:val="1"/>
          <w:bCs w:val="1"/>
          <w:color w:val="auto"/>
        </w:rPr>
        <w:t xml:space="preserve">Jean M. Hobby, </w:t>
      </w:r>
      <w:r>
        <w:rPr>
          <w:rFonts w:ascii="Arial" w:cs="Arial" w:eastAsia="Arial" w:hAnsi="Arial"/>
          <w:sz w:val="18"/>
          <w:szCs w:val="18"/>
          <w:color w:val="auto"/>
        </w:rPr>
        <w:t>Director</w:t>
      </w:r>
    </w:p>
    <w:p>
      <w:pPr>
        <w:spacing w:after="0" w:line="31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6350</wp:posOffset>
            </wp:positionV>
            <wp:extent cx="3522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b w:val="1"/>
          <w:bCs w:val="1"/>
          <w:color w:val="auto"/>
        </w:rPr>
        <w:t xml:space="preserve">Haviv Ilan, </w:t>
      </w:r>
      <w:r>
        <w:rPr>
          <w:rFonts w:ascii="Arial" w:cs="Arial" w:eastAsia="Arial" w:hAnsi="Arial"/>
          <w:sz w:val="18"/>
          <w:szCs w:val="18"/>
          <w:color w:val="auto"/>
        </w:rPr>
        <w:t>Director,</w:t>
      </w:r>
    </w:p>
    <w:p>
      <w:pPr>
        <w:spacing w:after="0"/>
        <w:rPr>
          <w:sz w:val="20"/>
          <w:szCs w:val="20"/>
          <w:color w:val="auto"/>
        </w:rPr>
      </w:pPr>
      <w:r>
        <w:rPr>
          <w:rFonts w:ascii="Arial" w:cs="Arial" w:eastAsia="Arial" w:hAnsi="Arial"/>
          <w:sz w:val="17"/>
          <w:szCs w:val="17"/>
          <w:color w:val="auto"/>
        </w:rPr>
        <w:t>Executive Vice President and Chief Operating Officer</w:t>
      </w:r>
    </w:p>
    <w:p>
      <w:pPr>
        <w:spacing w:after="0" w:line="304"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Pamela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6350</wp:posOffset>
            </wp:positionV>
            <wp:extent cx="3522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jc w:val="center"/>
        <w:ind w:right="660"/>
        <w:spacing w:after="0"/>
        <w:rPr>
          <w:sz w:val="20"/>
          <w:szCs w:val="20"/>
          <w:color w:val="auto"/>
        </w:rPr>
      </w:pPr>
      <w:r>
        <w:rPr>
          <w:rFonts w:ascii="Arial" w:cs="Arial" w:eastAsia="Arial" w:hAnsi="Arial"/>
          <w:sz w:val="18"/>
          <w:szCs w:val="18"/>
          <w:b w:val="1"/>
          <w:bCs w:val="1"/>
          <w:color w:val="auto"/>
        </w:rPr>
        <w:t xml:space="preserve">Pamela H. Patsley, </w:t>
      </w:r>
      <w:r>
        <w:rPr>
          <w:rFonts w:ascii="Arial" w:cs="Arial" w:eastAsia="Arial" w:hAnsi="Arial"/>
          <w:sz w:val="18"/>
          <w:szCs w:val="18"/>
          <w:color w:val="auto"/>
        </w:rPr>
        <w:t>Director</w:t>
      </w:r>
    </w:p>
    <w:p>
      <w:pPr>
        <w:spacing w:after="0" w:line="3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6350</wp:posOffset>
            </wp:positionV>
            <wp:extent cx="3522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b w:val="1"/>
          <w:bCs w:val="1"/>
          <w:color w:val="auto"/>
        </w:rPr>
        <w:t xml:space="preserve">Richard K. Templeton, </w:t>
      </w:r>
      <w:r>
        <w:rPr>
          <w:rFonts w:ascii="Arial" w:cs="Arial" w:eastAsia="Arial" w:hAnsi="Arial"/>
          <w:sz w:val="18"/>
          <w:szCs w:val="18"/>
          <w:color w:val="auto"/>
        </w:rPr>
        <w:t>Director,</w:t>
      </w:r>
    </w:p>
    <w:p>
      <w:pPr>
        <w:jc w:val="center"/>
        <w:ind w:right="660"/>
        <w:spacing w:after="0" w:line="203" w:lineRule="auto"/>
        <w:rPr>
          <w:sz w:val="20"/>
          <w:szCs w:val="20"/>
          <w:color w:val="auto"/>
        </w:rPr>
      </w:pPr>
      <w:r>
        <w:rPr>
          <w:rFonts w:ascii="Arial" w:cs="Arial" w:eastAsia="Arial" w:hAnsi="Arial"/>
          <w:sz w:val="18"/>
          <w:szCs w:val="18"/>
          <w:color w:val="auto"/>
        </w:rPr>
        <w:t>Chairman of the Board,</w:t>
      </w:r>
    </w:p>
    <w:p>
      <w:pPr>
        <w:jc w:val="center"/>
        <w:ind w:right="6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ectPr>
          <w:pgSz w:w="11900" w:h="16838" w:orient="portrait"/>
          <w:cols w:equalWidth="0" w:num="2">
            <w:col w:w="5600" w:space="720"/>
            <w:col w:w="4880"/>
          </w:cols>
          <w:pgMar w:left="320" w:top="1003" w:right="37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 Rafael R. Lizardi</w:t>
            </w:r>
          </w:p>
        </w:tc>
        <w:tc>
          <w:tcPr>
            <w:tcW w:w="5540" w:type="dxa"/>
            <w:vAlign w:val="bottom"/>
          </w:tcPr>
          <w:p>
            <w:pPr>
              <w:jc w:val="center"/>
              <w:spacing w:after="0"/>
              <w:rPr>
                <w:sz w:val="20"/>
                <w:szCs w:val="20"/>
                <w:color w:val="auto"/>
              </w:rPr>
            </w:pPr>
            <w:r>
              <w:rPr>
                <w:rFonts w:ascii="Arial" w:cs="Arial" w:eastAsia="Arial" w:hAnsi="Arial"/>
                <w:sz w:val="18"/>
                <w:szCs w:val="18"/>
                <w:color w:val="auto"/>
              </w:rPr>
              <w:t>/s/ Julie C. Knecht</w:t>
            </w:r>
          </w:p>
        </w:tc>
      </w:tr>
      <w:tr>
        <w:trPr>
          <w:trHeight w:val="182"/>
        </w:trPr>
        <w:tc>
          <w:tcPr>
            <w:tcW w:w="55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9"/>
              </w:rPr>
              <w:t xml:space="preserve">Rafael R. Lizardi, </w:t>
            </w:r>
            <w:r>
              <w:rPr>
                <w:rFonts w:ascii="Arial" w:cs="Arial" w:eastAsia="Arial" w:hAnsi="Arial"/>
                <w:sz w:val="18"/>
                <w:szCs w:val="18"/>
                <w:color w:val="auto"/>
                <w:w w:val="99"/>
              </w:rPr>
              <w:t>Senior Vice President and</w:t>
            </w:r>
          </w:p>
        </w:tc>
        <w:tc>
          <w:tcPr>
            <w:tcW w:w="120" w:type="dxa"/>
            <w:vAlign w:val="bottom"/>
          </w:tcPr>
          <w:p>
            <w:pPr>
              <w:spacing w:after="0"/>
              <w:rPr>
                <w:sz w:val="15"/>
                <w:szCs w:val="15"/>
                <w:color w:val="auto"/>
              </w:rPr>
            </w:pPr>
          </w:p>
        </w:tc>
        <w:tc>
          <w:tcPr>
            <w:tcW w:w="55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9"/>
              </w:rPr>
              <w:t xml:space="preserve">Julie C. Knecht, </w:t>
            </w:r>
            <w:r>
              <w:rPr>
                <w:rFonts w:ascii="Arial" w:cs="Arial" w:eastAsia="Arial" w:hAnsi="Arial"/>
                <w:sz w:val="18"/>
                <w:szCs w:val="18"/>
                <w:color w:val="auto"/>
                <w:w w:val="99"/>
              </w:rPr>
              <w:t>Vice President and</w:t>
            </w:r>
          </w:p>
        </w:tc>
      </w:tr>
      <w:tr>
        <w:trPr>
          <w:trHeight w:val="217"/>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Financial Officer</w:t>
            </w:r>
          </w:p>
        </w:tc>
        <w:tc>
          <w:tcPr>
            <w:tcW w:w="5540" w:type="dxa"/>
            <w:vAlign w:val="bottom"/>
          </w:tcPr>
          <w:p>
            <w:pPr>
              <w:jc w:val="center"/>
              <w:spacing w:after="0"/>
              <w:rPr>
                <w:sz w:val="20"/>
                <w:szCs w:val="20"/>
                <w:color w:val="auto"/>
              </w:rPr>
            </w:pPr>
            <w:r>
              <w:rPr>
                <w:rFonts w:ascii="Arial" w:cs="Arial" w:eastAsia="Arial" w:hAnsi="Arial"/>
                <w:sz w:val="18"/>
                <w:szCs w:val="18"/>
                <w:color w:val="auto"/>
                <w:w w:val="99"/>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1003" w:right="37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80" w:type="dxa"/>
            <w:vAlign w:val="bottom"/>
            <w:gridSpan w:val="4"/>
          </w:tcPr>
          <w:p>
            <w:pPr>
              <w:ind w:left="3100"/>
              <w:spacing w:after="0"/>
              <w:rPr>
                <w:sz w:val="20"/>
                <w:szCs w:val="20"/>
                <w:color w:val="auto"/>
              </w:rPr>
            </w:pPr>
            <w:r>
              <w:rPr>
                <w:rFonts w:ascii="Arial" w:cs="Arial" w:eastAsia="Arial" w:hAnsi="Arial"/>
                <w:sz w:val="18"/>
                <w:szCs w:val="18"/>
                <w:color w:val="auto"/>
              </w:rPr>
              <w:t>TEXAS INSTRUMENTS INCORPORATED AND SUBSIDIARIES</w:t>
            </w:r>
          </w:p>
        </w:tc>
      </w:tr>
      <w:tr>
        <w:trPr>
          <w:trHeight w:val="230"/>
        </w:trPr>
        <w:tc>
          <w:tcPr>
            <w:tcW w:w="20" w:type="dxa"/>
            <w:vAlign w:val="bottom"/>
          </w:tcPr>
          <w:p>
            <w:pPr>
              <w:spacing w:after="0"/>
              <w:rPr>
                <w:sz w:val="20"/>
                <w:szCs w:val="20"/>
                <w:color w:val="auto"/>
              </w:rPr>
            </w:pPr>
          </w:p>
        </w:tc>
        <w:tc>
          <w:tcPr>
            <w:tcW w:w="8680" w:type="dxa"/>
            <w:vAlign w:val="bottom"/>
            <w:gridSpan w:val="4"/>
          </w:tcPr>
          <w:p>
            <w:pPr>
              <w:ind w:left="3720"/>
              <w:spacing w:after="0"/>
              <w:rPr>
                <w:sz w:val="20"/>
                <w:szCs w:val="20"/>
                <w:color w:val="auto"/>
              </w:rPr>
            </w:pPr>
            <w:r>
              <w:rPr>
                <w:rFonts w:ascii="Arial" w:cs="Arial" w:eastAsia="Arial" w:hAnsi="Arial"/>
                <w:sz w:val="18"/>
                <w:szCs w:val="18"/>
                <w:color w:val="auto"/>
              </w:rPr>
              <w:t>LIST OF SUBSIDIARIES OF THE REGISTRANT</w:t>
            </w:r>
          </w:p>
        </w:tc>
      </w:tr>
      <w:tr>
        <w:trPr>
          <w:trHeight w:val="418"/>
        </w:trPr>
        <w:tc>
          <w:tcPr>
            <w:tcW w:w="6320" w:type="dxa"/>
            <w:vAlign w:val="bottom"/>
            <w:gridSpan w:val="3"/>
          </w:tcPr>
          <w:p>
            <w:pPr>
              <w:spacing w:after="0"/>
              <w:rPr>
                <w:sz w:val="20"/>
                <w:szCs w:val="20"/>
                <w:color w:val="auto"/>
              </w:rPr>
            </w:pPr>
            <w:r>
              <w:rPr>
                <w:rFonts w:ascii="Arial" w:cs="Arial" w:eastAsia="Arial" w:hAnsi="Arial"/>
                <w:sz w:val="18"/>
                <w:szCs w:val="18"/>
                <w:color w:val="auto"/>
              </w:rPr>
              <w:t>The following are subsidiaries of the Registrant as of December 31, 2021.</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Subsidiary and Name Under Which Business is Done</w:t>
            </w:r>
          </w:p>
        </w:tc>
        <w:tc>
          <w:tcPr>
            <w:tcW w:w="2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Where Organized</w:t>
            </w:r>
          </w:p>
        </w:tc>
      </w:tr>
      <w:tr>
        <w:trPr>
          <w:trHeight w:val="277"/>
        </w:trPr>
        <w:tc>
          <w:tcPr>
            <w:tcW w:w="2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ActSolar,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Algorex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California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ASIC II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Hawaii</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California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innoCOMM wireless</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Maryland</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Acquisition Sub,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Semiconductor (Maine),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Semiconductor Corporation</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B.V.</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Netherlands</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Semiconductor Labuan Ltd.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Malaysia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India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(Philippines) LLC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PRC</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(U.K.) Holdings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United Kingdom</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(U.K.)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United Kingdom</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Austin Incorporated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Australia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Benelux B.V.</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Netherlands</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Germany</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Canada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China Sales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Hong Kong</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China Trading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Hong Kong</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CZ, s.r.o.</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Czech Republic</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Mexico</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Denmark ApS</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Denmark</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Germany</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Education Technology GmbH</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Germany</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Electronics Malaysia Sdn. Bhd.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Malaysia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EMEA Sales GmbH</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Germany</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España, S.A. Unipersonal</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Spain</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Finland Oy</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Finland</w:t>
            </w:r>
          </w:p>
        </w:tc>
      </w:tr>
    </w:tbl>
    <w:p>
      <w:pPr>
        <w:sectPr>
          <w:pgSz w:w="11900" w:h="16838" w:orient="portrait"/>
          <w:cols w:equalWidth="0" w:num="1">
            <w:col w:w="11240"/>
          </w:cols>
          <w:pgMar w:left="320" w:top="895"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20"/>
                <w:szCs w:val="20"/>
                <w:color w:val="auto"/>
              </w:rPr>
            </w:pPr>
            <w:r>
              <w:rPr>
                <w:rFonts w:ascii="Arial" w:cs="Arial" w:eastAsia="Arial" w:hAnsi="Arial"/>
                <w:sz w:val="18"/>
                <w:szCs w:val="18"/>
                <w:b w:val="1"/>
                <w:bCs w:val="1"/>
                <w:color w:val="auto"/>
                <w:w w:val="89"/>
              </w:rPr>
              <w:t>Subsidiary and Name Under Which Business is Done</w:t>
            </w:r>
          </w:p>
        </w:tc>
        <w:tc>
          <w:tcPr>
            <w:tcW w:w="3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w w:val="91"/>
              </w:rPr>
              <w:t>Where Organized</w:t>
            </w:r>
          </w:p>
        </w:tc>
      </w:tr>
      <w:tr>
        <w:trPr>
          <w:trHeight w:val="277"/>
        </w:trPr>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Texas Instruments France SAS</w:t>
            </w:r>
          </w:p>
        </w:tc>
        <w:tc>
          <w:tcPr>
            <w:tcW w:w="3300" w:type="dxa"/>
            <w:vAlign w:val="bottom"/>
          </w:tcPr>
          <w:p>
            <w:pPr>
              <w:spacing w:after="0"/>
              <w:rPr>
                <w:sz w:val="24"/>
                <w:szCs w:val="24"/>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24"/>
                <w:szCs w:val="24"/>
                <w:color w:val="auto"/>
              </w:rPr>
            </w:pP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138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13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Hong Kong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Hungary Korlatolt Felelossegu Tarsasag</w:t>
            </w:r>
          </w:p>
        </w:tc>
        <w:tc>
          <w:tcPr>
            <w:tcW w:w="1380" w:type="dxa"/>
            <w:vAlign w:val="bottom"/>
            <w:gridSpan w:val="2"/>
          </w:tcPr>
          <w:p>
            <w:pPr>
              <w:spacing w:after="0"/>
              <w:rPr>
                <w:sz w:val="20"/>
                <w:szCs w:val="20"/>
                <w:color w:val="auto"/>
              </w:rPr>
            </w:pPr>
            <w:r>
              <w:rPr>
                <w:rFonts w:ascii="Arial" w:cs="Arial" w:eastAsia="Arial" w:hAnsi="Arial"/>
                <w:sz w:val="18"/>
                <w:szCs w:val="18"/>
                <w:color w:val="auto"/>
              </w:rPr>
              <w:t>Hungary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(U.S.A.) Inc.</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Capital Corporation</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Management Company B.V.</w:t>
            </w:r>
          </w:p>
        </w:tc>
        <w:tc>
          <w:tcPr>
            <w:tcW w:w="13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Trade Corporation</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Ireland Trading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138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Italia S.r.l.</w:t>
            </w:r>
          </w:p>
        </w:tc>
        <w:tc>
          <w:tcPr>
            <w:tcW w:w="138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Japan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Korea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Korea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Lehigh Valley Incorporated</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Low Power Wireless San Diego LLC</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Malaysia Sdn. Bhd.</w:t>
            </w:r>
          </w:p>
        </w:tc>
        <w:tc>
          <w:tcPr>
            <w:tcW w:w="138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Management GmbH &amp; Co. KG</w:t>
            </w:r>
          </w:p>
        </w:tc>
        <w:tc>
          <w:tcPr>
            <w:tcW w:w="13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Northern Virginia Incorporated</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Norway AS</w:t>
            </w:r>
          </w:p>
        </w:tc>
        <w:tc>
          <w:tcPr>
            <w:tcW w:w="138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Palo Alto Incorporated</w:t>
            </w:r>
          </w:p>
        </w:tc>
        <w:tc>
          <w:tcPr>
            <w:tcW w:w="13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Richardson LLC</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Russia Sales LLC</w:t>
            </w:r>
          </w:p>
        </w:tc>
        <w:tc>
          <w:tcPr>
            <w:tcW w:w="1380" w:type="dxa"/>
            <w:vAlign w:val="bottom"/>
            <w:gridSpan w:val="2"/>
          </w:tcPr>
          <w:p>
            <w:pPr>
              <w:spacing w:after="0"/>
              <w:rPr>
                <w:sz w:val="20"/>
                <w:szCs w:val="20"/>
                <w:color w:val="auto"/>
              </w:rPr>
            </w:pPr>
            <w:r>
              <w:rPr>
                <w:rFonts w:ascii="Arial" w:cs="Arial" w:eastAsia="Arial" w:hAnsi="Arial"/>
                <w:sz w:val="18"/>
                <w:szCs w:val="18"/>
                <w:color w:val="auto"/>
                <w:w w:val="87"/>
              </w:rPr>
              <w:t>Russian Federation</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Santa Rosa Incorporated</w:t>
            </w:r>
          </w:p>
        </w:tc>
        <w:tc>
          <w:tcPr>
            <w:tcW w:w="13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Manufacturing (Chengdu) Co., Ltd.</w:t>
            </w:r>
          </w:p>
        </w:tc>
        <w:tc>
          <w:tcPr>
            <w:tcW w:w="1380" w:type="dxa"/>
            <w:vAlign w:val="bottom"/>
            <w:gridSpan w:val="2"/>
          </w:tcPr>
          <w:p>
            <w:pPr>
              <w:spacing w:after="0"/>
              <w:rPr>
                <w:sz w:val="20"/>
                <w:szCs w:val="20"/>
                <w:color w:val="auto"/>
              </w:rPr>
            </w:pPr>
            <w:r>
              <w:rPr>
                <w:rFonts w:ascii="Arial" w:cs="Arial" w:eastAsia="Arial" w:hAnsi="Arial"/>
                <w:sz w:val="18"/>
                <w:szCs w:val="18"/>
                <w:color w:val="auto"/>
              </w:rPr>
              <w:t>PRC</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1380" w:type="dxa"/>
            <w:vAlign w:val="bottom"/>
            <w:gridSpan w:val="2"/>
          </w:tcPr>
          <w:p>
            <w:pPr>
              <w:spacing w:after="0"/>
              <w:rPr>
                <w:sz w:val="20"/>
                <w:szCs w:val="20"/>
                <w:color w:val="auto"/>
              </w:rPr>
            </w:pPr>
            <w:r>
              <w:rPr>
                <w:rFonts w:ascii="Arial" w:cs="Arial" w:eastAsia="Arial" w:hAnsi="Arial"/>
                <w:sz w:val="18"/>
                <w:szCs w:val="18"/>
                <w:color w:val="auto"/>
              </w:rPr>
              <w:t>PRC</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Trading Limited Company</w:t>
            </w:r>
          </w:p>
        </w:tc>
        <w:tc>
          <w:tcPr>
            <w:tcW w:w="138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Semicondutores e Tecnologias Ltda.</w:t>
            </w:r>
          </w:p>
        </w:tc>
        <w:tc>
          <w:tcPr>
            <w:tcW w:w="138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Singapore (Pte)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Southeast Asia Pte. Ltd.</w:t>
            </w:r>
          </w:p>
        </w:tc>
        <w:tc>
          <w:tcPr>
            <w:tcW w:w="138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Sunnyvale Incorporated</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Sweden AB</w:t>
            </w:r>
          </w:p>
        </w:tc>
        <w:tc>
          <w:tcPr>
            <w:tcW w:w="138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Taiwan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Tucson Corporation</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TI (Philippines), Inc.</w:t>
            </w:r>
          </w:p>
        </w:tc>
        <w:tc>
          <w:tcPr>
            <w:tcW w:w="138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TI Europe B.V.</w:t>
            </w:r>
          </w:p>
        </w:tc>
        <w:tc>
          <w:tcPr>
            <w:tcW w:w="13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Unitrode Corporation</w:t>
            </w:r>
          </w:p>
        </w:tc>
        <w:tc>
          <w:tcPr>
            <w:tcW w:w="138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Unitrode-Maine</w:t>
            </w:r>
          </w:p>
        </w:tc>
        <w:tc>
          <w:tcPr>
            <w:tcW w:w="1380" w:type="dxa"/>
            <w:vAlign w:val="bottom"/>
            <w:gridSpan w:val="2"/>
          </w:tcPr>
          <w:p>
            <w:pPr>
              <w:spacing w:after="0"/>
              <w:rPr>
                <w:sz w:val="20"/>
                <w:szCs w:val="20"/>
                <w:color w:val="auto"/>
              </w:rPr>
            </w:pPr>
            <w:r>
              <w:rPr>
                <w:rFonts w:ascii="Arial" w:cs="Arial" w:eastAsia="Arial" w:hAnsi="Arial"/>
                <w:sz w:val="18"/>
                <w:szCs w:val="18"/>
                <w:color w:val="auto"/>
              </w:rPr>
              <w:t>Maine</w:t>
            </w:r>
          </w:p>
        </w:tc>
      </w:tr>
    </w:tbl>
    <w:p>
      <w:pPr>
        <w:sectPr>
          <w:pgSz w:w="11900" w:h="16838" w:orient="portrait"/>
          <w:cols w:equalWidth="0" w:num="1">
            <w:col w:w="10119"/>
          </w:cols>
          <w:pgMar w:left="340" w:top="932"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We consent to the incorporation by reference in the following registration statements of Texas Instruments Incorporated and in the related prospectuses of our reports dated February 4, 2022, with respect to the consolidated financial statements of Texas Instruments Incorporated, and the effectiveness of internal control over financial reporting of Texas Instruments Incorporated, included in this Annual Report on Form 10-K for the year ended December 31, 2021: Registration Statements (Forms S-8) No. 333-158933, No. 333-158934, No. 033-42172, No. 33-54615, No. 033-61154, No. 333-07127 (as amended), No. 333-41913, No. 333-41919, No. 333-31321 (as amended), No. 333-31323, No. 333-48389, No. 333-44662, No. 333-107759, No. 333-107760, No. 333-107761, No. 333-127021, No. 333-177235, No. 333-195692, No. 333-211111, No. 333-197792 (as amended), No. 333-103574, No. 333-31319 (as amended), No. 033-21407 and No. 333-224639; Registration Statements (Forms S-3) No. 333-141048, No. 333-165045, No. 333-186803, No. 333-209678, and No. 333-229797; and Registration Statements (Forms S-4) No. 333-89433 (as amended), No. 333-87199, No. 333-80157 (as amended), No. 333-89097 and No. 333-41030 (as amended).</w:t>
      </w:r>
    </w:p>
    <w:p>
      <w:pPr>
        <w:spacing w:after="0" w:line="24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23495</wp:posOffset>
            </wp:positionV>
            <wp:extent cx="2143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4, 2022</w:t>
      </w:r>
    </w:p>
    <w:p>
      <w:pPr>
        <w:sectPr>
          <w:pgSz w:w="11900" w:h="16838" w:orient="portrait"/>
          <w:cols w:equalWidth="0" w:num="1">
            <w:col w:w="11240"/>
          </w:cols>
          <w:pgMar w:left="320" w:top="14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486"/>
        <w:spacing w:after="0" w:line="277"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2022</w:t>
      </w:r>
    </w:p>
    <w:p>
      <w:pPr>
        <w:spacing w:after="0" w:line="50"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ind w:left="8800"/>
        <w:spacing w:after="0" w:line="203" w:lineRule="auto"/>
        <w:rPr>
          <w:sz w:val="20"/>
          <w:szCs w:val="20"/>
          <w:color w:val="auto"/>
        </w:rPr>
      </w:pPr>
      <w:r>
        <w:rPr>
          <w:rFonts w:ascii="Arial" w:cs="Arial" w:eastAsia="Arial" w:hAnsi="Arial"/>
          <w:sz w:val="18"/>
          <w:szCs w:val="18"/>
          <w:color w:val="auto"/>
        </w:rPr>
        <w:t>Chairman, President and</w:t>
      </w:r>
    </w:p>
    <w:p>
      <w:pPr>
        <w:ind w:left="8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1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486"/>
        <w:spacing w:after="0" w:line="277" w:lineRule="auto"/>
        <w:tabs>
          <w:tab w:leader="none" w:pos="9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2022</w:t>
      </w:r>
    </w:p>
    <w:p>
      <w:pPr>
        <w:spacing w:after="0" w:line="50"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1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chairman, president and chief executive officer of Texas Instruments Incorporated (the “Company”), hereby certifies that, to his knowledge:</w:t>
      </w:r>
    </w:p>
    <w:p>
      <w:pPr>
        <w:spacing w:after="0" w:line="234" w:lineRule="exact"/>
        <w:rPr>
          <w:sz w:val="20"/>
          <w:szCs w:val="20"/>
          <w:color w:val="auto"/>
        </w:rPr>
      </w:pPr>
    </w:p>
    <w:p>
      <w:pPr>
        <w:ind w:right="100" w:firstLine="494"/>
        <w:spacing w:after="0" w:line="342" w:lineRule="auto"/>
        <w:tabs>
          <w:tab w:leader="none" w:pos="70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2021,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760" w:hanging="266"/>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2022</w:t>
      </w:r>
    </w:p>
    <w:p>
      <w:pPr>
        <w:spacing w:after="0" w:line="50"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ind w:left="8800"/>
        <w:spacing w:after="0" w:line="203" w:lineRule="auto"/>
        <w:rPr>
          <w:sz w:val="20"/>
          <w:szCs w:val="20"/>
          <w:color w:val="auto"/>
        </w:rPr>
      </w:pPr>
      <w:r>
        <w:rPr>
          <w:rFonts w:ascii="Arial" w:cs="Arial" w:eastAsia="Arial" w:hAnsi="Arial"/>
          <w:sz w:val="18"/>
          <w:szCs w:val="18"/>
          <w:color w:val="auto"/>
        </w:rPr>
        <w:t>Chairman, President and</w:t>
      </w:r>
    </w:p>
    <w:p>
      <w:pPr>
        <w:ind w:left="8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1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46" w:lineRule="exact"/>
        <w:rPr>
          <w:sz w:val="20"/>
          <w:szCs w:val="20"/>
          <w:color w:val="auto"/>
        </w:rPr>
      </w:pPr>
    </w:p>
    <w:p>
      <w:pPr>
        <w:ind w:right="100" w:firstLine="494"/>
        <w:spacing w:after="0" w:line="342" w:lineRule="auto"/>
        <w:tabs>
          <w:tab w:leader="none" w:pos="7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2021,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4" w:lineRule="auto"/>
        <w:tabs>
          <w:tab w:leader="none" w:pos="7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4, 2022</w:t>
      </w:r>
    </w:p>
    <w:p>
      <w:pPr>
        <w:spacing w:after="0" w:line="1"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decimal"/>
      <w:start w:val="1"/>
    </w:lvl>
    <w:lvl w:ilvl="1">
      <w:lvlJc w:val="left"/>
      <w:lvlText w:val="%2."/>
      <w:numFmt w:val="lowerRoman"/>
      <w:start w:val="1"/>
    </w:lvl>
  </w:abstractNum>
  <w:abstractNum w:abstractNumId="6">
    <w:nsid w:val="6763845E"/>
    <w:multiLevelType w:val="hybridMultilevel"/>
    <w:lvl w:ilvl="0">
      <w:lvlJc w:val="left"/>
      <w:lvlText w:val="%1."/>
      <w:numFmt w:val="decimal"/>
      <w:start w:val="2"/>
    </w:lvl>
  </w:abstractNum>
  <w:abstractNum w:abstractNumId="7">
    <w:nsid w:val="75A2A8D4"/>
    <w:multiLevelType w:val="hybridMultilevel"/>
    <w:lvl w:ilvl="0">
      <w:lvlJc w:val="left"/>
      <w:lvlText w:val="•"/>
      <w:numFmt w:val="bullet"/>
      <w:start w:val="1"/>
    </w:lvl>
    <w:lvl w:ilvl="1">
      <w:lvlJc w:val="left"/>
      <w:lvlText w:val="◦"/>
      <w:numFmt w:val="bullet"/>
      <w:start w:val="1"/>
    </w:lvl>
  </w:abstractNum>
  <w:abstractNum w:abstractNumId="8">
    <w:nsid w:val="8EDBDAB"/>
    <w:multiLevelType w:val="hybridMultilevel"/>
    <w:lvl w:ilvl="0">
      <w:lvlJc w:val="left"/>
      <w:lvlText w:val="•"/>
      <w:numFmt w:val="bullet"/>
      <w:start w:val="1"/>
    </w:lvl>
    <w:lvl w:ilvl="1">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3"/>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decimal"/>
      <w:start w:val="5"/>
    </w:lvl>
  </w:abstractNum>
  <w:abstractNum w:abstractNumId="22">
    <w:nsid w:val="737B8DDC"/>
    <w:multiLevelType w:val="hybridMultilevel"/>
    <w:lvl w:ilvl="0">
      <w:lvlJc w:val="left"/>
      <w:lvlText w:val="%1."/>
      <w:numFmt w:val="decimal"/>
      <w:start w:val="6"/>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decimal"/>
      <w:start w:val="8"/>
    </w:lvl>
  </w:abstractNum>
  <w:abstractNum w:abstractNumId="27">
    <w:nsid w:val="614FD4A1"/>
    <w:multiLevelType w:val="hybridMultilevel"/>
    <w:lvl w:ilvl="0">
      <w:lvlJc w:val="left"/>
      <w:lvlText w:val="%1."/>
      <w:numFmt w:val="decimal"/>
      <w:start w:val="9"/>
    </w:lvl>
  </w:abstractNum>
  <w:abstractNum w:abstractNumId="28">
    <w:nsid w:val="419AC241"/>
    <w:multiLevelType w:val="hybridMultilevel"/>
    <w:lvl w:ilvl="0">
      <w:lvlJc w:val="left"/>
      <w:lvlText w:val="%1."/>
      <w:numFmt w:val="decimal"/>
      <w:start w:val="10"/>
    </w:lvl>
  </w:abstractNum>
  <w:abstractNum w:abstractNumId="29">
    <w:nsid w:val="5577F8E1"/>
    <w:multiLevelType w:val="hybridMultilevel"/>
    <w:lvl w:ilvl="0">
      <w:lvlJc w:val="left"/>
      <w:lvlText w:val="%1."/>
      <w:numFmt w:val="decimal"/>
      <w:start w:val="1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lowerRoman"/>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102"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77" Type="http://schemas.openxmlformats.org/officeDocument/2006/relationships/hyperlink" Target="http://www.sec.gov/Archives/edgar/data/97476/000009747615000003/txn-12312014xexhibit3a.htm" TargetMode="External"/><Relationship Id="rId78" Type="http://schemas.openxmlformats.org/officeDocument/2006/relationships/hyperlink" Target="https://www.sec.gov/Archives/edgar/data/97476/000119312522018409/d252810dex3.htm" TargetMode="External"/><Relationship Id="rId79" Type="http://schemas.openxmlformats.org/officeDocument/2006/relationships/hyperlink" Target="http://www.sec.gov/Archives/edgar/data/97476/000119312511147104/dex42.htm" TargetMode="External"/><Relationship Id="rId80" Type="http://schemas.openxmlformats.org/officeDocument/2006/relationships/hyperlink" Target="http://www.sec.gov/Archives/edgar/data/97476/000119312513206195/d533359dex42.htm" TargetMode="External"/><Relationship Id="rId81" Type="http://schemas.openxmlformats.org/officeDocument/2006/relationships/hyperlink" Target="http://www.sec.gov/Archives/edgar/data/97476/000119312514094885/d691140dex42.htm" TargetMode="External"/><Relationship Id="rId82" Type="http://schemas.openxmlformats.org/officeDocument/2006/relationships/hyperlink" Target="http://www.sec.gov/Archives/edgar/data/97476/000119312516581435/d194090dex41.htm" TargetMode="External"/><Relationship Id="rId83" Type="http://schemas.openxmlformats.org/officeDocument/2006/relationships/hyperlink" Target="http://www.sec.gov/Archives/edgar/data/97476/000119312517158011/d582525dex41.htm" TargetMode="External"/><Relationship Id="rId84" Type="http://schemas.openxmlformats.org/officeDocument/2006/relationships/hyperlink" Target="http://www.sec.gov/Archives/edgar/data/97476/000119312517332507/d482992dex41.htm" TargetMode="External"/><Relationship Id="rId85" Type="http://schemas.openxmlformats.org/officeDocument/2006/relationships/hyperlink" Target="http://www.sec.gov/Archives/edgar/data/97476/000119312518154669/d579571dex41.htm" TargetMode="External"/><Relationship Id="rId86" Type="http://schemas.openxmlformats.org/officeDocument/2006/relationships/hyperlink" Target="http://www.sec.gov/Archives/edgar/data/97476/000119312518187735/d603255dex41.htm" TargetMode="External"/><Relationship Id="rId87" Type="http://schemas.openxmlformats.org/officeDocument/2006/relationships/hyperlink" Target="http://www.sec.gov/Archives/edgar/data/97476/000119312519070297/d713107dex41.htm" TargetMode="External"/><Relationship Id="rId88" Type="http://schemas.openxmlformats.org/officeDocument/2006/relationships/hyperlink" Target="http://www.sec.gov/Archives/edgar/data/97476/000119312519237540/d783480dex41.htm" TargetMode="External"/><Relationship Id="rId89" Type="http://schemas.openxmlformats.org/officeDocument/2006/relationships/hyperlink" Target="http://www.sec.gov/Archives/edgar/data/97476/000119312520071568/d883949dex41.htm" TargetMode="External"/><Relationship Id="rId90" Type="http://schemas.openxmlformats.org/officeDocument/2006/relationships/hyperlink" Target="http://www.sec.gov/Archives/edgar/data/97476/000156459020020837/txn-ex41_7.htm" TargetMode="External"/><Relationship Id="rId91" Type="http://schemas.openxmlformats.org/officeDocument/2006/relationships/hyperlink" Target="http://www.sec.gov/Archives/edgar/data/97476/000009747620000009/q42019txnex4l.htm" TargetMode="External"/><Relationship Id="rId92" Type="http://schemas.openxmlformats.org/officeDocument/2006/relationships/hyperlink" Target="https://www.sec.gov/Archives/edgar/data/0000097476/000119312521273955/d226154dex41.htm" TargetMode="External"/><Relationship Id="rId93" Type="http://schemas.openxmlformats.org/officeDocument/2006/relationships/hyperlink" Target="http://www.sec.gov/Archives/edgar/data/97476/000156459016013126/txn-ex10a_325.htm" TargetMode="External"/><Relationship Id="rId94" Type="http://schemas.openxmlformats.org/officeDocument/2006/relationships/hyperlink" Target="http://www.sec.gov/Archives/edgar/data/97476/000156459016013126/txn-ex10b_263.htm" TargetMode="External"/><Relationship Id="rId95" Type="http://schemas.openxmlformats.org/officeDocument/2006/relationships/hyperlink" Target="http://www.sec.gov/Archives/edgar/data/97476/000156459016013126/txn-ex10c_264.htm" TargetMode="External"/><Relationship Id="rId96" Type="http://schemas.openxmlformats.org/officeDocument/2006/relationships/hyperlink" Target="http://www.sec.gov/Archives/edgar/data/97476/000009747612000010/txn-12312011xexhibit10c.htm" TargetMode="External"/><Relationship Id="rId97" Type="http://schemas.openxmlformats.org/officeDocument/2006/relationships/hyperlink" Target="http://www.sec.gov/Archives/edgar/data/97476/000009747615000003/txn-12312014xexhibit10j.htm" TargetMode="External"/><Relationship Id="rId98" Type="http://schemas.openxmlformats.org/officeDocument/2006/relationships/hyperlink" Target="http://www.sec.gov/Archives/edgar/data/97476/000156459017002142/txn-ex10k_1019.htm" TargetMode="External"/><Relationship Id="rId99" Type="http://schemas.openxmlformats.org/officeDocument/2006/relationships/hyperlink" Target="http://www.sec.gov/Archives/edgar/data/97476/000156459017002142/txn-ex10l_1018.htm" TargetMode="External"/><Relationship Id="rId100" Type="http://schemas.openxmlformats.org/officeDocument/2006/relationships/hyperlink" Target="http://www.sec.gov/Archives/edgar/data/97476/000119312516497866/d117862ddef14a.htm" TargetMode="External"/><Relationship Id="rId101" Type="http://schemas.openxmlformats.org/officeDocument/2006/relationships/hyperlink" Target="http://www.sec.gov/Archives/edgar/data/97476/000156459017002142/txn-ex10n_1020.htm" TargetMode="External"/><Relationship Id="rId103" Type="http://schemas.openxmlformats.org/officeDocument/2006/relationships/hyperlink" Target="http://www.sec.gov/Archives/edgar/data/97476/000009747620000009/q42019txne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2022-02-04T11:37:57Z</dcterms:created>
  <dcterms:modified xsi:type="dcterms:W3CDTF">2022-02-04T11:37:57Z</dcterms:modified>
</cp:coreProperties>
</file>