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419735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61" w:lineRule="exact"/>
        <w:rPr>
          <w:sz w:val="24"/>
          <w:szCs w:val="24"/>
          <w:color w:val="auto"/>
        </w:rPr>
      </w:pPr>
    </w:p>
    <w:p>
      <w:pPr>
        <w:ind w:left="2580"/>
        <w:spacing w:after="0"/>
        <w:rPr>
          <w:sz w:val="20"/>
          <w:szCs w:val="20"/>
          <w:color w:val="auto"/>
        </w:rPr>
      </w:pPr>
      <w:r>
        <w:rPr>
          <w:rFonts w:ascii="Arial" w:cs="Arial" w:eastAsia="Arial" w:hAnsi="Arial"/>
          <w:sz w:val="17"/>
          <w:szCs w:val="17"/>
          <w:b w:val="1"/>
          <w:bCs w:val="1"/>
          <w:color w:val="auto"/>
        </w:rPr>
        <w:t>DATE OF REPORT (DATE OF EARLIEST EVENT REPORTED): July 24,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607695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1044" w:right="7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63"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1044" w:right="739" w:bottom="1440" w:gutter="0" w:footer="0" w:header="0"/>
          <w:type w:val="continuous"/>
        </w:sectPr>
      </w:pPr>
    </w:p>
    <w:p>
      <w:pPr>
        <w:spacing w:after="0" w:line="15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1044" w:right="739" w:bottom="1440" w:gutter="0" w:footer="0" w:header="0"/>
          <w:type w:val="continuous"/>
        </w:sectPr>
      </w:pPr>
    </w:p>
    <w:p>
      <w:pPr>
        <w:spacing w:after="0" w:line="29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600710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044"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Registrant's news release dated July 24, 2006, regarding its second quarter 2006 results of operations and financial condition attached hereto as Exhibit 99 is incorporated by reference herein.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ITEM 9.01. Exhibits</w:t>
            </w:r>
          </w:p>
        </w:tc>
        <w:tc>
          <w:tcPr>
            <w:tcW w:w="360" w:type="dxa"/>
            <w:vAlign w:val="bottom"/>
          </w:tcPr>
          <w:p>
            <w:pPr>
              <w:spacing w:after="0"/>
              <w:rPr>
                <w:sz w:val="20"/>
                <w:szCs w:val="20"/>
                <w:color w:val="auto"/>
              </w:rPr>
            </w:pPr>
          </w:p>
        </w:tc>
        <w:tc>
          <w:tcPr>
            <w:tcW w:w="9200" w:type="dxa"/>
            <w:vAlign w:val="bottom"/>
          </w:tcPr>
          <w:p>
            <w:pPr>
              <w:spacing w:after="0"/>
              <w:rPr>
                <w:sz w:val="20"/>
                <w:szCs w:val="20"/>
                <w:color w:val="auto"/>
              </w:rPr>
            </w:pPr>
          </w:p>
        </w:tc>
      </w:tr>
      <w:tr>
        <w:trPr>
          <w:trHeight w:val="715"/>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Designation</w:t>
            </w:r>
          </w:p>
        </w:tc>
        <w:tc>
          <w:tcPr>
            <w:tcW w:w="36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216"/>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of Exhibit</w:t>
            </w:r>
          </w:p>
        </w:tc>
        <w:tc>
          <w:tcPr>
            <w:tcW w:w="36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in this</w:t>
            </w:r>
          </w:p>
        </w:tc>
        <w:tc>
          <w:tcPr>
            <w:tcW w:w="36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0"/>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53"/>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580" w:type="dxa"/>
            <w:vAlign w:val="bottom"/>
          </w:tcPr>
          <w:p>
            <w:pPr>
              <w:spacing w:after="0"/>
              <w:rPr>
                <w:sz w:val="24"/>
                <w:szCs w:val="24"/>
                <w:color w:val="auto"/>
              </w:rPr>
            </w:pPr>
          </w:p>
        </w:tc>
        <w:tc>
          <w:tcPr>
            <w:tcW w:w="9560" w:type="dxa"/>
            <w:vAlign w:val="bottom"/>
            <w:gridSpan w:val="2"/>
          </w:tcPr>
          <w:p>
            <w:pPr>
              <w:ind w:left="360"/>
              <w:spacing w:after="0"/>
              <w:rPr>
                <w:sz w:val="20"/>
                <w:szCs w:val="20"/>
                <w:color w:val="auto"/>
              </w:rPr>
            </w:pPr>
            <w:r>
              <w:rPr>
                <w:rFonts w:ascii="Arial" w:cs="Arial" w:eastAsia="Arial" w:hAnsi="Arial"/>
                <w:sz w:val="18"/>
                <w:szCs w:val="18"/>
                <w:color w:val="auto"/>
              </w:rPr>
              <w:t>Registrant’s News Release</w:t>
            </w:r>
          </w:p>
        </w:tc>
      </w:tr>
      <w:tr>
        <w:trPr>
          <w:trHeight w:val="270"/>
        </w:trPr>
        <w:tc>
          <w:tcPr>
            <w:tcW w:w="1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560" w:type="dxa"/>
            <w:vAlign w:val="bottom"/>
            <w:gridSpan w:val="2"/>
          </w:tcPr>
          <w:p>
            <w:pPr>
              <w:ind w:left="360"/>
              <w:spacing w:after="0"/>
              <w:rPr>
                <w:sz w:val="20"/>
                <w:szCs w:val="20"/>
                <w:color w:val="auto"/>
              </w:rPr>
            </w:pPr>
            <w:r>
              <w:rPr>
                <w:rFonts w:ascii="Arial" w:cs="Arial" w:eastAsia="Arial" w:hAnsi="Arial"/>
                <w:sz w:val="18"/>
                <w:szCs w:val="18"/>
                <w:color w:val="auto"/>
              </w:rPr>
              <w:t>Dated July 24, 2006 (furnished pursuant to Item 2.02)</w:t>
            </w:r>
          </w:p>
        </w:tc>
      </w:tr>
    </w:tbl>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July 24,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-130175</wp:posOffset>
            </wp:positionV>
            <wp:extent cx="3378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896" w:gutter="0" w:footer="0" w:header="0"/>
        </w:sectPr>
      </w:pPr>
    </w:p>
    <w:bookmarkStart w:id="2" w:name="page3"/>
    <w:bookmarkEnd w:id="2"/>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2Q06 Financial Results</w:t>
      </w:r>
    </w:p>
    <w:p>
      <w:pPr>
        <w:spacing w:after="0" w:line="200" w:lineRule="exact"/>
        <w:rPr>
          <w:sz w:val="20"/>
          <w:szCs w:val="20"/>
          <w:color w:val="auto"/>
        </w:rPr>
      </w:pPr>
    </w:p>
    <w:p>
      <w:pPr>
        <w:spacing w:after="0" w:line="357" w:lineRule="exact"/>
        <w:rPr>
          <w:sz w:val="20"/>
          <w:szCs w:val="20"/>
          <w:color w:val="auto"/>
        </w:rPr>
      </w:pPr>
    </w:p>
    <w:p>
      <w:pPr>
        <w:ind w:left="500" w:hanging="14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Up 11% Sequentially and 24% from a Year Ago, Including $70 Million for Royalty Settlement</w:t>
      </w:r>
    </w:p>
    <w:p>
      <w:pPr>
        <w:spacing w:after="0" w:line="23" w:lineRule="exact"/>
        <w:rPr>
          <w:rFonts w:ascii="Arial" w:cs="Arial" w:eastAsia="Arial" w:hAnsi="Arial"/>
          <w:sz w:val="18"/>
          <w:szCs w:val="18"/>
          <w:color w:val="auto"/>
        </w:rPr>
      </w:pPr>
    </w:p>
    <w:p>
      <w:pPr>
        <w:ind w:left="500" w:hanging="14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$0.47 EPS from Continuing Operations, Up 42% Sequentially and 34% from a Year Ago</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$1.50 EPS from Continuing and Discontinued Operations, Including Gain on Sale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w:t>
      </w:r>
    </w:p>
    <w:p>
      <w:pPr>
        <w:spacing w:after="0" w:line="2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Except as noted, financial results are for continuing operations. The sale of TI’s former Sensors &amp; Controls business was completed on April 27, 2006, and that business is reported as a discontinued operation.</w:t>
      </w:r>
    </w:p>
    <w:p>
      <w:pPr>
        <w:spacing w:after="0" w:line="22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DALLAS (July 24, 2006) - Texas Instruments Incorporated (TI) (NYSE: TXN) today reported revenue of $3.70 billion for the second quarter of 2006. Revenue was 11 percent higher sequentially and 24 percent higher than the same quarter a year ago as demand for the company’s semiconductors continued to strengthen. Sequential growth also benefited from seasonal demand for graphing calculators as retailers began to stock for the upcoming back-to-school season. As previously announced, the company received a $70 million royalty settlement in the quarter that was included in revenue.</w:t>
      </w:r>
    </w:p>
    <w:p>
      <w:pPr>
        <w:spacing w:after="0" w:line="249" w:lineRule="exact"/>
        <w:rPr>
          <w:sz w:val="20"/>
          <w:szCs w:val="20"/>
          <w:color w:val="auto"/>
        </w:rPr>
      </w:pPr>
    </w:p>
    <w:p>
      <w:pPr>
        <w:ind w:right="20" w:firstLine="1774"/>
        <w:spacing w:after="0" w:line="264" w:lineRule="auto"/>
        <w:rPr>
          <w:sz w:val="20"/>
          <w:szCs w:val="20"/>
          <w:color w:val="auto"/>
        </w:rPr>
      </w:pPr>
      <w:r>
        <w:rPr>
          <w:rFonts w:ascii="Arial" w:cs="Arial" w:eastAsia="Arial" w:hAnsi="Arial"/>
          <w:sz w:val="18"/>
          <w:szCs w:val="18"/>
          <w:color w:val="auto"/>
        </w:rPr>
        <w:t>Earnings per share (EPS) from continuing operations were $0.47, up 42 percent sequentially and 34 percent from a year ago. EPS included an expense of $0.03 from stock-based compensation, a benefit of $0.03 from a sales tax refund and a benefit of $0.02 from the royalty settlement. The company began expensing stock options in the third quarter of 2005 and, therefore, equivalent stock-based compensation expense was not reflected in the year-ago quarter, when the company earned $0.35 per share from continuing operations.</w:t>
      </w:r>
    </w:p>
    <w:p>
      <w:pPr>
        <w:spacing w:after="0" w:line="237" w:lineRule="exact"/>
        <w:rPr>
          <w:sz w:val="20"/>
          <w:szCs w:val="20"/>
          <w:color w:val="auto"/>
        </w:rPr>
      </w:pPr>
    </w:p>
    <w:p>
      <w:pPr>
        <w:ind w:right="220" w:firstLine="648"/>
        <w:spacing w:after="0" w:line="319" w:lineRule="auto"/>
        <w:rPr>
          <w:sz w:val="20"/>
          <w:szCs w:val="20"/>
          <w:color w:val="auto"/>
        </w:rPr>
      </w:pPr>
      <w:r>
        <w:rPr>
          <w:rFonts w:ascii="Arial" w:cs="Arial" w:eastAsia="Arial" w:hAnsi="Arial"/>
          <w:sz w:val="16"/>
          <w:szCs w:val="16"/>
          <w:color w:val="auto"/>
        </w:rPr>
        <w:t>“This was another excellent quarter for Texas Instruments,” said Rich Templeton, president and chief executive officer. “All regions of the world showed strong revenue growth from a year ago. Revenue from our wireless semiconductors grew 27 percent, including more than 70 percent growth in 3G; revenue from high-performance analog semiconductors grew 32 percent; and revenue from our DLP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picture technology grew 34 percent.</w:t>
      </w:r>
    </w:p>
    <w:p>
      <w:pPr>
        <w:spacing w:after="0" w:line="72"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“Strategically, our focus on open wireless standards was reinforced by the actions of operators around the world, who are accelerating their infrastructure transitions to GSM because of its cost effectiveness and the wide range of choices it offers,” Templeton said.</w:t>
      </w:r>
    </w:p>
    <w:p>
      <w:pPr>
        <w:spacing w:after="0" w:line="20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“Going into the third quarter, our backlog of orders is up, and our outlook is for seasonal growth. As always, we will pay close attention to the world’s economies and to our inventory in the various market channels.”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8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TI’s gross profit was $1.91 billion, or 51.6 percent of revenue. This was an increase of $235 million from the prior quarter and an increase of $481 million from the year-ago quarter. The increases over both periods reflect higher revenue in the company’s two segments, Semiconductor and Educational &amp; Productivity Solutions (E&amp;PS).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Research and development (R&amp;D) expense was $536 million, or 14.5 percent of revenue. R&amp;D increased $3 million from the prior quarter and $51 million from the year-ago quarter. The increases were due to higher spending for development of new semiconductor devices, particularly associated with wireless applications.</w:t>
      </w:r>
    </w:p>
    <w:p>
      <w:pPr>
        <w:spacing w:after="0" w:line="23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Selling, general and administrative (SG&amp;A) expense was $418 million, or 11.3 percent of revenue. This expense decreased $3 million from the prior quarter and was up $79 million from the year-ago quarter. The increase from a year ago was primarily due to the combination of stock-based compensation expense and higher spending for consumer advertising of the company’s DLP semiconductors used in high-definition televisions.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8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Operating profit was $953 million, or 25.8 percent of revenue. This was an increase of $235 million from the prior quarter primarily due to higher gross profit in both of the company’s segments. It was also an increase of $351 million from the year-ago quarter due to higher gross profit in the Semiconductor segment. Total stock-based compensation expense of $84 million, or 2.3 percent of revenue, was included in Corporate in the second quarter of 2006.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 (OI&amp;E)</w:t>
      </w:r>
    </w:p>
    <w:p>
      <w:pPr>
        <w:spacing w:after="0" w:line="283" w:lineRule="exact"/>
        <w:rPr>
          <w:sz w:val="20"/>
          <w:szCs w:val="20"/>
          <w:color w:val="auto"/>
        </w:rPr>
      </w:pPr>
    </w:p>
    <w:p>
      <w:pPr>
        <w:ind w:right="20" w:firstLine="842"/>
        <w:spacing w:after="0" w:line="277" w:lineRule="auto"/>
        <w:rPr>
          <w:sz w:val="20"/>
          <w:szCs w:val="20"/>
          <w:color w:val="auto"/>
        </w:rPr>
      </w:pPr>
      <w:r>
        <w:rPr>
          <w:rFonts w:ascii="Arial" w:cs="Arial" w:eastAsia="Arial" w:hAnsi="Arial"/>
          <w:sz w:val="18"/>
          <w:szCs w:val="18"/>
          <w:color w:val="auto"/>
        </w:rPr>
        <w:t>OI&amp;E of $88 million increased $36 million from the prior quarter and $32 million from the year-ago quarter due to a sales tax refund and higher interest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from continuing operations was $739 million, or $0.47 per share.</w:t>
      </w:r>
    </w:p>
    <w:p>
      <w:pPr>
        <w:spacing w:after="0" w:line="27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 income, which includes income from continuing and discontinued operations, was $2.39 billion, or $1.50 per share. This included $1.65 billion from discontinued operations, almost all of which was a gain on the sale of the company’s former Sensors &amp; Controls business.</w:t>
      </w:r>
    </w:p>
    <w:p>
      <w:pPr>
        <w:sectPr>
          <w:pgSz w:w="11900" w:h="16838" w:orient="portrait"/>
          <w:cols w:equalWidth="0" w:num="1">
            <w:col w:w="11420"/>
          </w:cols>
          <w:pgMar w:left="240" w:top="132"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Orders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TI orders were $3.91 billion. This was an increase of $302 million from the prior quarter and an increase of $767 million from the year-ago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Both increases were primarily due to higher demand for the company’s semiconductor products.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Cash flow from operations was $667 million. This was an increase of $145 million from the prior quarter and a decrease of $97 million from the year-ago quarter.</w:t>
      </w:r>
    </w:p>
    <w:p>
      <w:pPr>
        <w:spacing w:after="0" w:line="2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the end of the second quarter, total cash (cash and cash equivalents plus short-term investments) was $5.67 billion, up $2.01 billion from the end of the prior quarter and up $1.20 billion from the end of the year-ago quarter. These increases were primarily due to the $2.98 billion of cash from the sale of the company’s Sensors &amp; Controls business as well as income from continuing operations, partially offset by the cash used for stock repurchases. During the second quarter of 2006, the company repurchased 33 million shares of TI common stock for $1.04 billion and paid $47 million in dividends. Also in the quarter, $275 million of variable-rate bank notes were prepaid.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 and Depreciation</w:t>
      </w:r>
    </w:p>
    <w:p>
      <w:pPr>
        <w:spacing w:after="0" w:line="28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Capital expenditures were $374 million. This was a decrease of $34 million from the prior quarter and an increase of $127 million from the year-ago quarter. TI’s capital expenditures in the second quarter were primarily for equipment used in the assembly and test of semiconductors.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was $267 million, a decrease of $3 million from the prior quarter and a decrease of $70 million from the year-ago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Inventories</w:t>
      </w:r>
    </w:p>
    <w:p>
      <w:pPr>
        <w:spacing w:after="0" w:line="283"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Accounts receivable were $1.93 billion. This was an increase of $131 million from the prior quarter due to seasonally higher receivables for calculators in the E&amp;PS segment, and an increase of $191 million from the year-ago quarter reflecting higher revenue. Days sales outstanding were 47 at the end of the second quarter compared with 49 at the end of the prior quarter and 53 at the end of the year-ago quarter.</w:t>
      </w:r>
    </w:p>
    <w:p>
      <w:pPr>
        <w:spacing w:after="0" w:line="220"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Inventory was $1.34 billion at the end of the second quarter. This was an increase of $89 million from the prior quarter as the company built inventory to support expected product shipments in the second half of the year. Compared with the year-ago quarter, inventory increased $219 million. Days of inventory at the end of the second quarter were 67 compared with 67 at the end of the prior quarter and 65 at the end of the year-ago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79"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b w:val="1"/>
          <w:bCs w:val="1"/>
          <w:color w:val="auto"/>
        </w:rPr>
        <w:t>TI intends to provide a mid-quarter update to its financial outlook on September 11, 2006, by issuing a press release and holding a conference call. Both will be available on the company’s web site.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third quarter of 2006, TI expects revenue from continuing operations to be in the following ranges:</w:t>
      </w:r>
    </w:p>
    <w:p>
      <w:pPr>
        <w:spacing w:after="0" w:line="23" w:lineRule="exact"/>
        <w:rPr>
          <w:sz w:val="20"/>
          <w:szCs w:val="20"/>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TI, $3.63 billion to $3.95 billion;</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Semiconductor, $3.45 billion to $3.75 billion; and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Educational &amp; Productivity Solutions, $180 million to $200 million.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expects earnings per share from continuing operations to be in the range of $0.42 to $0.48.</w:t>
      </w:r>
    </w:p>
    <w:p>
      <w:pPr>
        <w:spacing w:after="0" w:line="2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effective tax rate for continuing operations in 2006 is expected to be about 30 percent, unchanged from the prior estimate. This tax rate is based on current tax law and does not assume reinstatement of the federal research tax credit, which expired at the end of 2005. Additionally in 2006 for continuing operations, TI still expects expense for R&amp;D to be about $2.2 billion and capital expenditures to be about $1.3 billion. Depreciation is expected to be about $1.05 billion, up slightly from the prior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b w:val="1"/>
                <w:bCs w:val="1"/>
                <w:color w:val="auto"/>
                <w:w w:val="92"/>
              </w:rPr>
              <w:t>For Three Months Ended</w:t>
            </w: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198"/>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7"/>
                <w:szCs w:val="17"/>
                <w:color w:val="auto"/>
              </w:rPr>
            </w:pPr>
          </w:p>
        </w:tc>
        <w:tc>
          <w:tcPr>
            <w:tcW w:w="130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Mar. 31,</w:t>
            </w:r>
          </w:p>
        </w:tc>
        <w:tc>
          <w:tcPr>
            <w:tcW w:w="280" w:type="dxa"/>
            <w:vAlign w:val="bottom"/>
          </w:tcPr>
          <w:p>
            <w:pPr>
              <w:spacing w:after="0"/>
              <w:rPr>
                <w:sz w:val="17"/>
                <w:szCs w:val="17"/>
                <w:color w:val="auto"/>
              </w:rPr>
            </w:pPr>
          </w:p>
        </w:tc>
        <w:tc>
          <w:tcPr>
            <w:tcW w:w="124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June 30,</w:t>
            </w:r>
          </w:p>
        </w:tc>
      </w:tr>
      <w:tr>
        <w:trPr>
          <w:trHeight w:val="234"/>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0"/>
                <w:szCs w:val="20"/>
                <w:color w:val="auto"/>
              </w:rPr>
            </w:pPr>
          </w:p>
        </w:tc>
      </w:tr>
      <w:tr>
        <w:trPr>
          <w:trHeight w:val="237"/>
        </w:trPr>
        <w:tc>
          <w:tcPr>
            <w:tcW w:w="674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10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28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revenue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3,697</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3,334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2,971</w:t>
            </w:r>
          </w:p>
        </w:tc>
      </w:tr>
      <w:tr>
        <w:trPr>
          <w:trHeight w:val="243"/>
        </w:trPr>
        <w:tc>
          <w:tcPr>
            <w:tcW w:w="67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Cost of revenue (COR)</w:t>
            </w:r>
          </w:p>
        </w:tc>
        <w:tc>
          <w:tcPr>
            <w:tcW w:w="300" w:type="dxa"/>
            <w:vAlign w:val="bottom"/>
            <w:tcBorders>
              <w:bottom w:val="single" w:sz="8" w:color="auto"/>
            </w:tcBorders>
            <w:shd w:val="clear" w:color="auto" w:fill="E2EEF6"/>
          </w:tcPr>
          <w:p>
            <w:pPr>
              <w:spacing w:after="0"/>
              <w:rPr>
                <w:sz w:val="21"/>
                <w:szCs w:val="21"/>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1,790</w:t>
            </w:r>
          </w:p>
        </w:tc>
        <w:tc>
          <w:tcPr>
            <w:tcW w:w="220" w:type="dxa"/>
            <w:vAlign w:val="bottom"/>
            <w:tcBorders>
              <w:bottom w:val="single" w:sz="8" w:color="E2EEF6"/>
            </w:tcBorders>
            <w:shd w:val="clear" w:color="auto" w:fill="E2EEF6"/>
          </w:tcPr>
          <w:p>
            <w:pPr>
              <w:spacing w:after="0"/>
              <w:rPr>
                <w:sz w:val="21"/>
                <w:szCs w:val="21"/>
                <w:color w:val="auto"/>
              </w:rPr>
            </w:pPr>
          </w:p>
        </w:tc>
        <w:tc>
          <w:tcPr>
            <w:tcW w:w="260" w:type="dxa"/>
            <w:vAlign w:val="bottom"/>
            <w:tcBorders>
              <w:bottom w:val="single" w:sz="8" w:color="auto"/>
            </w:tcBorders>
            <w:shd w:val="clear" w:color="auto" w:fill="E2EEF6"/>
          </w:tcPr>
          <w:p>
            <w:pPr>
              <w:spacing w:after="0"/>
              <w:rPr>
                <w:sz w:val="21"/>
                <w:szCs w:val="21"/>
                <w:color w:val="auto"/>
              </w:rPr>
            </w:pPr>
          </w:p>
        </w:tc>
        <w:tc>
          <w:tcPr>
            <w:tcW w:w="11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1,662</w:t>
            </w:r>
          </w:p>
        </w:tc>
        <w:tc>
          <w:tcPr>
            <w:tcW w:w="200" w:type="dxa"/>
            <w:vAlign w:val="bottom"/>
            <w:tcBorders>
              <w:bottom w:val="single" w:sz="8" w:color="E2EEF6"/>
            </w:tcBorders>
            <w:shd w:val="clear" w:color="auto" w:fill="E2EEF6"/>
          </w:tcPr>
          <w:p>
            <w:pPr>
              <w:spacing w:after="0"/>
              <w:rPr>
                <w:sz w:val="21"/>
                <w:szCs w:val="21"/>
                <w:color w:val="auto"/>
              </w:rPr>
            </w:pPr>
          </w:p>
        </w:tc>
        <w:tc>
          <w:tcPr>
            <w:tcW w:w="280" w:type="dxa"/>
            <w:vAlign w:val="bottom"/>
            <w:tcBorders>
              <w:bottom w:val="single" w:sz="8" w:color="auto"/>
            </w:tcBorders>
            <w:shd w:val="clear" w:color="auto" w:fill="E2EEF6"/>
          </w:tcPr>
          <w:p>
            <w:pPr>
              <w:spacing w:after="0"/>
              <w:rPr>
                <w:sz w:val="21"/>
                <w:szCs w:val="21"/>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1,545</w:t>
            </w:r>
          </w:p>
        </w:tc>
        <w:tc>
          <w:tcPr>
            <w:tcW w:w="160" w:type="dxa"/>
            <w:vAlign w:val="bottom"/>
            <w:tcBorders>
              <w:bottom w:val="single" w:sz="8" w:color="E2EEF6"/>
            </w:tcBorders>
            <w:shd w:val="clear" w:color="auto" w:fill="E2EEF6"/>
          </w:tcPr>
          <w:p>
            <w:pPr>
              <w:spacing w:after="0"/>
              <w:rPr>
                <w:sz w:val="21"/>
                <w:szCs w:val="2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1,907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1,672</w:t>
            </w:r>
          </w:p>
        </w:tc>
        <w:tc>
          <w:tcPr>
            <w:tcW w:w="2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1,426</w:t>
            </w:r>
          </w:p>
        </w:tc>
      </w:tr>
      <w:tr>
        <w:trPr>
          <w:trHeight w:val="243"/>
        </w:trPr>
        <w:tc>
          <w:tcPr>
            <w:tcW w:w="6740" w:type="dxa"/>
            <w:vAlign w:val="bottom"/>
            <w:shd w:val="clear" w:color="auto" w:fill="E2EEF6"/>
          </w:tcPr>
          <w:p>
            <w:pPr>
              <w:ind w:left="180"/>
              <w:spacing w:after="0"/>
              <w:rPr>
                <w:sz w:val="20"/>
                <w:szCs w:val="20"/>
                <w:color w:val="auto"/>
              </w:rPr>
            </w:pPr>
            <w:r>
              <w:rPr>
                <w:rFonts w:ascii="Arial" w:cs="Arial" w:eastAsia="Arial" w:hAnsi="Arial"/>
                <w:sz w:val="18"/>
                <w:szCs w:val="18"/>
                <w:color w:val="auto"/>
              </w:rPr>
              <w:t>Gross profit % of revenue</w:t>
            </w:r>
          </w:p>
        </w:tc>
        <w:tc>
          <w:tcPr>
            <w:tcW w:w="30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b w:val="1"/>
                <w:bCs w:val="1"/>
                <w:color w:val="auto"/>
              </w:rPr>
              <w:t>51.6%</w:t>
            </w:r>
          </w:p>
        </w:tc>
        <w:tc>
          <w:tcPr>
            <w:tcW w:w="26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50.1%</w:t>
            </w:r>
          </w:p>
        </w:tc>
        <w:tc>
          <w:tcPr>
            <w:tcW w:w="28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48.0%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536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533</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485</w:t>
            </w:r>
          </w:p>
        </w:tc>
      </w:tr>
      <w:tr>
        <w:trPr>
          <w:trHeight w:val="243"/>
        </w:trPr>
        <w:tc>
          <w:tcPr>
            <w:tcW w:w="6740" w:type="dxa"/>
            <w:vAlign w:val="bottom"/>
            <w:shd w:val="clear" w:color="auto" w:fill="E2EEF6"/>
          </w:tcPr>
          <w:p>
            <w:pPr>
              <w:ind w:left="180"/>
              <w:spacing w:after="0"/>
              <w:rPr>
                <w:sz w:val="20"/>
                <w:szCs w:val="20"/>
                <w:color w:val="auto"/>
              </w:rPr>
            </w:pPr>
            <w:r>
              <w:rPr>
                <w:rFonts w:ascii="Arial" w:cs="Arial" w:eastAsia="Arial" w:hAnsi="Arial"/>
                <w:sz w:val="18"/>
                <w:szCs w:val="18"/>
                <w:color w:val="auto"/>
              </w:rPr>
              <w:t>R&amp;D % of revenue</w:t>
            </w:r>
          </w:p>
        </w:tc>
        <w:tc>
          <w:tcPr>
            <w:tcW w:w="30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b w:val="1"/>
                <w:bCs w:val="1"/>
                <w:color w:val="auto"/>
              </w:rPr>
              <w:t>14.5%</w:t>
            </w:r>
          </w:p>
        </w:tc>
        <w:tc>
          <w:tcPr>
            <w:tcW w:w="26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16.3%</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339</w:t>
            </w:r>
          </w:p>
        </w:tc>
      </w:tr>
      <w:tr>
        <w:trPr>
          <w:trHeight w:val="243"/>
        </w:trPr>
        <w:tc>
          <w:tcPr>
            <w:tcW w:w="6740" w:type="dxa"/>
            <w:vAlign w:val="bottom"/>
            <w:shd w:val="clear" w:color="auto" w:fill="E2EEF6"/>
          </w:tcPr>
          <w:p>
            <w:pPr>
              <w:ind w:left="180"/>
              <w:spacing w:after="0"/>
              <w:rPr>
                <w:sz w:val="20"/>
                <w:szCs w:val="20"/>
                <w:color w:val="auto"/>
              </w:rPr>
            </w:pPr>
            <w:r>
              <w:rPr>
                <w:rFonts w:ascii="Arial" w:cs="Arial" w:eastAsia="Arial" w:hAnsi="Arial"/>
                <w:sz w:val="18"/>
                <w:szCs w:val="18"/>
                <w:color w:val="auto"/>
              </w:rPr>
              <w:t>SG&amp;A % of revenue</w:t>
            </w:r>
          </w:p>
        </w:tc>
        <w:tc>
          <w:tcPr>
            <w:tcW w:w="30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b w:val="1"/>
                <w:bCs w:val="1"/>
                <w:color w:val="auto"/>
              </w:rPr>
              <w:t>11.3%</w:t>
            </w:r>
          </w:p>
        </w:tc>
        <w:tc>
          <w:tcPr>
            <w:tcW w:w="26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11.4%</w:t>
            </w:r>
          </w:p>
        </w:tc>
      </w:tr>
      <w:tr>
        <w:trPr>
          <w:trHeight w:val="243"/>
        </w:trPr>
        <w:tc>
          <w:tcPr>
            <w:tcW w:w="6740" w:type="dxa"/>
            <w:vAlign w:val="bottom"/>
          </w:tcPr>
          <w:p>
            <w:pPr>
              <w:ind w:left="26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60" w:type="dxa"/>
            <w:vAlign w:val="bottom"/>
          </w:tcPr>
          <w:p>
            <w:pPr>
              <w:spacing w:after="0"/>
              <w:rPr>
                <w:sz w:val="21"/>
                <w:szCs w:val="21"/>
                <w:color w:val="auto"/>
              </w:rPr>
            </w:pPr>
          </w:p>
        </w:tc>
      </w:tr>
      <w:tr>
        <w:trPr>
          <w:trHeight w:val="237"/>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Profit from operations</w:t>
            </w: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953</w:t>
            </w:r>
          </w:p>
        </w:tc>
        <w:tc>
          <w:tcPr>
            <w:tcW w:w="22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E2EEF6"/>
          </w:tcPr>
          <w:p>
            <w:pPr>
              <w:spacing w:after="0"/>
              <w:rPr>
                <w:sz w:val="20"/>
                <w:szCs w:val="20"/>
                <w:color w:val="auto"/>
              </w:rPr>
            </w:pPr>
          </w:p>
        </w:tc>
        <w:tc>
          <w:tcPr>
            <w:tcW w:w="12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602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Operating profit % of revenue</w:t>
            </w:r>
          </w:p>
        </w:tc>
        <w:tc>
          <w:tcPr>
            <w:tcW w:w="3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25.8%</w:t>
            </w:r>
          </w:p>
        </w:tc>
        <w:tc>
          <w:tcPr>
            <w:tcW w:w="26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56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r>
      <w:tr>
        <w:trPr>
          <w:trHeight w:val="237"/>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1,039</w:t>
            </w:r>
          </w:p>
        </w:tc>
        <w:tc>
          <w:tcPr>
            <w:tcW w:w="22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767</w:t>
            </w:r>
          </w:p>
        </w:tc>
        <w:tc>
          <w:tcPr>
            <w:tcW w:w="280" w:type="dxa"/>
            <w:vAlign w:val="bottom"/>
            <w:shd w:val="clear" w:color="auto" w:fill="E2EEF6"/>
          </w:tcPr>
          <w:p>
            <w:pPr>
              <w:spacing w:after="0"/>
              <w:rPr>
                <w:sz w:val="20"/>
                <w:szCs w:val="20"/>
                <w:color w:val="auto"/>
              </w:rPr>
            </w:pPr>
          </w:p>
        </w:tc>
        <w:tc>
          <w:tcPr>
            <w:tcW w:w="12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656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1"/>
                <w:szCs w:val="21"/>
                <w:color w:val="auto"/>
              </w:rPr>
            </w:pPr>
          </w:p>
        </w:tc>
      </w:tr>
      <w:tr>
        <w:trPr>
          <w:trHeight w:val="237"/>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739</w:t>
            </w:r>
          </w:p>
        </w:tc>
        <w:tc>
          <w:tcPr>
            <w:tcW w:w="22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542</w:t>
            </w:r>
          </w:p>
        </w:tc>
        <w:tc>
          <w:tcPr>
            <w:tcW w:w="280" w:type="dxa"/>
            <w:vAlign w:val="bottom"/>
            <w:shd w:val="clear" w:color="auto" w:fill="E2EEF6"/>
          </w:tcPr>
          <w:p>
            <w:pPr>
              <w:spacing w:after="0"/>
              <w:rPr>
                <w:sz w:val="20"/>
                <w:szCs w:val="20"/>
                <w:color w:val="auto"/>
              </w:rPr>
            </w:pPr>
          </w:p>
        </w:tc>
        <w:tc>
          <w:tcPr>
            <w:tcW w:w="12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584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1,648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r>
      <w:tr>
        <w:trPr>
          <w:trHeight w:val="28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2,387</w:t>
            </w:r>
          </w:p>
        </w:tc>
        <w:tc>
          <w:tcPr>
            <w:tcW w:w="220" w:type="dxa"/>
            <w:vAlign w:val="bottom"/>
            <w:shd w:val="clear" w:color="auto" w:fill="E2EEF6"/>
          </w:tcPr>
          <w:p>
            <w:pPr>
              <w:spacing w:after="0"/>
              <w:rPr>
                <w:sz w:val="24"/>
                <w:szCs w:val="24"/>
                <w:color w:val="auto"/>
              </w:rPr>
            </w:pP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585</w:t>
            </w:r>
          </w:p>
        </w:tc>
        <w:tc>
          <w:tcPr>
            <w:tcW w:w="280" w:type="dxa"/>
            <w:vAlign w:val="bottom"/>
            <w:shd w:val="clear" w:color="auto" w:fill="E2EEF6"/>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628</w:t>
            </w:r>
          </w:p>
        </w:tc>
      </w:tr>
      <w:tr>
        <w:trPr>
          <w:trHeight w:val="224"/>
        </w:trPr>
        <w:tc>
          <w:tcPr>
            <w:tcW w:w="674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Borders>
              <w:top w:val="single" w:sz="8" w:color="E2EEF6"/>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0" w:type="dxa"/>
            <w:vAlign w:val="bottom"/>
            <w:tcBorders>
              <w:top w:val="single" w:sz="8" w:color="E2EEF6"/>
            </w:tcBorders>
          </w:tcPr>
          <w:p>
            <w:pPr>
              <w:spacing w:after="0"/>
              <w:rPr>
                <w:sz w:val="19"/>
                <w:szCs w:val="19"/>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Basic earnings per common share:</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0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r>
      <w:tr>
        <w:trPr>
          <w:trHeight w:val="283"/>
        </w:trPr>
        <w:tc>
          <w:tcPr>
            <w:tcW w:w="6740" w:type="dxa"/>
            <w:vAlign w:val="bottom"/>
            <w:shd w:val="clear" w:color="auto" w:fill="E2EEF6"/>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1.54</w:t>
            </w:r>
          </w:p>
        </w:tc>
        <w:tc>
          <w:tcPr>
            <w:tcW w:w="220" w:type="dxa"/>
            <w:vAlign w:val="bottom"/>
            <w:shd w:val="clear" w:color="auto" w:fill="E2EEF6"/>
          </w:tcPr>
          <w:p>
            <w:pPr>
              <w:spacing w:after="0"/>
              <w:rPr>
                <w:sz w:val="24"/>
                <w:szCs w:val="24"/>
                <w:color w:val="auto"/>
              </w:rPr>
            </w:pP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E2EEF6"/>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.38</w:t>
            </w:r>
          </w:p>
        </w:tc>
      </w:tr>
      <w:tr>
        <w:trPr>
          <w:trHeight w:val="224"/>
        </w:trPr>
        <w:tc>
          <w:tcPr>
            <w:tcW w:w="674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Borders>
              <w:top w:val="single" w:sz="8" w:color="E2EEF6"/>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0" w:type="dxa"/>
            <w:vAlign w:val="bottom"/>
            <w:tcBorders>
              <w:top w:val="single" w:sz="8" w:color="E2EEF6"/>
            </w:tcBorders>
          </w:tcPr>
          <w:p>
            <w:pPr>
              <w:spacing w:after="0"/>
              <w:rPr>
                <w:sz w:val="19"/>
                <w:szCs w:val="19"/>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0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r>
      <w:tr>
        <w:trPr>
          <w:trHeight w:val="283"/>
        </w:trPr>
        <w:tc>
          <w:tcPr>
            <w:tcW w:w="6740" w:type="dxa"/>
            <w:vAlign w:val="bottom"/>
            <w:shd w:val="clear" w:color="auto" w:fill="E2EEF6"/>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1.50</w:t>
            </w:r>
          </w:p>
        </w:tc>
        <w:tc>
          <w:tcPr>
            <w:tcW w:w="220" w:type="dxa"/>
            <w:vAlign w:val="bottom"/>
            <w:shd w:val="clear" w:color="auto" w:fill="E2EEF6"/>
          </w:tcPr>
          <w:p>
            <w:pPr>
              <w:spacing w:after="0"/>
              <w:rPr>
                <w:sz w:val="24"/>
                <w:szCs w:val="24"/>
                <w:color w:val="auto"/>
              </w:rPr>
            </w:pP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E2EEF6"/>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.38</w:t>
            </w:r>
          </w:p>
        </w:tc>
      </w:tr>
      <w:tr>
        <w:trPr>
          <w:trHeight w:val="224"/>
        </w:trPr>
        <w:tc>
          <w:tcPr>
            <w:tcW w:w="674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Borders>
              <w:top w:val="single" w:sz="8" w:color="E2EEF6"/>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0" w:type="dxa"/>
            <w:vAlign w:val="bottom"/>
            <w:tcBorders>
              <w:top w:val="single" w:sz="8" w:color="E2EEF6"/>
            </w:tcBorders>
          </w:tcPr>
          <w:p>
            <w:pPr>
              <w:spacing w:after="0"/>
              <w:rPr>
                <w:sz w:val="19"/>
                <w:szCs w:val="19"/>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Average shares outstanding (millions):</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0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6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6740" w:type="dxa"/>
            <w:vAlign w:val="bottom"/>
            <w:tcBorders>
              <w:bottom w:val="single" w:sz="8" w:color="E2EEF6"/>
            </w:tcBorders>
            <w:shd w:val="clear" w:color="auto" w:fill="E2EEF6"/>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E2EEF6"/>
          </w:tcPr>
          <w:p>
            <w:pPr>
              <w:spacing w:after="0"/>
              <w:rPr>
                <w:sz w:val="22"/>
                <w:szCs w:val="22"/>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1,586</w:t>
            </w:r>
          </w:p>
        </w:tc>
        <w:tc>
          <w:tcPr>
            <w:tcW w:w="220" w:type="dxa"/>
            <w:vAlign w:val="bottom"/>
            <w:tcBorders>
              <w:bottom w:val="single" w:sz="8" w:color="E2EEF6"/>
            </w:tcBorders>
            <w:shd w:val="clear" w:color="auto" w:fill="E2EEF6"/>
          </w:tcPr>
          <w:p>
            <w:pPr>
              <w:spacing w:after="0"/>
              <w:rPr>
                <w:sz w:val="22"/>
                <w:szCs w:val="22"/>
                <w:color w:val="auto"/>
              </w:rPr>
            </w:pPr>
          </w:p>
        </w:tc>
        <w:tc>
          <w:tcPr>
            <w:tcW w:w="260" w:type="dxa"/>
            <w:vAlign w:val="bottom"/>
            <w:tcBorders>
              <w:bottom w:val="single" w:sz="8" w:color="auto"/>
            </w:tcBorders>
            <w:shd w:val="clear" w:color="auto" w:fill="E2EEF6"/>
          </w:tcPr>
          <w:p>
            <w:pPr>
              <w:spacing w:after="0"/>
              <w:rPr>
                <w:sz w:val="22"/>
                <w:szCs w:val="22"/>
                <w:color w:val="auto"/>
              </w:rPr>
            </w:pPr>
          </w:p>
        </w:tc>
        <w:tc>
          <w:tcPr>
            <w:tcW w:w="11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1,618</w:t>
            </w:r>
          </w:p>
        </w:tc>
        <w:tc>
          <w:tcPr>
            <w:tcW w:w="200" w:type="dxa"/>
            <w:vAlign w:val="bottom"/>
            <w:tcBorders>
              <w:bottom w:val="single" w:sz="8" w:color="E2EEF6"/>
            </w:tcBorders>
            <w:shd w:val="clear" w:color="auto" w:fill="E2EEF6"/>
          </w:tcPr>
          <w:p>
            <w:pPr>
              <w:spacing w:after="0"/>
              <w:rPr>
                <w:sz w:val="22"/>
                <w:szCs w:val="22"/>
                <w:color w:val="auto"/>
              </w:rPr>
            </w:pPr>
          </w:p>
        </w:tc>
        <w:tc>
          <w:tcPr>
            <w:tcW w:w="280" w:type="dxa"/>
            <w:vAlign w:val="bottom"/>
            <w:tcBorders>
              <w:bottom w:val="single" w:sz="8" w:color="auto"/>
            </w:tcBorders>
            <w:shd w:val="clear" w:color="auto" w:fill="E2EEF6"/>
          </w:tcPr>
          <w:p>
            <w:pPr>
              <w:spacing w:after="0"/>
              <w:rPr>
                <w:sz w:val="22"/>
                <w:szCs w:val="22"/>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1,669</w:t>
            </w:r>
          </w:p>
        </w:tc>
        <w:tc>
          <w:tcPr>
            <w:tcW w:w="160" w:type="dxa"/>
            <w:vAlign w:val="bottom"/>
            <w:tcBorders>
              <w:bottom w:val="single" w:sz="8" w:color="E2EEF6"/>
            </w:tcBorders>
            <w:shd w:val="clear" w:color="auto" w:fill="E2EEF6"/>
          </w:tcPr>
          <w:p>
            <w:pPr>
              <w:spacing w:after="0"/>
              <w:rPr>
                <w:sz w:val="22"/>
                <w:szCs w:val="22"/>
                <w:color w:val="auto"/>
              </w:rPr>
            </w:pPr>
          </w:p>
        </w:tc>
      </w:tr>
      <w:tr>
        <w:trPr>
          <w:trHeight w:val="224"/>
        </w:trPr>
        <w:tc>
          <w:tcPr>
            <w:tcW w:w="6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r>
      <w:tr>
        <w:trPr>
          <w:trHeight w:val="28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Cash dividends declared per share of common stock</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.030</w:t>
            </w:r>
          </w:p>
        </w:tc>
        <w:tc>
          <w:tcPr>
            <w:tcW w:w="220" w:type="dxa"/>
            <w:vAlign w:val="bottom"/>
            <w:shd w:val="clear" w:color="auto" w:fill="E2EEF6"/>
          </w:tcPr>
          <w:p>
            <w:pPr>
              <w:spacing w:after="0"/>
              <w:rPr>
                <w:sz w:val="24"/>
                <w:szCs w:val="24"/>
                <w:color w:val="auto"/>
              </w:rPr>
            </w:pP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.030</w:t>
            </w:r>
          </w:p>
        </w:tc>
        <w:tc>
          <w:tcPr>
            <w:tcW w:w="280" w:type="dxa"/>
            <w:vAlign w:val="bottom"/>
            <w:shd w:val="clear" w:color="auto" w:fill="E2EEF6"/>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.025</w:t>
            </w:r>
          </w:p>
        </w:tc>
      </w:tr>
      <w:tr>
        <w:trPr>
          <w:trHeight w:val="224"/>
        </w:trPr>
        <w:tc>
          <w:tcPr>
            <w:tcW w:w="674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Borders>
              <w:top w:val="single" w:sz="8" w:color="E2EEF6"/>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0" w:type="dxa"/>
            <w:vAlign w:val="bottom"/>
            <w:tcBorders>
              <w:top w:val="single" w:sz="8" w:color="E2EEF6"/>
            </w:tcBorders>
          </w:tcPr>
          <w:p>
            <w:pPr>
              <w:spacing w:after="0"/>
              <w:rPr>
                <w:sz w:val="19"/>
                <w:szCs w:val="19"/>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Stock-based compensation expense included in continuing operations:</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0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r>
      <w:tr>
        <w:trPr>
          <w:trHeight w:val="243"/>
        </w:trPr>
        <w:tc>
          <w:tcPr>
            <w:tcW w:w="6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COR</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R&amp;D</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SG&amp;A</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20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Profit from operations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41"/>
        </w:trPr>
        <w:tc>
          <w:tcPr>
            <w:tcW w:w="6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43"/>
        </w:trPr>
        <w:tc>
          <w:tcPr>
            <w:tcW w:w="6740" w:type="dxa"/>
            <w:vAlign w:val="bottom"/>
            <w:shd w:val="clear" w:color="auto" w:fill="E2EEF6"/>
          </w:tcPr>
          <w:p>
            <w:pPr>
              <w:ind w:left="180"/>
              <w:spacing w:after="0"/>
              <w:rPr>
                <w:sz w:val="20"/>
                <w:szCs w:val="20"/>
                <w:color w:val="auto"/>
              </w:rPr>
            </w:pPr>
            <w:r>
              <w:rPr>
                <w:rFonts w:ascii="Arial" w:cs="Arial" w:eastAsia="Arial" w:hAnsi="Arial"/>
                <w:sz w:val="18"/>
                <w:szCs w:val="18"/>
                <w:color w:val="auto"/>
              </w:rPr>
              <w:t>% of revenue</w:t>
            </w:r>
          </w:p>
        </w:tc>
        <w:tc>
          <w:tcPr>
            <w:tcW w:w="30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b w:val="1"/>
                <w:bCs w:val="1"/>
                <w:color w:val="auto"/>
              </w:rPr>
              <w:t>2.3%</w:t>
            </w:r>
          </w:p>
        </w:tc>
        <w:tc>
          <w:tcPr>
            <w:tcW w:w="260" w:type="dxa"/>
            <w:vAlign w:val="bottom"/>
            <w:shd w:val="clear" w:color="auto" w:fill="E2EEF6"/>
          </w:tcPr>
          <w:p>
            <w:pPr>
              <w:spacing w:after="0"/>
              <w:rPr>
                <w:sz w:val="21"/>
                <w:szCs w:val="21"/>
                <w:color w:val="auto"/>
              </w:rPr>
            </w:pPr>
          </w:p>
        </w:tc>
        <w:tc>
          <w:tcPr>
            <w:tcW w:w="130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0.2%</w:t>
            </w:r>
          </w:p>
        </w:tc>
      </w:tr>
      <w:tr>
        <w:trPr>
          <w:trHeight w:val="604"/>
        </w:trPr>
        <w:tc>
          <w:tcPr>
            <w:tcW w:w="67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 31,</w:t>
            </w:r>
          </w:p>
        </w:tc>
        <w:tc>
          <w:tcPr>
            <w:tcW w:w="2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gridSpan w:val="2"/>
            <w:shd w:val="clear" w:color="auto" w:fill="E2EEF6"/>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E2EEF6"/>
          </w:tcPr>
          <w:p>
            <w:pPr>
              <w:spacing w:after="0"/>
              <w:rPr>
                <w:sz w:val="20"/>
                <w:szCs w:val="20"/>
                <w:color w:val="auto"/>
              </w:rPr>
            </w:pPr>
          </w:p>
        </w:tc>
        <w:tc>
          <w:tcPr>
            <w:tcW w:w="112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1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1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1,678</w:t>
            </w:r>
          </w:p>
        </w:tc>
        <w:tc>
          <w:tcPr>
            <w:tcW w:w="140" w:type="dxa"/>
            <w:vAlign w:val="bottom"/>
            <w:shd w:val="clear" w:color="auto" w:fill="E2EEF6"/>
          </w:tcPr>
          <w:p>
            <w:pPr>
              <w:spacing w:after="0"/>
              <w:rPr>
                <w:sz w:val="21"/>
                <w:szCs w:val="21"/>
                <w:color w:val="auto"/>
              </w:rPr>
            </w:pPr>
          </w:p>
        </w:tc>
        <w:tc>
          <w:tcPr>
            <w:tcW w:w="3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722</w:t>
            </w: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3,992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Accounts receivable, net of allowances of ($28), ($32) and ($34)</w:t>
            </w: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1,929</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1,798</w:t>
            </w: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108</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818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819</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409</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E2EEF6"/>
          </w:tcPr>
          <w:p>
            <w:pPr>
              <w:spacing w:after="0"/>
              <w:rPr>
                <w:sz w:val="20"/>
                <w:szCs w:val="20"/>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632</w:t>
            </w:r>
          </w:p>
        </w:tc>
        <w:tc>
          <w:tcPr>
            <w:tcW w:w="1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626</w:t>
            </w:r>
          </w:p>
        </w:tc>
        <w:tc>
          <w:tcPr>
            <w:tcW w:w="26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Assets of discontinued operations</w:t>
            </w: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516</w:t>
            </w:r>
          </w:p>
        </w:tc>
        <w:tc>
          <w:tcPr>
            <w:tcW w:w="26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9,792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Property, plant and equipment at cost</w:t>
            </w:r>
          </w:p>
        </w:tc>
        <w:tc>
          <w:tcPr>
            <w:tcW w:w="260" w:type="dxa"/>
            <w:vAlign w:val="bottom"/>
            <w:shd w:val="clear" w:color="auto" w:fill="E2EEF6"/>
          </w:tcPr>
          <w:p>
            <w:pPr>
              <w:spacing w:after="0"/>
              <w:rPr>
                <w:sz w:val="20"/>
                <w:szCs w:val="20"/>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8,406</w:t>
            </w:r>
          </w:p>
        </w:tc>
        <w:tc>
          <w:tcPr>
            <w:tcW w:w="1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8,442</w:t>
            </w:r>
          </w:p>
        </w:tc>
        <w:tc>
          <w:tcPr>
            <w:tcW w:w="22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(4,574)</w:t>
            </w:r>
          </w:p>
        </w:tc>
        <w:tc>
          <w:tcPr>
            <w:tcW w:w="2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E2EEF6"/>
            </w:tcBorders>
            <w:gridSpan w:val="2"/>
            <w:shd w:val="clear" w:color="auto" w:fill="E2EEF6"/>
          </w:tcPr>
          <w:p>
            <w:pPr>
              <w:ind w:left="16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top w:val="single" w:sz="8" w:color="auto"/>
              <w:bottom w:val="single" w:sz="8" w:color="auto"/>
            </w:tcBorders>
            <w:shd w:val="clear" w:color="auto" w:fill="E2EEF6"/>
          </w:tcPr>
          <w:p>
            <w:pPr>
              <w:spacing w:after="0"/>
              <w:rPr>
                <w:sz w:val="20"/>
                <w:szCs w:val="20"/>
                <w:color w:val="auto"/>
              </w:rPr>
            </w:pPr>
          </w:p>
        </w:tc>
        <w:tc>
          <w:tcPr>
            <w:tcW w:w="112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3,984</w:t>
            </w:r>
          </w:p>
        </w:tc>
        <w:tc>
          <w:tcPr>
            <w:tcW w:w="140" w:type="dxa"/>
            <w:vAlign w:val="bottom"/>
            <w:tcBorders>
              <w:bottom w:val="single" w:sz="8" w:color="E2EEF6"/>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c>
          <w:tcPr>
            <w:tcW w:w="260" w:type="dxa"/>
            <w:vAlign w:val="bottom"/>
            <w:tcBorders>
              <w:top w:val="single" w:sz="8" w:color="auto"/>
              <w:bottom w:val="single" w:sz="8" w:color="auto"/>
            </w:tcBorders>
            <w:shd w:val="clear" w:color="auto" w:fill="E2EEF6"/>
          </w:tcPr>
          <w:p>
            <w:pPr>
              <w:spacing w:after="0"/>
              <w:rPr>
                <w:sz w:val="20"/>
                <w:szCs w:val="20"/>
                <w:color w:val="auto"/>
              </w:rPr>
            </w:pPr>
          </w:p>
        </w:tc>
        <w:tc>
          <w:tcPr>
            <w:tcW w:w="112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3,868</w:t>
            </w:r>
          </w:p>
        </w:tc>
        <w:tc>
          <w:tcPr>
            <w:tcW w:w="220" w:type="dxa"/>
            <w:vAlign w:val="bottom"/>
            <w:tcBorders>
              <w:bottom w:val="single" w:sz="8" w:color="E2EEF6"/>
            </w:tcBorders>
            <w:shd w:val="clear" w:color="auto" w:fill="E2EEF6"/>
          </w:tcPr>
          <w:p>
            <w:pPr>
              <w:spacing w:after="0"/>
              <w:rPr>
                <w:sz w:val="20"/>
                <w:szCs w:val="20"/>
                <w:color w:val="auto"/>
              </w:rPr>
            </w:pPr>
          </w:p>
        </w:tc>
        <w:tc>
          <w:tcPr>
            <w:tcW w:w="260" w:type="dxa"/>
            <w:vAlign w:val="bottom"/>
            <w:tcBorders>
              <w:top w:val="single" w:sz="8" w:color="auto"/>
              <w:bottom w:val="single" w:sz="8" w:color="auto"/>
            </w:tcBorders>
            <w:shd w:val="clear" w:color="auto" w:fill="E2EEF6"/>
          </w:tcPr>
          <w:p>
            <w:pPr>
              <w:spacing w:after="0"/>
              <w:rPr>
                <w:sz w:val="20"/>
                <w:szCs w:val="20"/>
                <w:color w:val="auto"/>
              </w:rPr>
            </w:pPr>
          </w:p>
        </w:tc>
        <w:tc>
          <w:tcPr>
            <w:tcW w:w="110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E2EEF6"/>
            </w:tcBorders>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spacing w:after="0"/>
              <w:rPr>
                <w:sz w:val="20"/>
                <w:szCs w:val="20"/>
                <w:color w:val="auto"/>
              </w:rPr>
            </w:pPr>
            <w:r>
              <w:rPr>
                <w:rFonts w:ascii="Arial" w:cs="Arial" w:eastAsia="Arial" w:hAnsi="Arial"/>
                <w:sz w:val="18"/>
                <w:szCs w:val="18"/>
                <w:color w:val="auto"/>
              </w:rPr>
              <w:t>Equity and debt investments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792</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793</w:t>
            </w:r>
          </w:p>
        </w:tc>
        <w:tc>
          <w:tcPr>
            <w:tcW w:w="26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43"/>
        </w:trPr>
        <w:tc>
          <w:tcPr>
            <w:tcW w:w="6740" w:type="dxa"/>
            <w:vAlign w:val="bottom"/>
            <w:gridSpan w:val="3"/>
          </w:tcPr>
          <w:p>
            <w:pPr>
              <w:spacing w:after="0"/>
              <w:rPr>
                <w:sz w:val="20"/>
                <w:szCs w:val="20"/>
                <w:color w:val="auto"/>
              </w:rPr>
            </w:pPr>
            <w:r>
              <w:rPr>
                <w:rFonts w:ascii="Arial" w:cs="Arial" w:eastAsia="Arial" w:hAnsi="Arial"/>
                <w:sz w:val="18"/>
                <w:szCs w:val="18"/>
                <w:color w:val="auto"/>
              </w:rPr>
              <w:t>Acquisition-related intangibles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428</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6740" w:type="dxa"/>
            <w:vAlign w:val="bottom"/>
            <w:gridSpan w:val="3"/>
          </w:tcPr>
          <w:p>
            <w:pPr>
              <w:spacing w:after="0"/>
              <w:rPr>
                <w:sz w:val="20"/>
                <w:szCs w:val="20"/>
                <w:color w:val="auto"/>
              </w:rPr>
            </w:pPr>
            <w:r>
              <w:rPr>
                <w:rFonts w:ascii="Arial" w:cs="Arial" w:eastAsia="Arial" w:hAnsi="Arial"/>
                <w:sz w:val="18"/>
                <w:szCs w:val="18"/>
                <w:color w:val="auto"/>
              </w:rPr>
              <w:t>Capitalized software licenses, net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Prepaid retirement costs</w:t>
            </w: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219</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67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72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15,928</w:t>
            </w:r>
          </w:p>
        </w:tc>
        <w:tc>
          <w:tcPr>
            <w:tcW w:w="140" w:type="dxa"/>
            <w:vAlign w:val="bottom"/>
            <w:shd w:val="clear" w:color="auto" w:fill="E2EEF6"/>
          </w:tcPr>
          <w:p>
            <w:pPr>
              <w:spacing w:after="0"/>
              <w:rPr>
                <w:sz w:val="24"/>
                <w:szCs w:val="24"/>
                <w:color w:val="auto"/>
              </w:rPr>
            </w:pPr>
          </w:p>
        </w:tc>
        <w:tc>
          <w:tcPr>
            <w:tcW w:w="3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14,038</w:t>
            </w: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14,486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tcBorders>
              <w:top w:val="single" w:sz="8" w:color="E2EEF6"/>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Borders>
              <w:top w:val="single" w:sz="8" w:color="E2EEF6"/>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Loans payable and current portion of long-term debt</w:t>
            </w: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43</w:t>
            </w:r>
          </w:p>
        </w:tc>
        <w:tc>
          <w:tcPr>
            <w:tcW w:w="140" w:type="dxa"/>
            <w:vAlign w:val="bottom"/>
            <w:shd w:val="clear" w:color="auto" w:fill="E2EEF6"/>
          </w:tcPr>
          <w:p>
            <w:pPr>
              <w:spacing w:after="0"/>
              <w:rPr>
                <w:sz w:val="21"/>
                <w:szCs w:val="21"/>
                <w:color w:val="auto"/>
              </w:rPr>
            </w:pPr>
          </w:p>
        </w:tc>
        <w:tc>
          <w:tcPr>
            <w:tcW w:w="3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788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994</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895</w:t>
            </w:r>
          </w:p>
        </w:tc>
        <w:tc>
          <w:tcPr>
            <w:tcW w:w="26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870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Accrued profit sharing and retirement</w:t>
            </w: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77</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Liabilities of discontinued operations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E2EEF6"/>
            </w:tcBorders>
            <w:gridSpan w:val="2"/>
            <w:shd w:val="clear" w:color="auto" w:fill="E2EEF6"/>
          </w:tcPr>
          <w:p>
            <w:pPr>
              <w:ind w:left="1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E2EEF6"/>
          </w:tcPr>
          <w:p>
            <w:pPr>
              <w:spacing w:after="0"/>
              <w:rPr>
                <w:sz w:val="20"/>
                <w:szCs w:val="20"/>
                <w:color w:val="auto"/>
              </w:rPr>
            </w:pPr>
          </w:p>
        </w:tc>
        <w:tc>
          <w:tcPr>
            <w:tcW w:w="1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2,783</w:t>
            </w:r>
          </w:p>
        </w:tc>
        <w:tc>
          <w:tcPr>
            <w:tcW w:w="140" w:type="dxa"/>
            <w:vAlign w:val="bottom"/>
            <w:tcBorders>
              <w:bottom w:val="single" w:sz="8" w:color="E2EEF6"/>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c>
          <w:tcPr>
            <w:tcW w:w="260" w:type="dxa"/>
            <w:vAlign w:val="bottom"/>
            <w:tcBorders>
              <w:bottom w:val="single" w:sz="8" w:color="auto"/>
            </w:tcBorders>
            <w:shd w:val="clear" w:color="auto" w:fill="E2EEF6"/>
          </w:tcPr>
          <w:p>
            <w:pPr>
              <w:spacing w:after="0"/>
              <w:rPr>
                <w:sz w:val="20"/>
                <w:szCs w:val="20"/>
                <w:color w:val="auto"/>
              </w:rPr>
            </w:pPr>
          </w:p>
        </w:tc>
        <w:tc>
          <w:tcPr>
            <w:tcW w:w="1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2,095</w:t>
            </w:r>
          </w:p>
        </w:tc>
        <w:tc>
          <w:tcPr>
            <w:tcW w:w="220" w:type="dxa"/>
            <w:vAlign w:val="bottom"/>
            <w:tcBorders>
              <w:bottom w:val="single" w:sz="8" w:color="E2EEF6"/>
            </w:tcBorders>
            <w:shd w:val="clear" w:color="auto" w:fill="E2EEF6"/>
          </w:tcPr>
          <w:p>
            <w:pPr>
              <w:spacing w:after="0"/>
              <w:rPr>
                <w:sz w:val="20"/>
                <w:szCs w:val="20"/>
                <w:color w:val="auto"/>
              </w:rPr>
            </w:pPr>
          </w:p>
        </w:tc>
        <w:tc>
          <w:tcPr>
            <w:tcW w:w="260" w:type="dxa"/>
            <w:vAlign w:val="bottom"/>
            <w:tcBorders>
              <w:bottom w:val="single" w:sz="8" w:color="auto"/>
            </w:tcBorders>
            <w:shd w:val="clear" w:color="auto" w:fill="E2EEF6"/>
          </w:tcPr>
          <w:p>
            <w:pPr>
              <w:spacing w:after="0"/>
              <w:rPr>
                <w:sz w:val="20"/>
                <w:szCs w:val="20"/>
                <w:color w:val="auto"/>
              </w:rPr>
            </w:pPr>
          </w:p>
        </w:tc>
        <w:tc>
          <w:tcPr>
            <w:tcW w:w="11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E2EEF6"/>
            </w:tcBorders>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Accrued retirement costs</w:t>
            </w: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103</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67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Borders>
              <w:bottom w:val="single" w:sz="8" w:color="E2EEF6"/>
            </w:tcBorders>
            <w:gridSpan w:val="2"/>
            <w:shd w:val="clear" w:color="auto" w:fill="E2EEF6"/>
          </w:tcPr>
          <w:p>
            <w:pPr>
              <w:spacing w:after="0"/>
              <w:rPr>
                <w:sz w:val="20"/>
                <w:szCs w:val="20"/>
                <w:color w:val="auto"/>
              </w:rPr>
            </w:pPr>
            <w:r>
              <w:rPr>
                <w:rFonts w:ascii="Arial" w:cs="Arial" w:eastAsia="Arial" w:hAnsi="Arial"/>
                <w:sz w:val="18"/>
                <w:szCs w:val="18"/>
                <w:color w:val="auto"/>
              </w:rPr>
              <w:t>Deferred credits and other liabilities</w:t>
            </w:r>
          </w:p>
        </w:tc>
        <w:tc>
          <w:tcPr>
            <w:tcW w:w="260" w:type="dxa"/>
            <w:vAlign w:val="bottom"/>
            <w:tcBorders>
              <w:bottom w:val="single" w:sz="8" w:color="auto"/>
            </w:tcBorders>
            <w:shd w:val="clear" w:color="auto" w:fill="E2EEF6"/>
          </w:tcPr>
          <w:p>
            <w:pPr>
              <w:spacing w:after="0"/>
              <w:rPr>
                <w:sz w:val="21"/>
                <w:szCs w:val="21"/>
                <w:color w:val="auto"/>
              </w:rPr>
            </w:pPr>
          </w:p>
        </w:tc>
        <w:tc>
          <w:tcPr>
            <w:tcW w:w="1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239</w:t>
            </w:r>
          </w:p>
        </w:tc>
        <w:tc>
          <w:tcPr>
            <w:tcW w:w="140" w:type="dxa"/>
            <w:vAlign w:val="bottom"/>
            <w:tcBorders>
              <w:bottom w:val="single" w:sz="8" w:color="E2EEF6"/>
            </w:tcBorders>
            <w:shd w:val="clear" w:color="auto" w:fill="E2EEF6"/>
          </w:tcPr>
          <w:p>
            <w:pPr>
              <w:spacing w:after="0"/>
              <w:rPr>
                <w:sz w:val="21"/>
                <w:szCs w:val="21"/>
                <w:color w:val="auto"/>
              </w:rPr>
            </w:pPr>
          </w:p>
        </w:tc>
        <w:tc>
          <w:tcPr>
            <w:tcW w:w="100" w:type="dxa"/>
            <w:vAlign w:val="bottom"/>
            <w:tcBorders>
              <w:bottom w:val="single" w:sz="8" w:color="E2EEF6"/>
            </w:tcBorders>
            <w:shd w:val="clear" w:color="auto" w:fill="E2EEF6"/>
          </w:tcPr>
          <w:p>
            <w:pPr>
              <w:spacing w:after="0"/>
              <w:rPr>
                <w:sz w:val="21"/>
                <w:szCs w:val="21"/>
                <w:color w:val="auto"/>
              </w:rPr>
            </w:pPr>
          </w:p>
        </w:tc>
        <w:tc>
          <w:tcPr>
            <w:tcW w:w="260" w:type="dxa"/>
            <w:vAlign w:val="bottom"/>
            <w:tcBorders>
              <w:bottom w:val="single" w:sz="8" w:color="auto"/>
            </w:tcBorders>
            <w:shd w:val="clear" w:color="auto" w:fill="E2EEF6"/>
          </w:tcPr>
          <w:p>
            <w:pPr>
              <w:spacing w:after="0"/>
              <w:rPr>
                <w:sz w:val="21"/>
                <w:szCs w:val="21"/>
                <w:color w:val="auto"/>
              </w:rPr>
            </w:pPr>
          </w:p>
        </w:tc>
        <w:tc>
          <w:tcPr>
            <w:tcW w:w="1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E2EEF6"/>
            </w:tcBorders>
            <w:shd w:val="clear" w:color="auto" w:fill="E2EEF6"/>
          </w:tcPr>
          <w:p>
            <w:pPr>
              <w:spacing w:after="0"/>
              <w:rPr>
                <w:sz w:val="21"/>
                <w:szCs w:val="21"/>
                <w:color w:val="auto"/>
              </w:rPr>
            </w:pPr>
          </w:p>
        </w:tc>
        <w:tc>
          <w:tcPr>
            <w:tcW w:w="260" w:type="dxa"/>
            <w:vAlign w:val="bottom"/>
            <w:tcBorders>
              <w:bottom w:val="single" w:sz="8" w:color="auto"/>
            </w:tcBorders>
            <w:shd w:val="clear" w:color="auto" w:fill="E2EEF6"/>
          </w:tcPr>
          <w:p>
            <w:pPr>
              <w:spacing w:after="0"/>
              <w:rPr>
                <w:sz w:val="21"/>
                <w:szCs w:val="21"/>
                <w:color w:val="auto"/>
              </w:rPr>
            </w:pPr>
          </w:p>
        </w:tc>
        <w:tc>
          <w:tcPr>
            <w:tcW w:w="11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E2EEF6"/>
            </w:tcBorders>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6500" w:type="dxa"/>
            <w:vAlign w:val="bottom"/>
            <w:tcBorders>
              <w:top w:val="single" w:sz="8" w:color="E2EEF6"/>
            </w:tcBorders>
            <w:shd w:val="clear" w:color="auto" w:fill="E2EEF6"/>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Borders>
              <w:top w:val="single" w:sz="8" w:color="E2EEF6"/>
            </w:tcBorders>
            <w:shd w:val="clear" w:color="auto" w:fill="E2EEF6"/>
          </w:tcPr>
          <w:p>
            <w:pPr>
              <w:spacing w:after="0"/>
              <w:rPr>
                <w:sz w:val="24"/>
                <w:szCs w:val="24"/>
                <w:color w:val="auto"/>
              </w:rPr>
            </w:pPr>
          </w:p>
        </w:tc>
        <w:tc>
          <w:tcPr>
            <w:tcW w:w="260" w:type="dxa"/>
            <w:vAlign w:val="bottom"/>
            <w:tcBorders>
              <w:top w:val="single" w:sz="8" w:color="auto"/>
            </w:tcBorders>
            <w:shd w:val="clear" w:color="auto" w:fill="E2EEF6"/>
          </w:tcPr>
          <w:p>
            <w:pPr>
              <w:spacing w:after="0"/>
              <w:rPr>
                <w:sz w:val="24"/>
                <w:szCs w:val="24"/>
                <w:color w:val="auto"/>
              </w:rPr>
            </w:pPr>
          </w:p>
        </w:tc>
        <w:tc>
          <w:tcPr>
            <w:tcW w:w="1120" w:type="dxa"/>
            <w:vAlign w:val="bottom"/>
            <w:tcBorders>
              <w:top w:val="single" w:sz="8" w:color="auto"/>
            </w:tcBorders>
            <w:shd w:val="clear" w:color="auto" w:fill="E2EEF6"/>
          </w:tcPr>
          <w:p>
            <w:pPr>
              <w:spacing w:after="0"/>
              <w:rPr>
                <w:sz w:val="24"/>
                <w:szCs w:val="24"/>
                <w:color w:val="auto"/>
              </w:rPr>
            </w:pPr>
          </w:p>
        </w:tc>
        <w:tc>
          <w:tcPr>
            <w:tcW w:w="140" w:type="dxa"/>
            <w:vAlign w:val="bottom"/>
            <w:tcBorders>
              <w:top w:val="single" w:sz="8" w:color="E2EEF6"/>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c>
          <w:tcPr>
            <w:tcW w:w="260" w:type="dxa"/>
            <w:vAlign w:val="bottom"/>
            <w:tcBorders>
              <w:top w:val="single" w:sz="8" w:color="auto"/>
            </w:tcBorders>
            <w:shd w:val="clear" w:color="auto" w:fill="E2EEF6"/>
          </w:tcPr>
          <w:p>
            <w:pPr>
              <w:spacing w:after="0"/>
              <w:rPr>
                <w:sz w:val="24"/>
                <w:szCs w:val="24"/>
                <w:color w:val="auto"/>
              </w:rPr>
            </w:pPr>
          </w:p>
        </w:tc>
        <w:tc>
          <w:tcPr>
            <w:tcW w:w="1120" w:type="dxa"/>
            <w:vAlign w:val="bottom"/>
            <w:tcBorders>
              <w:top w:val="single" w:sz="8" w:color="auto"/>
            </w:tcBorders>
            <w:shd w:val="clear" w:color="auto" w:fill="E2EEF6"/>
          </w:tcPr>
          <w:p>
            <w:pPr>
              <w:spacing w:after="0"/>
              <w:rPr>
                <w:sz w:val="24"/>
                <w:szCs w:val="24"/>
                <w:color w:val="auto"/>
              </w:rPr>
            </w:pPr>
          </w:p>
        </w:tc>
        <w:tc>
          <w:tcPr>
            <w:tcW w:w="220" w:type="dxa"/>
            <w:vAlign w:val="bottom"/>
            <w:tcBorders>
              <w:top w:val="single" w:sz="8" w:color="E2EEF6"/>
            </w:tcBorders>
            <w:shd w:val="clear" w:color="auto" w:fill="E2EEF6"/>
          </w:tcPr>
          <w:p>
            <w:pPr>
              <w:spacing w:after="0"/>
              <w:rPr>
                <w:sz w:val="24"/>
                <w:szCs w:val="24"/>
                <w:color w:val="auto"/>
              </w:rPr>
            </w:pPr>
          </w:p>
        </w:tc>
        <w:tc>
          <w:tcPr>
            <w:tcW w:w="260" w:type="dxa"/>
            <w:vAlign w:val="bottom"/>
            <w:tcBorders>
              <w:top w:val="single" w:sz="8" w:color="auto"/>
            </w:tcBorders>
            <w:shd w:val="clear" w:color="auto" w:fill="E2EEF6"/>
          </w:tcPr>
          <w:p>
            <w:pPr>
              <w:spacing w:after="0"/>
              <w:rPr>
                <w:sz w:val="24"/>
                <w:szCs w:val="24"/>
                <w:color w:val="auto"/>
              </w:rPr>
            </w:pPr>
          </w:p>
        </w:tc>
        <w:tc>
          <w:tcPr>
            <w:tcW w:w="1100" w:type="dxa"/>
            <w:vAlign w:val="bottom"/>
            <w:tcBorders>
              <w:top w:val="single" w:sz="8" w:color="auto"/>
            </w:tcBorders>
            <w:shd w:val="clear" w:color="auto" w:fill="E2EEF6"/>
          </w:tcPr>
          <w:p>
            <w:pPr>
              <w:spacing w:after="0"/>
              <w:rPr>
                <w:sz w:val="24"/>
                <w:szCs w:val="24"/>
                <w:color w:val="auto"/>
              </w:rPr>
            </w:pPr>
          </w:p>
        </w:tc>
        <w:tc>
          <w:tcPr>
            <w:tcW w:w="100" w:type="dxa"/>
            <w:vAlign w:val="bottom"/>
            <w:tcBorders>
              <w:top w:val="single" w:sz="8" w:color="E2EEF6"/>
            </w:tcBorders>
            <w:shd w:val="clear" w:color="auto" w:fill="E2EEF6"/>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gridSpan w:val="2"/>
          </w:tcPr>
          <w:p>
            <w:pPr>
              <w:ind w:left="320"/>
              <w:spacing w:after="0"/>
              <w:rPr>
                <w:sz w:val="20"/>
                <w:szCs w:val="20"/>
                <w:color w:val="auto"/>
              </w:rPr>
            </w:pPr>
            <w:r>
              <w:rPr>
                <w:rFonts w:ascii="Arial" w:cs="Arial" w:eastAsia="Arial" w:hAnsi="Arial"/>
                <w:sz w:val="18"/>
                <w:szCs w:val="18"/>
                <w:color w:val="auto"/>
              </w:rPr>
              <w:t>cumulative preferred. None issued.</w:t>
            </w:r>
          </w:p>
        </w:tc>
        <w:tc>
          <w:tcPr>
            <w:tcW w:w="2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shd w:val="clear" w:color="auto" w:fill="E2EEF6"/>
          </w:tcPr>
          <w:p>
            <w:pPr>
              <w:ind w:left="160"/>
              <w:spacing w:after="0" w:line="201" w:lineRule="exact"/>
              <w:rPr>
                <w:sz w:val="20"/>
                <w:szCs w:val="20"/>
                <w:color w:val="auto"/>
              </w:rPr>
            </w:pPr>
            <w:r>
              <w:rPr>
                <w:rFonts w:ascii="Arial" w:cs="Arial" w:eastAsia="Arial" w:hAnsi="Arial"/>
                <w:sz w:val="18"/>
                <w:szCs w:val="18"/>
                <w:color w:val="auto"/>
                <w:w w:val="94"/>
              </w:rPr>
              <w:t>Common stock, $1 par value. Authorized -- 2,400,000,000 shares. Shares issued: June</w:t>
            </w:r>
          </w:p>
        </w:tc>
        <w:tc>
          <w:tcPr>
            <w:tcW w:w="260" w:type="dxa"/>
            <w:vAlign w:val="bottom"/>
            <w:shd w:val="clear" w:color="auto" w:fill="E2EEF6"/>
          </w:tcPr>
          <w:p>
            <w:pPr>
              <w:spacing w:after="0"/>
              <w:rPr>
                <w:sz w:val="17"/>
                <w:szCs w:val="17"/>
                <w:color w:val="auto"/>
              </w:rPr>
            </w:pPr>
          </w:p>
        </w:tc>
        <w:tc>
          <w:tcPr>
            <w:tcW w:w="1120" w:type="dxa"/>
            <w:vAlign w:val="bottom"/>
            <w:shd w:val="clear" w:color="auto" w:fill="E2EEF6"/>
          </w:tcPr>
          <w:p>
            <w:pPr>
              <w:spacing w:after="0"/>
              <w:rPr>
                <w:sz w:val="17"/>
                <w:szCs w:val="17"/>
                <w:color w:val="auto"/>
              </w:rPr>
            </w:pPr>
          </w:p>
        </w:tc>
        <w:tc>
          <w:tcPr>
            <w:tcW w:w="14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260" w:type="dxa"/>
            <w:vAlign w:val="bottom"/>
            <w:shd w:val="clear" w:color="auto" w:fill="E2EEF6"/>
          </w:tcPr>
          <w:p>
            <w:pPr>
              <w:spacing w:after="0"/>
              <w:rPr>
                <w:sz w:val="17"/>
                <w:szCs w:val="17"/>
                <w:color w:val="auto"/>
              </w:rPr>
            </w:pPr>
          </w:p>
        </w:tc>
        <w:tc>
          <w:tcPr>
            <w:tcW w:w="112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260" w:type="dxa"/>
            <w:vAlign w:val="bottom"/>
            <w:shd w:val="clear" w:color="auto" w:fill="E2EEF6"/>
          </w:tcPr>
          <w:p>
            <w:pPr>
              <w:spacing w:after="0"/>
              <w:rPr>
                <w:sz w:val="17"/>
                <w:szCs w:val="17"/>
                <w:color w:val="auto"/>
              </w:rPr>
            </w:pPr>
          </w:p>
        </w:tc>
        <w:tc>
          <w:tcPr>
            <w:tcW w:w="110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E2EEF6"/>
          </w:tcPr>
          <w:p>
            <w:pPr>
              <w:ind w:left="320"/>
              <w:spacing w:after="0"/>
              <w:rPr>
                <w:sz w:val="20"/>
                <w:szCs w:val="20"/>
                <w:color w:val="auto"/>
              </w:rPr>
            </w:pPr>
            <w:r>
              <w:rPr>
                <w:rFonts w:ascii="Arial" w:cs="Arial" w:eastAsia="Arial" w:hAnsi="Arial"/>
                <w:sz w:val="18"/>
                <w:szCs w:val="18"/>
                <w:color w:val="auto"/>
              </w:rPr>
              <w:t>30, 2006 -- 1,739,086,194; March 31, 2006 -- 1,739,070,044; June 30, 2005 --</w:t>
            </w:r>
          </w:p>
        </w:tc>
        <w:tc>
          <w:tcPr>
            <w:tcW w:w="260" w:type="dxa"/>
            <w:vAlign w:val="bottom"/>
            <w:shd w:val="clear" w:color="auto" w:fill="E2EEF6"/>
          </w:tcPr>
          <w:p>
            <w:pPr>
              <w:spacing w:after="0"/>
              <w:rPr>
                <w:sz w:val="18"/>
                <w:szCs w:val="18"/>
                <w:color w:val="auto"/>
              </w:rPr>
            </w:pPr>
          </w:p>
        </w:tc>
        <w:tc>
          <w:tcPr>
            <w:tcW w:w="1120" w:type="dxa"/>
            <w:vAlign w:val="bottom"/>
            <w:vMerge w:val="restart"/>
            <w:shd w:val="clear" w:color="auto" w:fill="E2EEF6"/>
          </w:tcPr>
          <w:p>
            <w:pPr>
              <w:jc w:val="right"/>
              <w:spacing w:after="0"/>
              <w:rPr>
                <w:sz w:val="20"/>
                <w:szCs w:val="20"/>
                <w:color w:val="auto"/>
              </w:rPr>
            </w:pPr>
            <w:r>
              <w:rPr>
                <w:rFonts w:ascii="Arial" w:cs="Arial" w:eastAsia="Arial" w:hAnsi="Arial"/>
                <w:sz w:val="18"/>
                <w:szCs w:val="18"/>
                <w:b w:val="1"/>
                <w:bCs w:val="1"/>
                <w:color w:val="auto"/>
              </w:rPr>
              <w:t>1,739</w:t>
            </w:r>
          </w:p>
        </w:tc>
        <w:tc>
          <w:tcPr>
            <w:tcW w:w="14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112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110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E2EEF6"/>
          </w:tcPr>
          <w:p>
            <w:pPr>
              <w:ind w:left="320"/>
              <w:spacing w:after="0"/>
              <w:rPr>
                <w:sz w:val="20"/>
                <w:szCs w:val="20"/>
                <w:color w:val="auto"/>
              </w:rPr>
            </w:pPr>
            <w:r>
              <w:rPr>
                <w:rFonts w:ascii="Arial" w:cs="Arial" w:eastAsia="Arial" w:hAnsi="Arial"/>
                <w:sz w:val="18"/>
                <w:szCs w:val="18"/>
                <w:color w:val="auto"/>
              </w:rPr>
              <w:t>1,738,514,238</w:t>
            </w:r>
          </w:p>
        </w:tc>
        <w:tc>
          <w:tcPr>
            <w:tcW w:w="22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120" w:type="dxa"/>
            <w:vAlign w:val="bottom"/>
            <w:vMerge w:val="continue"/>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1,739</w:t>
            </w:r>
          </w:p>
        </w:tc>
        <w:tc>
          <w:tcPr>
            <w:tcW w:w="22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Paid-in capital</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779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744</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16,271</w:t>
            </w: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13,930</w:t>
            </w:r>
          </w:p>
        </w:tc>
        <w:tc>
          <w:tcPr>
            <w:tcW w:w="26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12,197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320"/>
              <w:spacing w:after="0"/>
              <w:rPr>
                <w:sz w:val="20"/>
                <w:szCs w:val="20"/>
                <w:color w:val="auto"/>
              </w:rPr>
            </w:pPr>
            <w:r>
              <w:rPr>
                <w:rFonts w:ascii="Arial" w:cs="Arial" w:eastAsia="Arial" w:hAnsi="Arial"/>
                <w:sz w:val="18"/>
                <w:szCs w:val="18"/>
                <w:color w:val="auto"/>
                <w:w w:val="93"/>
              </w:rPr>
              <w:t>Shares: June 30, 2006 -- 206,501,103; March 31, 2006 -- 181,032,577; June 30, 2005</w:t>
            </w:r>
          </w:p>
        </w:tc>
        <w:tc>
          <w:tcPr>
            <w:tcW w:w="260" w:type="dxa"/>
            <w:vAlign w:val="bottom"/>
          </w:tcPr>
          <w:p>
            <w:pPr>
              <w:spacing w:after="0"/>
              <w:rPr>
                <w:sz w:val="18"/>
                <w:szCs w:val="18"/>
                <w:color w:val="auto"/>
              </w:rPr>
            </w:pPr>
          </w:p>
        </w:tc>
        <w:tc>
          <w:tcPr>
            <w:tcW w:w="126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(5,911)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gridSpan w:val="2"/>
          </w:tcPr>
          <w:p>
            <w:pPr>
              <w:ind w:left="500"/>
              <w:spacing w:after="0"/>
              <w:rPr>
                <w:sz w:val="20"/>
                <w:szCs w:val="20"/>
                <w:color w:val="auto"/>
              </w:rPr>
            </w:pPr>
            <w:r>
              <w:rPr>
                <w:rFonts w:ascii="Arial" w:cs="Arial" w:eastAsia="Arial" w:hAnsi="Arial"/>
                <w:sz w:val="18"/>
                <w:szCs w:val="18"/>
                <w:color w:val="auto"/>
              </w:rPr>
              <w:t>-- 115,461,457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(5,092)</w:t>
            </w:r>
          </w:p>
        </w:tc>
        <w:tc>
          <w:tcPr>
            <w:tcW w:w="2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ind w:left="320"/>
              <w:spacing w:after="0"/>
              <w:rPr>
                <w:sz w:val="20"/>
                <w:szCs w:val="20"/>
                <w:color w:val="auto"/>
              </w:rPr>
            </w:pPr>
            <w:r>
              <w:rPr>
                <w:rFonts w:ascii="Arial" w:cs="Arial" w:eastAsia="Arial" w:hAnsi="Arial"/>
                <w:sz w:val="18"/>
                <w:szCs w:val="18"/>
                <w:color w:val="auto"/>
              </w:rPr>
              <w:t>Minimum pension liability</w:t>
            </w:r>
          </w:p>
        </w:tc>
        <w:tc>
          <w:tcPr>
            <w:tcW w:w="26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320"/>
              <w:spacing w:after="0"/>
              <w:rPr>
                <w:sz w:val="20"/>
                <w:szCs w:val="20"/>
                <w:color w:val="auto"/>
              </w:rPr>
            </w:pPr>
            <w:r>
              <w:rPr>
                <w:rFonts w:ascii="Arial" w:cs="Arial" w:eastAsia="Arial" w:hAnsi="Arial"/>
                <w:sz w:val="18"/>
                <w:szCs w:val="18"/>
                <w:color w:val="auto"/>
              </w:rPr>
              <w:t>Unrealized gains (losses) on available-for-sale investments</w:t>
            </w:r>
          </w:p>
        </w:tc>
        <w:tc>
          <w:tcPr>
            <w:tcW w:w="26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E2EEF6"/>
          </w:tcPr>
          <w:p>
            <w:pPr>
              <w:ind w:left="160"/>
              <w:spacing w:after="0"/>
              <w:rPr>
                <w:sz w:val="20"/>
                <w:szCs w:val="20"/>
                <w:color w:val="auto"/>
              </w:rPr>
            </w:pPr>
            <w:r>
              <w:rPr>
                <w:rFonts w:ascii="Arial" w:cs="Arial" w:eastAsia="Arial" w:hAnsi="Arial"/>
                <w:sz w:val="18"/>
                <w:szCs w:val="18"/>
                <w:color w:val="auto"/>
              </w:rPr>
              <w:t>Unearned compensation</w:t>
            </w:r>
          </w:p>
        </w:tc>
        <w:tc>
          <w:tcPr>
            <w:tcW w:w="26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E2EEF6"/>
            </w:tcBorders>
            <w:gridSpan w:val="2"/>
          </w:tcPr>
          <w:p>
            <w:pPr>
              <w:ind w:left="1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12,788</w:t>
            </w:r>
          </w:p>
        </w:tc>
        <w:tc>
          <w:tcPr>
            <w:tcW w:w="14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11,238</w:t>
            </w:r>
          </w:p>
        </w:tc>
        <w:tc>
          <w:tcPr>
            <w:tcW w:w="220" w:type="dxa"/>
            <w:vAlign w:val="bottom"/>
            <w:tcBorders>
              <w:top w:val="single" w:sz="8" w:color="E2EEF6"/>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11,463</w:t>
            </w:r>
          </w:p>
        </w:tc>
        <w:tc>
          <w:tcPr>
            <w:tcW w:w="10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15,928</w:t>
            </w:r>
          </w:p>
        </w:tc>
        <w:tc>
          <w:tcPr>
            <w:tcW w:w="140" w:type="dxa"/>
            <w:vAlign w:val="bottom"/>
            <w:shd w:val="clear" w:color="auto" w:fill="E2EEF6"/>
          </w:tcPr>
          <w:p>
            <w:pPr>
              <w:spacing w:after="0"/>
              <w:rPr>
                <w:sz w:val="22"/>
                <w:szCs w:val="22"/>
                <w:color w:val="auto"/>
              </w:rPr>
            </w:pPr>
          </w:p>
        </w:tc>
        <w:tc>
          <w:tcPr>
            <w:tcW w:w="3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14,038</w:t>
            </w: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14,486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E2EEF6"/>
            </w:tcBorders>
            <w:shd w:val="clear" w:color="auto" w:fill="E2EEF6"/>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2EEF6"/>
            </w:tcBorders>
            <w:shd w:val="clear" w:color="auto" w:fill="E2EEF6"/>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34" w:right="239" w:bottom="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635635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w w:val="93"/>
              </w:rPr>
              <w:t>For Three Months Ended</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50"/>
              <w:spacing w:after="0" w:line="198"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Mar. 31,</w:t>
            </w: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40" w:type="dxa"/>
            <w:vAlign w:val="bottom"/>
            <w:tcBorders>
              <w:left w:val="single" w:sz="8" w:color="E2EEF6"/>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1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8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2,387</w:t>
            </w:r>
          </w:p>
        </w:tc>
        <w:tc>
          <w:tcPr>
            <w:tcW w:w="14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E2EEF6"/>
          </w:tcPr>
          <w:p>
            <w:pPr>
              <w:ind w:left="160"/>
              <w:spacing w:after="0" w:line="201" w:lineRule="exact"/>
              <w:rPr>
                <w:sz w:val="20"/>
                <w:szCs w:val="20"/>
                <w:color w:val="auto"/>
              </w:rPr>
            </w:pPr>
            <w:r>
              <w:rPr>
                <w:rFonts w:ascii="Arial" w:cs="Arial" w:eastAsia="Arial" w:hAnsi="Arial"/>
                <w:sz w:val="18"/>
                <w:szCs w:val="18"/>
                <w:color w:val="auto"/>
              </w:rPr>
              <w:t>Adjustments to reconcile net income to cash provided by</w:t>
            </w:r>
          </w:p>
        </w:tc>
        <w:tc>
          <w:tcPr>
            <w:tcW w:w="320" w:type="dxa"/>
            <w:vAlign w:val="bottom"/>
            <w:shd w:val="clear" w:color="auto" w:fill="E2EEF6"/>
          </w:tcPr>
          <w:p>
            <w:pPr>
              <w:spacing w:after="0"/>
              <w:rPr>
                <w:sz w:val="17"/>
                <w:szCs w:val="17"/>
                <w:color w:val="auto"/>
              </w:rPr>
            </w:pPr>
          </w:p>
        </w:tc>
        <w:tc>
          <w:tcPr>
            <w:tcW w:w="1060" w:type="dxa"/>
            <w:vAlign w:val="bottom"/>
            <w:shd w:val="clear" w:color="auto" w:fill="E2EEF6"/>
          </w:tcPr>
          <w:p>
            <w:pPr>
              <w:spacing w:after="0"/>
              <w:rPr>
                <w:sz w:val="17"/>
                <w:szCs w:val="17"/>
                <w:color w:val="auto"/>
              </w:rPr>
            </w:pPr>
          </w:p>
        </w:tc>
        <w:tc>
          <w:tcPr>
            <w:tcW w:w="140" w:type="dxa"/>
            <w:vAlign w:val="bottom"/>
            <w:tcBorders>
              <w:left w:val="single" w:sz="8" w:color="E2EEF6"/>
            </w:tcBorders>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260" w:type="dxa"/>
            <w:vAlign w:val="bottom"/>
            <w:shd w:val="clear" w:color="auto" w:fill="E2EEF6"/>
          </w:tcPr>
          <w:p>
            <w:pPr>
              <w:spacing w:after="0"/>
              <w:rPr>
                <w:sz w:val="17"/>
                <w:szCs w:val="17"/>
                <w:color w:val="auto"/>
              </w:rPr>
            </w:pPr>
          </w:p>
        </w:tc>
        <w:tc>
          <w:tcPr>
            <w:tcW w:w="112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280" w:type="dxa"/>
            <w:vAlign w:val="bottom"/>
            <w:shd w:val="clear" w:color="auto" w:fill="E2EEF6"/>
          </w:tcPr>
          <w:p>
            <w:pPr>
              <w:spacing w:after="0"/>
              <w:rPr>
                <w:sz w:val="17"/>
                <w:szCs w:val="17"/>
                <w:color w:val="auto"/>
              </w:rPr>
            </w:pPr>
          </w:p>
        </w:tc>
        <w:tc>
          <w:tcPr>
            <w:tcW w:w="108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operating activities of continuing operations:</w:t>
            </w:r>
          </w:p>
        </w:tc>
        <w:tc>
          <w:tcPr>
            <w:tcW w:w="32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40" w:type="dxa"/>
            <w:vAlign w:val="bottom"/>
            <w:tcBorders>
              <w:left w:val="single" w:sz="8" w:color="E2EEF6"/>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1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8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Less income from discontinued operations</w:t>
            </w: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267</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Amortization of capitalized software</w:t>
            </w:r>
          </w:p>
        </w:tc>
        <w:tc>
          <w:tcPr>
            <w:tcW w:w="32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29</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Increase/(decrease) from changes in:</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26</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spacing w:after="0"/>
              <w:rPr>
                <w:sz w:val="20"/>
                <w:szCs w:val="20"/>
                <w:color w:val="auto"/>
              </w:rPr>
            </w:pPr>
            <w:r>
              <w:rPr>
                <w:rFonts w:ascii="Arial" w:cs="Arial" w:eastAsia="Arial" w:hAnsi="Arial"/>
                <w:sz w:val="18"/>
                <w:szCs w:val="18"/>
                <w:b w:val="1"/>
                <w:bCs w:val="1"/>
                <w:color w:val="auto"/>
              </w:rPr>
              <w:t>(334)</w:t>
            </w: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Accrued profit sharing and retirement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Noncurrent accrued retirement costs</w:t>
            </w:r>
          </w:p>
        </w:tc>
        <w:tc>
          <w:tcPr>
            <w:tcW w:w="32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(6)</w:t>
            </w: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20" w:type="dxa"/>
            <w:vAlign w:val="bottom"/>
            <w:tcBorders>
              <w:top w:val="single" w:sz="8" w:color="auto"/>
            </w:tcBorders>
            <w:shd w:val="clear" w:color="auto" w:fill="E2EEF6"/>
          </w:tcPr>
          <w:p>
            <w:pPr>
              <w:spacing w:after="0"/>
              <w:rPr>
                <w:sz w:val="20"/>
                <w:szCs w:val="20"/>
                <w:color w:val="auto"/>
              </w:rPr>
            </w:pPr>
          </w:p>
        </w:tc>
        <w:tc>
          <w:tcPr>
            <w:tcW w:w="106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667</w:t>
            </w:r>
          </w:p>
        </w:tc>
        <w:tc>
          <w:tcPr>
            <w:tcW w:w="140" w:type="dxa"/>
            <w:vAlign w:val="bottom"/>
            <w:tcBorders>
              <w:left w:val="single" w:sz="8" w:color="E2EEF6"/>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60" w:type="dxa"/>
            <w:vAlign w:val="bottom"/>
            <w:tcBorders>
              <w:top w:val="single" w:sz="8" w:color="auto"/>
            </w:tcBorders>
            <w:shd w:val="clear" w:color="auto" w:fill="E2EEF6"/>
          </w:tcPr>
          <w:p>
            <w:pPr>
              <w:spacing w:after="0"/>
              <w:rPr>
                <w:sz w:val="20"/>
                <w:szCs w:val="20"/>
                <w:color w:val="auto"/>
              </w:rPr>
            </w:pPr>
          </w:p>
        </w:tc>
        <w:tc>
          <w:tcPr>
            <w:tcW w:w="112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E2EEF6"/>
          </w:tcPr>
          <w:p>
            <w:pPr>
              <w:spacing w:after="0"/>
              <w:rPr>
                <w:sz w:val="20"/>
                <w:szCs w:val="20"/>
                <w:color w:val="auto"/>
              </w:rPr>
            </w:pPr>
          </w:p>
        </w:tc>
        <w:tc>
          <w:tcPr>
            <w:tcW w:w="280" w:type="dxa"/>
            <w:vAlign w:val="bottom"/>
            <w:tcBorders>
              <w:top w:val="single" w:sz="8" w:color="auto"/>
            </w:tcBorders>
            <w:shd w:val="clear" w:color="auto" w:fill="E2EEF6"/>
          </w:tcPr>
          <w:p>
            <w:pPr>
              <w:spacing w:after="0"/>
              <w:rPr>
                <w:sz w:val="20"/>
                <w:szCs w:val="20"/>
                <w:color w:val="auto"/>
              </w:rPr>
            </w:pPr>
          </w:p>
        </w:tc>
        <w:tc>
          <w:tcPr>
            <w:tcW w:w="108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E2EEF6"/>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(408)</w:t>
            </w: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Proceeds from sales of assets</w:t>
            </w:r>
          </w:p>
        </w:tc>
        <w:tc>
          <w:tcPr>
            <w:tcW w:w="32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2,982</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Purchases of cash investments</w:t>
            </w: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(1,153)</w:t>
            </w: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32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1,983</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2,341</w:t>
            </w:r>
          </w:p>
        </w:tc>
        <w:tc>
          <w:tcPr>
            <w:tcW w:w="220" w:type="dxa"/>
            <w:vAlign w:val="bottom"/>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Purchases of equity investments</w:t>
            </w: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Sales of equity and debt investments</w:t>
            </w:r>
          </w:p>
        </w:tc>
        <w:tc>
          <w:tcPr>
            <w:tcW w:w="32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20" w:type="dxa"/>
            <w:vAlign w:val="bottom"/>
            <w:shd w:val="clear" w:color="auto" w:fill="E2EEF6"/>
          </w:tcPr>
          <w:p>
            <w:pPr>
              <w:spacing w:after="0" w:line="195" w:lineRule="exact"/>
              <w:rPr>
                <w:sz w:val="20"/>
                <w:szCs w:val="20"/>
                <w:color w:val="auto"/>
              </w:rPr>
            </w:pPr>
            <w:r>
              <w:rPr>
                <w:rFonts w:ascii="Arial" w:cs="Arial" w:eastAsia="Arial" w:hAnsi="Arial"/>
                <w:sz w:val="18"/>
                <w:szCs w:val="18"/>
                <w:color w:val="auto"/>
              </w:rPr>
              <w:t>Net cash provided by investing activities of continuing</w:t>
            </w:r>
          </w:p>
        </w:tc>
        <w:tc>
          <w:tcPr>
            <w:tcW w:w="320" w:type="dxa"/>
            <w:vAlign w:val="bottom"/>
            <w:tcBorders>
              <w:top w:val="single" w:sz="8" w:color="auto"/>
            </w:tcBorders>
            <w:shd w:val="clear" w:color="auto" w:fill="E2EEF6"/>
          </w:tcPr>
          <w:p>
            <w:pPr>
              <w:spacing w:after="0"/>
              <w:rPr>
                <w:sz w:val="16"/>
                <w:szCs w:val="16"/>
                <w:color w:val="auto"/>
              </w:rPr>
            </w:pPr>
          </w:p>
        </w:tc>
        <w:tc>
          <w:tcPr>
            <w:tcW w:w="1060" w:type="dxa"/>
            <w:vAlign w:val="bottom"/>
            <w:tcBorders>
              <w:top w:val="single" w:sz="8" w:color="auto"/>
            </w:tcBorders>
            <w:shd w:val="clear" w:color="auto" w:fill="E2EEF6"/>
          </w:tcPr>
          <w:p>
            <w:pPr>
              <w:spacing w:after="0"/>
              <w:rPr>
                <w:sz w:val="16"/>
                <w:szCs w:val="16"/>
                <w:color w:val="auto"/>
              </w:rPr>
            </w:pPr>
          </w:p>
        </w:tc>
        <w:tc>
          <w:tcPr>
            <w:tcW w:w="140" w:type="dxa"/>
            <w:vAlign w:val="bottom"/>
            <w:tcBorders>
              <w:left w:val="single" w:sz="8" w:color="E2EEF6"/>
            </w:tcBorders>
            <w:shd w:val="clear" w:color="auto" w:fill="E2EEF6"/>
          </w:tcPr>
          <w:p>
            <w:pPr>
              <w:spacing w:after="0"/>
              <w:rPr>
                <w:sz w:val="16"/>
                <w:szCs w:val="16"/>
                <w:color w:val="auto"/>
              </w:rPr>
            </w:pPr>
          </w:p>
        </w:tc>
        <w:tc>
          <w:tcPr>
            <w:tcW w:w="100" w:type="dxa"/>
            <w:vAlign w:val="bottom"/>
            <w:shd w:val="clear" w:color="auto" w:fill="E2EEF6"/>
          </w:tcPr>
          <w:p>
            <w:pPr>
              <w:spacing w:after="0"/>
              <w:rPr>
                <w:sz w:val="16"/>
                <w:szCs w:val="16"/>
                <w:color w:val="auto"/>
              </w:rPr>
            </w:pPr>
          </w:p>
        </w:tc>
        <w:tc>
          <w:tcPr>
            <w:tcW w:w="260" w:type="dxa"/>
            <w:vAlign w:val="bottom"/>
            <w:tcBorders>
              <w:top w:val="single" w:sz="8" w:color="auto"/>
            </w:tcBorders>
            <w:shd w:val="clear" w:color="auto" w:fill="E2EEF6"/>
          </w:tcPr>
          <w:p>
            <w:pPr>
              <w:spacing w:after="0"/>
              <w:rPr>
                <w:sz w:val="16"/>
                <w:szCs w:val="16"/>
                <w:color w:val="auto"/>
              </w:rPr>
            </w:pPr>
          </w:p>
        </w:tc>
        <w:tc>
          <w:tcPr>
            <w:tcW w:w="1120" w:type="dxa"/>
            <w:vAlign w:val="bottom"/>
            <w:tcBorders>
              <w:top w:val="single" w:sz="8" w:color="auto"/>
            </w:tcBorders>
            <w:shd w:val="clear" w:color="auto" w:fill="E2EEF6"/>
          </w:tcPr>
          <w:p>
            <w:pPr>
              <w:spacing w:after="0"/>
              <w:rPr>
                <w:sz w:val="16"/>
                <w:szCs w:val="16"/>
                <w:color w:val="auto"/>
              </w:rPr>
            </w:pPr>
          </w:p>
        </w:tc>
        <w:tc>
          <w:tcPr>
            <w:tcW w:w="220" w:type="dxa"/>
            <w:vAlign w:val="bottom"/>
            <w:shd w:val="clear" w:color="auto" w:fill="E2EEF6"/>
          </w:tcPr>
          <w:p>
            <w:pPr>
              <w:spacing w:after="0"/>
              <w:rPr>
                <w:sz w:val="16"/>
                <w:szCs w:val="16"/>
                <w:color w:val="auto"/>
              </w:rPr>
            </w:pPr>
          </w:p>
        </w:tc>
        <w:tc>
          <w:tcPr>
            <w:tcW w:w="280" w:type="dxa"/>
            <w:vAlign w:val="bottom"/>
            <w:tcBorders>
              <w:top w:val="single" w:sz="8" w:color="auto"/>
            </w:tcBorders>
            <w:shd w:val="clear" w:color="auto" w:fill="E2EEF6"/>
          </w:tcPr>
          <w:p>
            <w:pPr>
              <w:spacing w:after="0"/>
              <w:rPr>
                <w:sz w:val="16"/>
                <w:szCs w:val="16"/>
                <w:color w:val="auto"/>
              </w:rPr>
            </w:pPr>
          </w:p>
        </w:tc>
        <w:tc>
          <w:tcPr>
            <w:tcW w:w="1080" w:type="dxa"/>
            <w:vAlign w:val="bottom"/>
            <w:tcBorders>
              <w:top w:val="single" w:sz="8" w:color="auto"/>
            </w:tcBorders>
            <w:shd w:val="clear" w:color="auto" w:fill="E2EEF6"/>
          </w:tcPr>
          <w:p>
            <w:pPr>
              <w:spacing w:after="0"/>
              <w:rPr>
                <w:sz w:val="16"/>
                <w:szCs w:val="16"/>
                <w:color w:val="auto"/>
              </w:rPr>
            </w:pPr>
          </w:p>
        </w:tc>
        <w:tc>
          <w:tcPr>
            <w:tcW w:w="100" w:type="dxa"/>
            <w:vAlign w:val="bottom"/>
            <w:shd w:val="clear" w:color="auto" w:fill="E2EEF6"/>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operations</w:t>
            </w:r>
          </w:p>
        </w:tc>
        <w:tc>
          <w:tcPr>
            <w:tcW w:w="320" w:type="dxa"/>
            <w:vAlign w:val="bottom"/>
            <w:shd w:val="clear" w:color="auto" w:fill="E2EEF6"/>
          </w:tcPr>
          <w:p>
            <w:pPr>
              <w:spacing w:after="0"/>
              <w:rPr>
                <w:sz w:val="22"/>
                <w:szCs w:val="22"/>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1,485</w:t>
            </w:r>
          </w:p>
        </w:tc>
        <w:tc>
          <w:tcPr>
            <w:tcW w:w="140" w:type="dxa"/>
            <w:vAlign w:val="bottom"/>
            <w:tcBorders>
              <w:left w:val="single" w:sz="8" w:color="E2EEF6"/>
            </w:tcBorders>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c>
          <w:tcPr>
            <w:tcW w:w="260" w:type="dxa"/>
            <w:vAlign w:val="bottom"/>
            <w:shd w:val="clear" w:color="auto" w:fill="E2EEF6"/>
          </w:tcPr>
          <w:p>
            <w:pPr>
              <w:spacing w:after="0"/>
              <w:rPr>
                <w:sz w:val="22"/>
                <w:szCs w:val="22"/>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609</w:t>
            </w:r>
          </w:p>
        </w:tc>
        <w:tc>
          <w:tcPr>
            <w:tcW w:w="280" w:type="dxa"/>
            <w:vAlign w:val="bottom"/>
            <w:shd w:val="clear" w:color="auto" w:fill="E2EEF6"/>
          </w:tcPr>
          <w:p>
            <w:pPr>
              <w:spacing w:after="0"/>
              <w:rPr>
                <w:sz w:val="22"/>
                <w:szCs w:val="22"/>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E2EEF6"/>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Payments on loans and long-term debt</w:t>
            </w: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Dividends paid on common stock</w:t>
            </w:r>
          </w:p>
        </w:tc>
        <w:tc>
          <w:tcPr>
            <w:tcW w:w="32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Excess tax benefit from stock option exercises</w:t>
            </w:r>
          </w:p>
        </w:tc>
        <w:tc>
          <w:tcPr>
            <w:tcW w:w="320" w:type="dxa"/>
            <w:vAlign w:val="bottom"/>
            <w:shd w:val="clear" w:color="auto" w:fill="E2EEF6"/>
          </w:tcPr>
          <w:p>
            <w:pPr>
              <w:spacing w:after="0"/>
              <w:rPr>
                <w:sz w:val="21"/>
                <w:szCs w:val="21"/>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57</w:t>
            </w: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(1,440)</w:t>
            </w: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32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spacing w:after="0"/>
              <w:rPr>
                <w:sz w:val="20"/>
                <w:szCs w:val="20"/>
                <w:color w:val="auto"/>
              </w:rPr>
            </w:pPr>
            <w:r>
              <w:rPr>
                <w:rFonts w:ascii="Arial" w:cs="Arial" w:eastAsia="Arial" w:hAnsi="Arial"/>
                <w:sz w:val="18"/>
                <w:szCs w:val="18"/>
                <w:b w:val="1"/>
                <w:bCs w:val="1"/>
                <w:color w:val="auto"/>
              </w:rPr>
              <w:t>(1,165)</w:t>
            </w:r>
          </w:p>
        </w:tc>
        <w:tc>
          <w:tcPr>
            <w:tcW w:w="10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(1,650)</w:t>
            </w:r>
          </w:p>
        </w:tc>
        <w:tc>
          <w:tcPr>
            <w:tcW w:w="280" w:type="dxa"/>
            <w:vAlign w:val="bottom"/>
            <w:shd w:val="clear" w:color="auto" w:fill="E2EEF6"/>
          </w:tcPr>
          <w:p>
            <w:pPr>
              <w:spacing w:after="0"/>
              <w:rPr>
                <w:sz w:val="20"/>
                <w:szCs w:val="20"/>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E2EEF6"/>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32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140" w:type="dxa"/>
            <w:vAlign w:val="bottom"/>
            <w:tcBorders>
              <w:left w:val="single" w:sz="8" w:color="E2EEF6"/>
            </w:tcBorders>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E2EEF6"/>
          </w:tcPr>
          <w:p>
            <w:pPr>
              <w:spacing w:after="0"/>
              <w:rPr>
                <w:sz w:val="21"/>
                <w:szCs w:val="21"/>
                <w:color w:val="auto"/>
              </w:rPr>
            </w:pPr>
          </w:p>
        </w:tc>
        <w:tc>
          <w:tcPr>
            <w:tcW w:w="1200" w:type="dxa"/>
            <w:vAlign w:val="bottom"/>
            <w:gridSpan w:val="2"/>
            <w:shd w:val="clear" w:color="auto" w:fill="E2EEF6"/>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20" w:type="dxa"/>
            <w:vAlign w:val="bottom"/>
            <w:shd w:val="clear" w:color="auto" w:fill="E2EEF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left w:val="single" w:sz="8" w:color="E2EEF6"/>
            </w:tcBorders>
            <w:shd w:val="clear" w:color="auto" w:fill="E2EEF6"/>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cash provided by (used in) discontinued operations</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720" w:type="dxa"/>
            <w:vAlign w:val="bottom"/>
            <w:shd w:val="clear" w:color="auto" w:fill="E2EEF6"/>
          </w:tcPr>
          <w:p>
            <w:pPr>
              <w:spacing w:after="0"/>
              <w:rPr>
                <w:sz w:val="20"/>
                <w:szCs w:val="20"/>
                <w:color w:val="auto"/>
              </w:rPr>
            </w:pPr>
          </w:p>
        </w:tc>
        <w:tc>
          <w:tcPr>
            <w:tcW w:w="320" w:type="dxa"/>
            <w:vAlign w:val="bottom"/>
            <w:tcBorders>
              <w:top w:val="single" w:sz="8" w:color="auto"/>
            </w:tcBorders>
            <w:shd w:val="clear" w:color="auto" w:fill="E2EEF6"/>
          </w:tcPr>
          <w:p>
            <w:pPr>
              <w:spacing w:after="0"/>
              <w:rPr>
                <w:sz w:val="20"/>
                <w:szCs w:val="20"/>
                <w:color w:val="auto"/>
              </w:rPr>
            </w:pPr>
          </w:p>
        </w:tc>
        <w:tc>
          <w:tcPr>
            <w:tcW w:w="1060" w:type="dxa"/>
            <w:vAlign w:val="bottom"/>
            <w:tcBorders>
              <w:top w:val="single" w:sz="8" w:color="auto"/>
            </w:tcBorders>
            <w:shd w:val="clear" w:color="auto" w:fill="E2EEF6"/>
          </w:tcPr>
          <w:p>
            <w:pPr>
              <w:spacing w:after="0"/>
              <w:rPr>
                <w:sz w:val="20"/>
                <w:szCs w:val="20"/>
                <w:color w:val="auto"/>
              </w:rPr>
            </w:pPr>
          </w:p>
        </w:tc>
        <w:tc>
          <w:tcPr>
            <w:tcW w:w="140" w:type="dxa"/>
            <w:vAlign w:val="bottom"/>
            <w:tcBorders>
              <w:left w:val="single" w:sz="8" w:color="E2EEF6"/>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60" w:type="dxa"/>
            <w:vAlign w:val="bottom"/>
            <w:tcBorders>
              <w:top w:val="single" w:sz="8" w:color="auto"/>
            </w:tcBorders>
            <w:shd w:val="clear" w:color="auto" w:fill="E2EEF6"/>
          </w:tcPr>
          <w:p>
            <w:pPr>
              <w:spacing w:after="0"/>
              <w:rPr>
                <w:sz w:val="20"/>
                <w:szCs w:val="20"/>
                <w:color w:val="auto"/>
              </w:rPr>
            </w:pPr>
          </w:p>
        </w:tc>
        <w:tc>
          <w:tcPr>
            <w:tcW w:w="112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80" w:type="dxa"/>
            <w:vAlign w:val="bottom"/>
            <w:tcBorders>
              <w:top w:val="single" w:sz="8" w:color="auto"/>
            </w:tcBorders>
            <w:shd w:val="clear" w:color="auto" w:fill="E2EEF6"/>
          </w:tcPr>
          <w:p>
            <w:pPr>
              <w:spacing w:after="0"/>
              <w:rPr>
                <w:sz w:val="20"/>
                <w:szCs w:val="20"/>
                <w:color w:val="auto"/>
              </w:rPr>
            </w:pPr>
          </w:p>
        </w:tc>
        <w:tc>
          <w:tcPr>
            <w:tcW w:w="108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Net increase/(decrease) in cash and cash equivalents</w:t>
            </w:r>
          </w:p>
        </w:tc>
        <w:tc>
          <w:tcPr>
            <w:tcW w:w="320" w:type="dxa"/>
            <w:vAlign w:val="bottom"/>
            <w:shd w:val="clear" w:color="auto" w:fill="E2EEF6"/>
          </w:tcPr>
          <w:p>
            <w:pPr>
              <w:spacing w:after="0"/>
              <w:rPr>
                <w:sz w:val="20"/>
                <w:szCs w:val="20"/>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956</w:t>
            </w:r>
          </w:p>
        </w:tc>
        <w:tc>
          <w:tcPr>
            <w:tcW w:w="140" w:type="dxa"/>
            <w:vAlign w:val="bottom"/>
            <w:tcBorders>
              <w:left w:val="single" w:sz="8" w:color="E2EEF6"/>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E2EEF6"/>
          </w:tcPr>
          <w:p>
            <w:pPr>
              <w:spacing w:after="0"/>
              <w:rPr>
                <w:sz w:val="20"/>
                <w:szCs w:val="20"/>
                <w:color w:val="auto"/>
              </w:rPr>
            </w:pP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shd w:val="clear" w:color="auto" w:fill="E2EEF6"/>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E2EEF6"/>
          </w:tcPr>
          <w:p>
            <w:pPr>
              <w:jc w:val="right"/>
              <w:spacing w:after="0"/>
              <w:rPr>
                <w:sz w:val="20"/>
                <w:szCs w:val="20"/>
                <w:color w:val="auto"/>
              </w:rPr>
            </w:pPr>
            <w:r>
              <w:rPr>
                <w:rFonts w:ascii="Arial" w:cs="Arial" w:eastAsia="Arial" w:hAnsi="Arial"/>
                <w:sz w:val="18"/>
                <w:szCs w:val="18"/>
                <w:b w:val="1"/>
                <w:bCs w:val="1"/>
                <w:color w:val="auto"/>
              </w:rPr>
              <w:t>1,678</w:t>
            </w:r>
          </w:p>
        </w:tc>
        <w:tc>
          <w:tcPr>
            <w:tcW w:w="140" w:type="dxa"/>
            <w:vAlign w:val="bottom"/>
            <w:tcBorders>
              <w:left w:val="single" w:sz="8" w:color="E2EEF6"/>
            </w:tcBorders>
            <w:shd w:val="clear" w:color="auto" w:fill="E2EEF6"/>
          </w:tcPr>
          <w:p>
            <w:pPr>
              <w:spacing w:after="0"/>
              <w:rPr>
                <w:sz w:val="22"/>
                <w:szCs w:val="22"/>
                <w:color w:val="auto"/>
              </w:rPr>
            </w:pPr>
          </w:p>
        </w:tc>
        <w:tc>
          <w:tcPr>
            <w:tcW w:w="3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722</w:t>
            </w:r>
          </w:p>
        </w:tc>
        <w:tc>
          <w:tcPr>
            <w:tcW w:w="280" w:type="dxa"/>
            <w:vAlign w:val="bottom"/>
            <w:shd w:val="clear" w:color="auto" w:fill="E2EEF6"/>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E2EEF6"/>
            </w:tcBorders>
            <w:shd w:val="clear" w:color="auto" w:fill="E2EEF6"/>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in the prior periods’ financial statements have been reclassified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267335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Business Segment Net Revenue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w w:val="92"/>
              </w:rPr>
              <w:t>For Three Months Ended</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8"/>
        </w:trPr>
        <w:tc>
          <w:tcPr>
            <w:tcW w:w="3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5"/>
              </w:rPr>
              <w:t>Mar. 31,</w:t>
            </w:r>
          </w:p>
        </w:tc>
        <w:tc>
          <w:tcPr>
            <w:tcW w:w="280" w:type="dxa"/>
            <w:vAlign w:val="bottom"/>
          </w:tcPr>
          <w:p>
            <w:pPr>
              <w:spacing w:after="0"/>
              <w:rPr>
                <w:sz w:val="17"/>
                <w:szCs w:val="17"/>
                <w:color w:val="auto"/>
              </w:rPr>
            </w:pPr>
          </w:p>
        </w:tc>
        <w:tc>
          <w:tcPr>
            <w:tcW w:w="118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June 30,</w:t>
            </w:r>
          </w:p>
        </w:tc>
      </w:tr>
      <w:tr>
        <w:trPr>
          <w:trHeight w:val="234"/>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20"/>
                <w:szCs w:val="20"/>
                <w:color w:val="auto"/>
              </w:rPr>
            </w:pPr>
          </w:p>
        </w:tc>
      </w:tr>
      <w:tr>
        <w:trPr>
          <w:trHeight w:val="237"/>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620" w:type="dxa"/>
            <w:vAlign w:val="bottom"/>
            <w:shd w:val="clear" w:color="auto" w:fill="E2EEF6"/>
          </w:tcPr>
          <w:p>
            <w:pPr>
              <w:spacing w:after="0"/>
              <w:rPr>
                <w:sz w:val="20"/>
                <w:szCs w:val="20"/>
                <w:color w:val="auto"/>
              </w:rPr>
            </w:pPr>
            <w:r>
              <w:rPr>
                <w:rFonts w:ascii="Arial" w:cs="Arial" w:eastAsia="Arial" w:hAnsi="Arial"/>
                <w:sz w:val="18"/>
                <w:szCs w:val="18"/>
                <w:color w:val="auto"/>
              </w:rPr>
              <w:t>Semiconductor</w:t>
            </w:r>
          </w:p>
        </w:tc>
        <w:tc>
          <w:tcPr>
            <w:tcW w:w="3420" w:type="dxa"/>
            <w:vAlign w:val="bottom"/>
            <w:gridSpan w:val="2"/>
            <w:shd w:val="clear" w:color="auto" w:fill="E2EEF6"/>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3,505</w:t>
            </w:r>
          </w:p>
        </w:tc>
        <w:tc>
          <w:tcPr>
            <w:tcW w:w="48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3,262</w:t>
            </w:r>
          </w:p>
        </w:tc>
        <w:tc>
          <w:tcPr>
            <w:tcW w:w="220" w:type="dxa"/>
            <w:vAlign w:val="bottom"/>
            <w:shd w:val="clear" w:color="auto" w:fill="E2EEF6"/>
          </w:tcPr>
          <w:p>
            <w:pPr>
              <w:spacing w:after="0"/>
              <w:rPr>
                <w:sz w:val="21"/>
                <w:szCs w:val="21"/>
                <w:color w:val="auto"/>
              </w:rPr>
            </w:pPr>
          </w:p>
        </w:tc>
        <w:tc>
          <w:tcPr>
            <w:tcW w:w="280" w:type="dxa"/>
            <w:vAlign w:val="bottom"/>
            <w:shd w:val="clear" w:color="auto" w:fill="E2EEF6"/>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2,791</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Educational &amp; Productivity Solutions</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43"/>
        </w:trPr>
        <w:tc>
          <w:tcPr>
            <w:tcW w:w="3620" w:type="dxa"/>
            <w:vAlign w:val="bottom"/>
            <w:shd w:val="clear" w:color="auto" w:fill="E2EEF6"/>
          </w:tcPr>
          <w:p>
            <w:pPr>
              <w:spacing w:after="0"/>
              <w:rPr>
                <w:sz w:val="20"/>
                <w:szCs w:val="20"/>
                <w:color w:val="auto"/>
              </w:rPr>
            </w:pPr>
            <w:r>
              <w:rPr>
                <w:rFonts w:ascii="Arial" w:cs="Arial" w:eastAsia="Arial" w:hAnsi="Arial"/>
                <w:sz w:val="18"/>
                <w:szCs w:val="18"/>
                <w:color w:val="auto"/>
              </w:rPr>
              <w:t>Intersegment eliminations</w:t>
            </w:r>
          </w:p>
        </w:tc>
        <w:tc>
          <w:tcPr>
            <w:tcW w:w="31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w:t>
            </w:r>
          </w:p>
        </w:tc>
      </w:tr>
      <w:tr>
        <w:trPr>
          <w:trHeight w:val="237"/>
        </w:trPr>
        <w:tc>
          <w:tcPr>
            <w:tcW w:w="3620" w:type="dxa"/>
            <w:vAlign w:val="bottom"/>
            <w:tcBorders>
              <w:top w:val="single" w:sz="8" w:color="E2EEF6"/>
            </w:tcBorders>
          </w:tcPr>
          <w:p>
            <w:pPr>
              <w:spacing w:after="0"/>
              <w:rPr>
                <w:sz w:val="20"/>
                <w:szCs w:val="20"/>
                <w:color w:val="auto"/>
              </w:rPr>
            </w:pPr>
          </w:p>
        </w:tc>
        <w:tc>
          <w:tcPr>
            <w:tcW w:w="3120" w:type="dxa"/>
            <w:vAlign w:val="bottom"/>
            <w:tcBorders>
              <w:top w:val="single" w:sz="8" w:color="E2EEF6"/>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r>
      <w:tr>
        <w:trPr>
          <w:trHeight w:val="263"/>
        </w:trPr>
        <w:tc>
          <w:tcPr>
            <w:tcW w:w="3620" w:type="dxa"/>
            <w:vAlign w:val="bottom"/>
            <w:shd w:val="clear" w:color="auto" w:fill="E2EEF6"/>
          </w:tcPr>
          <w:p>
            <w:pPr>
              <w:spacing w:after="0"/>
              <w:rPr>
                <w:sz w:val="20"/>
                <w:szCs w:val="20"/>
                <w:color w:val="auto"/>
              </w:rPr>
            </w:pPr>
            <w:r>
              <w:rPr>
                <w:rFonts w:ascii="Arial" w:cs="Arial" w:eastAsia="Arial" w:hAnsi="Arial"/>
                <w:sz w:val="18"/>
                <w:szCs w:val="18"/>
                <w:color w:val="auto"/>
              </w:rPr>
              <w:t>Total net revenue</w:t>
            </w:r>
          </w:p>
        </w:tc>
        <w:tc>
          <w:tcPr>
            <w:tcW w:w="3120" w:type="dxa"/>
            <w:vAlign w:val="bottom"/>
            <w:shd w:val="clear" w:color="auto" w:fill="E2EEF6"/>
          </w:tcPr>
          <w:p>
            <w:pPr>
              <w:spacing w:after="0"/>
              <w:rPr>
                <w:sz w:val="22"/>
                <w:szCs w:val="22"/>
                <w:color w:val="auto"/>
              </w:rPr>
            </w:pP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3,697</w:t>
            </w:r>
          </w:p>
        </w:tc>
        <w:tc>
          <w:tcPr>
            <w:tcW w:w="48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3,334</w:t>
            </w:r>
          </w:p>
        </w:tc>
        <w:tc>
          <w:tcPr>
            <w:tcW w:w="220" w:type="dxa"/>
            <w:vAlign w:val="bottom"/>
            <w:shd w:val="clear" w:color="auto" w:fill="E2EEF6"/>
          </w:tcPr>
          <w:p>
            <w:pPr>
              <w:spacing w:after="0"/>
              <w:rPr>
                <w:sz w:val="22"/>
                <w:szCs w:val="22"/>
                <w:color w:val="auto"/>
              </w:rPr>
            </w:pPr>
          </w:p>
        </w:tc>
        <w:tc>
          <w:tcPr>
            <w:tcW w:w="280" w:type="dxa"/>
            <w:vAlign w:val="bottom"/>
            <w:shd w:val="clear" w:color="auto" w:fill="E2EEF6"/>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2,971</w:t>
            </w:r>
          </w:p>
        </w:tc>
      </w:tr>
      <w:tr>
        <w:trPr>
          <w:trHeight w:val="20"/>
        </w:trPr>
        <w:tc>
          <w:tcPr>
            <w:tcW w:w="3620" w:type="dxa"/>
            <w:vAlign w:val="bottom"/>
            <w:tcBorders>
              <w:top w:val="single" w:sz="8" w:color="E2EEF6"/>
            </w:tcBorders>
            <w:shd w:val="clear" w:color="auto" w:fill="E2EEF6"/>
          </w:tcPr>
          <w:p>
            <w:pPr>
              <w:spacing w:after="0" w:line="20" w:lineRule="exact"/>
              <w:rPr>
                <w:sz w:val="1"/>
                <w:szCs w:val="1"/>
                <w:color w:val="auto"/>
              </w:rPr>
            </w:pPr>
          </w:p>
        </w:tc>
        <w:tc>
          <w:tcPr>
            <w:tcW w:w="3120" w:type="dxa"/>
            <w:vAlign w:val="bottom"/>
            <w:tcBorders>
              <w:top w:val="single" w:sz="8" w:color="E2EEF6"/>
            </w:tcBorders>
            <w:shd w:val="clear" w:color="auto" w:fill="E2EEF6"/>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E2EEF6"/>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r>
        <w:trPr>
          <w:trHeight w:val="691"/>
        </w:trPr>
        <w:tc>
          <w:tcPr>
            <w:tcW w:w="3620" w:type="dxa"/>
            <w:vAlign w:val="bottom"/>
          </w:tcPr>
          <w:p>
            <w:pPr>
              <w:spacing w:after="0"/>
              <w:rPr>
                <w:sz w:val="24"/>
                <w:szCs w:val="24"/>
                <w:color w:val="auto"/>
              </w:rPr>
            </w:pPr>
          </w:p>
        </w:tc>
        <w:tc>
          <w:tcPr>
            <w:tcW w:w="3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Business Segment Profit (Loss)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34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(In millions of dollars)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1"/>
        </w:trPr>
        <w:tc>
          <w:tcPr>
            <w:tcW w:w="3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w w:val="92"/>
              </w:rPr>
              <w:t>For Three Months Ended</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8"/>
        </w:trPr>
        <w:tc>
          <w:tcPr>
            <w:tcW w:w="3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5"/>
              </w:rPr>
              <w:t>Mar. 31,</w:t>
            </w:r>
          </w:p>
        </w:tc>
        <w:tc>
          <w:tcPr>
            <w:tcW w:w="280" w:type="dxa"/>
            <w:vAlign w:val="bottom"/>
          </w:tcPr>
          <w:p>
            <w:pPr>
              <w:spacing w:after="0"/>
              <w:rPr>
                <w:sz w:val="17"/>
                <w:szCs w:val="17"/>
                <w:color w:val="auto"/>
              </w:rPr>
            </w:pPr>
          </w:p>
        </w:tc>
        <w:tc>
          <w:tcPr>
            <w:tcW w:w="118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June 30,</w:t>
            </w:r>
          </w:p>
        </w:tc>
      </w:tr>
      <w:tr>
        <w:trPr>
          <w:trHeight w:val="234"/>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20"/>
                <w:szCs w:val="20"/>
                <w:color w:val="auto"/>
              </w:rPr>
            </w:pPr>
          </w:p>
        </w:tc>
      </w:tr>
      <w:tr>
        <w:trPr>
          <w:trHeight w:val="237"/>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620" w:type="dxa"/>
            <w:vAlign w:val="bottom"/>
            <w:shd w:val="clear" w:color="auto" w:fill="E2EEF6"/>
          </w:tcPr>
          <w:p>
            <w:pPr>
              <w:spacing w:after="0"/>
              <w:rPr>
                <w:sz w:val="20"/>
                <w:szCs w:val="20"/>
                <w:color w:val="auto"/>
              </w:rPr>
            </w:pPr>
            <w:r>
              <w:rPr>
                <w:rFonts w:ascii="Arial" w:cs="Arial" w:eastAsia="Arial" w:hAnsi="Arial"/>
                <w:sz w:val="18"/>
                <w:szCs w:val="18"/>
                <w:color w:val="auto"/>
              </w:rPr>
              <w:t>Semiconductor*</w:t>
            </w:r>
          </w:p>
        </w:tc>
        <w:tc>
          <w:tcPr>
            <w:tcW w:w="3420" w:type="dxa"/>
            <w:vAlign w:val="bottom"/>
            <w:gridSpan w:val="2"/>
            <w:shd w:val="clear" w:color="auto" w:fill="E2EEF6"/>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1,032</w:t>
            </w:r>
          </w:p>
        </w:tc>
        <w:tc>
          <w:tcPr>
            <w:tcW w:w="48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883</w:t>
            </w:r>
          </w:p>
        </w:tc>
        <w:tc>
          <w:tcPr>
            <w:tcW w:w="280" w:type="dxa"/>
            <w:vAlign w:val="bottom"/>
            <w:shd w:val="clear" w:color="auto" w:fill="E2EEF6"/>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597</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Educational &amp; Productivity Solutions</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43"/>
        </w:trPr>
        <w:tc>
          <w:tcPr>
            <w:tcW w:w="3620" w:type="dxa"/>
            <w:vAlign w:val="bottom"/>
            <w:shd w:val="clear" w:color="auto" w:fill="E2EEF6"/>
          </w:tcPr>
          <w:p>
            <w:pPr>
              <w:spacing w:after="0"/>
              <w:rPr>
                <w:sz w:val="20"/>
                <w:szCs w:val="20"/>
                <w:color w:val="auto"/>
              </w:rPr>
            </w:pPr>
            <w:r>
              <w:rPr>
                <w:rFonts w:ascii="Arial" w:cs="Arial" w:eastAsia="Arial" w:hAnsi="Arial"/>
                <w:sz w:val="18"/>
                <w:szCs w:val="18"/>
                <w:color w:val="auto"/>
              </w:rPr>
              <w:t>Corporate**</w:t>
            </w:r>
          </w:p>
        </w:tc>
        <w:tc>
          <w:tcPr>
            <w:tcW w:w="31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320" w:type="dxa"/>
            <w:vAlign w:val="bottom"/>
            <w:gridSpan w:val="2"/>
            <w:shd w:val="clear" w:color="auto" w:fill="E2EEF6"/>
          </w:tcPr>
          <w:p>
            <w:pPr>
              <w:jc w:val="right"/>
              <w:ind w:right="90"/>
              <w:spacing w:after="0"/>
              <w:rPr>
                <w:sz w:val="20"/>
                <w:szCs w:val="20"/>
                <w:color w:val="auto"/>
              </w:rPr>
            </w:pPr>
            <w:r>
              <w:rPr>
                <w:rFonts w:ascii="Arial" w:cs="Arial" w:eastAsia="Arial" w:hAnsi="Arial"/>
                <w:sz w:val="18"/>
                <w:szCs w:val="18"/>
                <w:b w:val="1"/>
                <w:bCs w:val="1"/>
                <w:color w:val="auto"/>
              </w:rPr>
              <w:t>(163)</w:t>
            </w:r>
          </w:p>
        </w:tc>
        <w:tc>
          <w:tcPr>
            <w:tcW w:w="26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(74)</w:t>
            </w:r>
          </w:p>
        </w:tc>
      </w:tr>
      <w:tr>
        <w:trPr>
          <w:trHeight w:val="237"/>
        </w:trPr>
        <w:tc>
          <w:tcPr>
            <w:tcW w:w="3620" w:type="dxa"/>
            <w:vAlign w:val="bottom"/>
            <w:tcBorders>
              <w:top w:val="single" w:sz="8" w:color="E2EEF6"/>
            </w:tcBorders>
          </w:tcPr>
          <w:p>
            <w:pPr>
              <w:spacing w:after="0"/>
              <w:rPr>
                <w:sz w:val="20"/>
                <w:szCs w:val="20"/>
                <w:color w:val="auto"/>
              </w:rPr>
            </w:pPr>
          </w:p>
        </w:tc>
        <w:tc>
          <w:tcPr>
            <w:tcW w:w="3120" w:type="dxa"/>
            <w:vAlign w:val="bottom"/>
            <w:tcBorders>
              <w:top w:val="single" w:sz="8" w:color="E2EEF6"/>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r>
      <w:tr>
        <w:trPr>
          <w:trHeight w:val="263"/>
        </w:trPr>
        <w:tc>
          <w:tcPr>
            <w:tcW w:w="3620" w:type="dxa"/>
            <w:vAlign w:val="bottom"/>
            <w:shd w:val="clear" w:color="auto" w:fill="E2EEF6"/>
          </w:tcPr>
          <w:p>
            <w:pPr>
              <w:spacing w:after="0"/>
              <w:rPr>
                <w:sz w:val="20"/>
                <w:szCs w:val="20"/>
                <w:color w:val="auto"/>
              </w:rPr>
            </w:pPr>
            <w:r>
              <w:rPr>
                <w:rFonts w:ascii="Arial" w:cs="Arial" w:eastAsia="Arial" w:hAnsi="Arial"/>
                <w:sz w:val="18"/>
                <w:szCs w:val="18"/>
                <w:color w:val="auto"/>
              </w:rPr>
              <w:t>Profit from operations</w:t>
            </w:r>
          </w:p>
        </w:tc>
        <w:tc>
          <w:tcPr>
            <w:tcW w:w="3120" w:type="dxa"/>
            <w:vAlign w:val="bottom"/>
            <w:shd w:val="clear" w:color="auto" w:fill="E2EEF6"/>
          </w:tcPr>
          <w:p>
            <w:pPr>
              <w:spacing w:after="0"/>
              <w:rPr>
                <w:sz w:val="22"/>
                <w:szCs w:val="22"/>
                <w:color w:val="auto"/>
              </w:rPr>
            </w:pP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b w:val="1"/>
                <w:bCs w:val="1"/>
                <w:color w:val="auto"/>
              </w:rPr>
              <w:t>953</w:t>
            </w:r>
          </w:p>
        </w:tc>
        <w:tc>
          <w:tcPr>
            <w:tcW w:w="48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E2EEF6"/>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602</w:t>
            </w:r>
          </w:p>
        </w:tc>
      </w:tr>
      <w:tr>
        <w:trPr>
          <w:trHeight w:val="20"/>
        </w:trPr>
        <w:tc>
          <w:tcPr>
            <w:tcW w:w="3620" w:type="dxa"/>
            <w:vAlign w:val="bottom"/>
            <w:tcBorders>
              <w:top w:val="single" w:sz="8" w:color="E2EEF6"/>
            </w:tcBorders>
            <w:shd w:val="clear" w:color="auto" w:fill="E2EEF6"/>
          </w:tcPr>
          <w:p>
            <w:pPr>
              <w:spacing w:after="0" w:line="20" w:lineRule="exact"/>
              <w:rPr>
                <w:sz w:val="1"/>
                <w:szCs w:val="1"/>
                <w:color w:val="auto"/>
              </w:rPr>
            </w:pPr>
          </w:p>
        </w:tc>
        <w:tc>
          <w:tcPr>
            <w:tcW w:w="3120" w:type="dxa"/>
            <w:vAlign w:val="bottom"/>
            <w:tcBorders>
              <w:top w:val="single" w:sz="8" w:color="E2EEF6"/>
            </w:tcBorders>
            <w:shd w:val="clear" w:color="auto" w:fill="E2EEF6"/>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E2EEF6"/>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29" w:lineRule="exact"/>
        <w:rPr>
          <w:sz w:val="20"/>
          <w:szCs w:val="20"/>
          <w:color w:val="auto"/>
        </w:rPr>
      </w:pPr>
    </w:p>
    <w:p>
      <w:pPr>
        <w:ind w:right="440" w:firstLine="8"/>
        <w:spacing w:after="0" w:line="258"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Semiconductor profit from operations includes a benefit of $57 for a state sales tax refund and $60 from the royalty settlement in the second quarter of 2006.</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Corporate includes stock-based compensation expense of $84, $91 and $5 respectively.</w:t>
      </w:r>
    </w:p>
    <w:p>
      <w:pPr>
        <w:spacing w:after="0" w:line="200" w:lineRule="exact"/>
        <w:rPr>
          <w:sz w:val="20"/>
          <w:szCs w:val="20"/>
          <w:color w:val="auto"/>
        </w:rPr>
      </w:pPr>
    </w:p>
    <w:p>
      <w:pPr>
        <w:spacing w:after="0" w:line="308"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The royalty settlement and sales tax refund benefit included in TI's second quarter 2006 results are detailed as follows. All items are in the Semiconductor segment results except the $20 million in Other income (expense) net, which is in Corporate.</w:t>
      </w: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140" w:type="dxa"/>
            <w:vAlign w:val="bottom"/>
          </w:tcPr>
          <w:p>
            <w:pPr>
              <w:jc w:val="center"/>
              <w:ind w:left="150"/>
              <w:spacing w:after="0" w:line="203" w:lineRule="exact"/>
              <w:rPr>
                <w:sz w:val="20"/>
                <w:szCs w:val="20"/>
                <w:color w:val="auto"/>
              </w:rPr>
            </w:pPr>
            <w:r>
              <w:rPr>
                <w:rFonts w:ascii="Arial" w:cs="Arial" w:eastAsia="Arial" w:hAnsi="Arial"/>
                <w:sz w:val="18"/>
                <w:szCs w:val="18"/>
                <w:color w:val="auto"/>
                <w:w w:val="96"/>
              </w:rPr>
              <w:t>Royalty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40" w:type="dxa"/>
            <w:vAlign w:val="bottom"/>
          </w:tcPr>
          <w:p>
            <w:pPr>
              <w:spacing w:after="0"/>
              <w:rPr>
                <w:sz w:val="20"/>
                <w:szCs w:val="20"/>
                <w:color w:val="auto"/>
              </w:rPr>
            </w:pPr>
          </w:p>
        </w:tc>
        <w:tc>
          <w:tcPr>
            <w:tcW w:w="11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0"/>
              </w:rPr>
              <w:t>Settlement</w:t>
            </w:r>
          </w:p>
        </w:tc>
        <w:tc>
          <w:tcPr>
            <w:tcW w:w="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Sales Tax Refund</w:t>
            </w:r>
          </w:p>
        </w:tc>
        <w:tc>
          <w:tcPr>
            <w:tcW w:w="100" w:type="dxa"/>
            <w:vAlign w:val="bottom"/>
          </w:tcPr>
          <w:p>
            <w:pPr>
              <w:spacing w:after="0"/>
              <w:rPr>
                <w:sz w:val="20"/>
                <w:szCs w:val="20"/>
                <w:color w:val="auto"/>
              </w:rPr>
            </w:pPr>
          </w:p>
        </w:tc>
      </w:tr>
      <w:tr>
        <w:trPr>
          <w:trHeight w:val="237"/>
        </w:trPr>
        <w:tc>
          <w:tcPr>
            <w:tcW w:w="8340" w:type="dxa"/>
            <w:vAlign w:val="bottom"/>
            <w:shd w:val="clear" w:color="auto" w:fill="E2EEF6"/>
          </w:tcPr>
          <w:p>
            <w:pPr>
              <w:ind w:left="1300"/>
              <w:spacing w:after="0"/>
              <w:rPr>
                <w:sz w:val="20"/>
                <w:szCs w:val="20"/>
                <w:color w:val="auto"/>
              </w:rPr>
            </w:pPr>
            <w:r>
              <w:rPr>
                <w:rFonts w:ascii="Arial" w:cs="Arial" w:eastAsia="Arial" w:hAnsi="Arial"/>
                <w:sz w:val="18"/>
                <w:szCs w:val="18"/>
                <w:color w:val="auto"/>
              </w:rPr>
              <w:t>Orders</w:t>
            </w:r>
          </w:p>
        </w:tc>
        <w:tc>
          <w:tcPr>
            <w:tcW w:w="1140" w:type="dxa"/>
            <w:vAlign w:val="bottom"/>
            <w:shd w:val="clear" w:color="auto" w:fill="E2EEF6"/>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70</w:t>
            </w:r>
          </w:p>
        </w:tc>
        <w:tc>
          <w:tcPr>
            <w:tcW w:w="720" w:type="dxa"/>
            <w:vAlign w:val="bottom"/>
            <w:gridSpan w:val="2"/>
            <w:shd w:val="clear" w:color="auto" w:fill="E2EEF6"/>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300"/>
              <w:spacing w:after="0"/>
              <w:rPr>
                <w:sz w:val="20"/>
                <w:szCs w:val="20"/>
                <w:color w:val="auto"/>
              </w:rPr>
            </w:pPr>
            <w:r>
              <w:rPr>
                <w:rFonts w:ascii="Arial" w:cs="Arial" w:eastAsia="Arial" w:hAnsi="Arial"/>
                <w:sz w:val="18"/>
                <w:szCs w:val="18"/>
                <w:color w:val="auto"/>
              </w:rPr>
              <w:t>Net revenue</w:t>
            </w:r>
          </w:p>
        </w:tc>
        <w:tc>
          <w:tcPr>
            <w:tcW w:w="114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shd w:val="clear" w:color="auto" w:fill="E2EEF6"/>
          </w:tcPr>
          <w:p>
            <w:pPr>
              <w:ind w:left="1300"/>
              <w:spacing w:after="0"/>
              <w:rPr>
                <w:sz w:val="20"/>
                <w:szCs w:val="20"/>
                <w:color w:val="auto"/>
              </w:rPr>
            </w:pPr>
            <w:r>
              <w:rPr>
                <w:rFonts w:ascii="Arial" w:cs="Arial" w:eastAsia="Arial" w:hAnsi="Arial"/>
                <w:sz w:val="18"/>
                <w:szCs w:val="18"/>
                <w:color w:val="auto"/>
              </w:rPr>
              <w:t>Cost of revenue</w:t>
            </w:r>
          </w:p>
        </w:tc>
        <w:tc>
          <w:tcPr>
            <w:tcW w:w="1140" w:type="dxa"/>
            <w:vAlign w:val="bottom"/>
            <w:shd w:val="clear" w:color="auto" w:fill="E2EEF6"/>
          </w:tcPr>
          <w:p>
            <w:pPr>
              <w:spacing w:after="0"/>
              <w:rPr>
                <w:sz w:val="21"/>
                <w:szCs w:val="21"/>
                <w:color w:val="auto"/>
              </w:rPr>
            </w:pPr>
          </w:p>
        </w:tc>
        <w:tc>
          <w:tcPr>
            <w:tcW w:w="3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(31)</w:t>
            </w:r>
          </w:p>
        </w:tc>
      </w:tr>
      <w:tr>
        <w:trPr>
          <w:trHeight w:val="243"/>
        </w:trPr>
        <w:tc>
          <w:tcPr>
            <w:tcW w:w="8340" w:type="dxa"/>
            <w:vAlign w:val="bottom"/>
          </w:tcPr>
          <w:p>
            <w:pPr>
              <w:ind w:left="1300"/>
              <w:spacing w:after="0"/>
              <w:rPr>
                <w:sz w:val="20"/>
                <w:szCs w:val="20"/>
                <w:color w:val="auto"/>
              </w:rPr>
            </w:pPr>
            <w:r>
              <w:rPr>
                <w:rFonts w:ascii="Arial" w:cs="Arial" w:eastAsia="Arial" w:hAnsi="Arial"/>
                <w:sz w:val="18"/>
                <w:szCs w:val="18"/>
                <w:color w:val="auto"/>
              </w:rPr>
              <w:t>Gross profit</w:t>
            </w:r>
          </w:p>
        </w:tc>
        <w:tc>
          <w:tcPr>
            <w:tcW w:w="114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43"/>
        </w:trPr>
        <w:tc>
          <w:tcPr>
            <w:tcW w:w="8340" w:type="dxa"/>
            <w:vAlign w:val="bottom"/>
            <w:shd w:val="clear" w:color="auto" w:fill="E2EEF6"/>
          </w:tcPr>
          <w:p>
            <w:pPr>
              <w:ind w:left="1300"/>
              <w:spacing w:after="0"/>
              <w:rPr>
                <w:sz w:val="20"/>
                <w:szCs w:val="20"/>
                <w:color w:val="auto"/>
              </w:rPr>
            </w:pPr>
            <w:r>
              <w:rPr>
                <w:rFonts w:ascii="Arial" w:cs="Arial" w:eastAsia="Arial" w:hAnsi="Arial"/>
                <w:sz w:val="18"/>
                <w:szCs w:val="18"/>
                <w:color w:val="auto"/>
              </w:rPr>
              <w:t>R&amp;D</w:t>
            </w:r>
          </w:p>
        </w:tc>
        <w:tc>
          <w:tcPr>
            <w:tcW w:w="1140" w:type="dxa"/>
            <w:vAlign w:val="bottom"/>
            <w:shd w:val="clear" w:color="auto" w:fill="E2EEF6"/>
          </w:tcPr>
          <w:p>
            <w:pPr>
              <w:spacing w:after="0"/>
              <w:rPr>
                <w:sz w:val="21"/>
                <w:szCs w:val="21"/>
                <w:color w:val="auto"/>
              </w:rPr>
            </w:pPr>
          </w:p>
        </w:tc>
        <w:tc>
          <w:tcPr>
            <w:tcW w:w="3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(21)</w:t>
            </w:r>
          </w:p>
        </w:tc>
      </w:tr>
      <w:tr>
        <w:trPr>
          <w:trHeight w:val="243"/>
        </w:trPr>
        <w:tc>
          <w:tcPr>
            <w:tcW w:w="8340" w:type="dxa"/>
            <w:vAlign w:val="bottom"/>
          </w:tcPr>
          <w:p>
            <w:pPr>
              <w:ind w:left="1300"/>
              <w:spacing w:after="0"/>
              <w:rPr>
                <w:sz w:val="20"/>
                <w:szCs w:val="20"/>
                <w:color w:val="auto"/>
              </w:rPr>
            </w:pPr>
            <w:r>
              <w:rPr>
                <w:rFonts w:ascii="Arial" w:cs="Arial" w:eastAsia="Arial" w:hAnsi="Arial"/>
                <w:sz w:val="18"/>
                <w:szCs w:val="18"/>
                <w:color w:val="auto"/>
              </w:rPr>
              <w:t>SG&amp;A</w:t>
            </w:r>
          </w:p>
        </w:tc>
        <w:tc>
          <w:tcPr>
            <w:tcW w:w="114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43"/>
        </w:trPr>
        <w:tc>
          <w:tcPr>
            <w:tcW w:w="8340" w:type="dxa"/>
            <w:vAlign w:val="bottom"/>
            <w:shd w:val="clear" w:color="auto" w:fill="E2EEF6"/>
          </w:tcPr>
          <w:p>
            <w:pPr>
              <w:ind w:left="1300"/>
              <w:spacing w:after="0"/>
              <w:rPr>
                <w:sz w:val="20"/>
                <w:szCs w:val="20"/>
                <w:color w:val="auto"/>
              </w:rPr>
            </w:pPr>
            <w:r>
              <w:rPr>
                <w:rFonts w:ascii="Arial" w:cs="Arial" w:eastAsia="Arial" w:hAnsi="Arial"/>
                <w:sz w:val="18"/>
                <w:szCs w:val="18"/>
                <w:color w:val="auto"/>
              </w:rPr>
              <w:t>Profit from operations</w:t>
            </w:r>
          </w:p>
        </w:tc>
        <w:tc>
          <w:tcPr>
            <w:tcW w:w="1140" w:type="dxa"/>
            <w:vAlign w:val="bottom"/>
            <w:shd w:val="clear" w:color="auto" w:fill="E2EEF6"/>
          </w:tcPr>
          <w:p>
            <w:pPr>
              <w:spacing w:after="0"/>
              <w:rPr>
                <w:sz w:val="21"/>
                <w:szCs w:val="21"/>
                <w:color w:val="auto"/>
              </w:rPr>
            </w:pPr>
          </w:p>
        </w:tc>
        <w:tc>
          <w:tcPr>
            <w:tcW w:w="3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57</w:t>
            </w:r>
          </w:p>
        </w:tc>
      </w:tr>
      <w:tr>
        <w:trPr>
          <w:trHeight w:val="243"/>
        </w:trPr>
        <w:tc>
          <w:tcPr>
            <w:tcW w:w="8340" w:type="dxa"/>
            <w:vAlign w:val="bottom"/>
          </w:tcPr>
          <w:p>
            <w:pPr>
              <w:ind w:left="1300"/>
              <w:spacing w:after="0"/>
              <w:rPr>
                <w:sz w:val="20"/>
                <w:szCs w:val="20"/>
                <w:color w:val="auto"/>
              </w:rPr>
            </w:pPr>
            <w:r>
              <w:rPr>
                <w:rFonts w:ascii="Arial" w:cs="Arial" w:eastAsia="Arial" w:hAnsi="Arial"/>
                <w:sz w:val="18"/>
                <w:szCs w:val="18"/>
                <w:color w:val="auto"/>
              </w:rPr>
              <w:t>Other income (expense) net</w:t>
            </w:r>
          </w:p>
        </w:tc>
        <w:tc>
          <w:tcPr>
            <w:tcW w:w="114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43"/>
        </w:trPr>
        <w:tc>
          <w:tcPr>
            <w:tcW w:w="8340" w:type="dxa"/>
            <w:vAlign w:val="bottom"/>
            <w:shd w:val="clear" w:color="auto" w:fill="E2EEF6"/>
          </w:tcPr>
          <w:p>
            <w:pPr>
              <w:ind w:left="1300"/>
              <w:spacing w:after="0"/>
              <w:rPr>
                <w:sz w:val="20"/>
                <w:szCs w:val="20"/>
                <w:color w:val="auto"/>
              </w:rPr>
            </w:pPr>
            <w:r>
              <w:rPr>
                <w:rFonts w:ascii="Arial" w:cs="Arial" w:eastAsia="Arial" w:hAnsi="Arial"/>
                <w:sz w:val="18"/>
                <w:szCs w:val="18"/>
                <w:color w:val="auto"/>
              </w:rPr>
              <w:t>Income from continuing operations before income taxes</w:t>
            </w:r>
          </w:p>
        </w:tc>
        <w:tc>
          <w:tcPr>
            <w:tcW w:w="1140" w:type="dxa"/>
            <w:vAlign w:val="bottom"/>
            <w:shd w:val="clear" w:color="auto" w:fill="E2EEF6"/>
          </w:tcPr>
          <w:p>
            <w:pPr>
              <w:spacing w:after="0"/>
              <w:rPr>
                <w:sz w:val="21"/>
                <w:szCs w:val="21"/>
                <w:color w:val="auto"/>
              </w:rPr>
            </w:pPr>
          </w:p>
        </w:tc>
        <w:tc>
          <w:tcPr>
            <w:tcW w:w="3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77</w:t>
            </w:r>
          </w:p>
        </w:tc>
      </w:tr>
      <w:tr>
        <w:trPr>
          <w:trHeight w:val="388"/>
        </w:trPr>
        <w:tc>
          <w:tcPr>
            <w:tcW w:w="8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Semiconductor</w:t>
      </w:r>
    </w:p>
    <w:p>
      <w:pPr>
        <w:spacing w:after="0" w:line="283" w:lineRule="exact"/>
        <w:rPr>
          <w:sz w:val="20"/>
          <w:szCs w:val="20"/>
          <w:color w:val="auto"/>
        </w:rPr>
      </w:pPr>
    </w:p>
    <w:p>
      <w:pPr>
        <w:jc w:val="both"/>
        <w:ind w:left="340" w:hanging="143"/>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in the second quarter was $3.51 billion. This was an increase of 7 percent from the prior quarter primarily due to demand for the company’s analog products and a $70 million royalty settlement received in the second quarter from Conexant Systems, Inc. It was also an increase of 26 percent from the year-ago quarter primarily due to demand for the company’s DSP and analog products.</w:t>
      </w:r>
    </w:p>
    <w:p>
      <w:pPr>
        <w:spacing w:after="0" w:line="235" w:lineRule="exact"/>
        <w:rPr>
          <w:rFonts w:ascii="Arial" w:cs="Arial" w:eastAsia="Arial" w:hAnsi="Arial"/>
          <w:sz w:val="18"/>
          <w:szCs w:val="18"/>
          <w:color w:val="auto"/>
        </w:rPr>
      </w:pPr>
    </w:p>
    <w:p>
      <w:pPr>
        <w:ind w:left="500" w:hanging="180"/>
        <w:spacing w:after="0" w:line="264" w:lineRule="auto"/>
        <w:rPr>
          <w:rFonts w:ascii="Arial" w:cs="Arial" w:eastAsia="Arial" w:hAnsi="Arial"/>
          <w:sz w:val="18"/>
          <w:szCs w:val="18"/>
          <w:color w:val="auto"/>
        </w:rPr>
      </w:pPr>
      <w:r>
        <w:rPr>
          <w:rFonts w:ascii="Arial" w:cs="Arial" w:eastAsia="Arial" w:hAnsi="Arial"/>
          <w:sz w:val="18"/>
          <w:szCs w:val="18"/>
          <w:color w:val="auto"/>
        </w:rPr>
        <w:t>o Analog revenue was up 8 percent from the prior quarter and increased 23 percent from the year-ago quarter primarily due to demand for the company’s high-performance analog products and analog products used in broadband applications. Revenue from high-performance analog products grew 5 percent from the prior quarter and 32 percent from a year ago.</w:t>
      </w:r>
    </w:p>
    <w:p>
      <w:pPr>
        <w:spacing w:after="0" w:line="235" w:lineRule="exact"/>
        <w:rPr>
          <w:rFonts w:ascii="Arial" w:cs="Arial" w:eastAsia="Arial" w:hAnsi="Arial"/>
          <w:sz w:val="18"/>
          <w:szCs w:val="18"/>
          <w:color w:val="auto"/>
        </w:rPr>
      </w:pPr>
    </w:p>
    <w:p>
      <w:pPr>
        <w:ind w:left="500" w:hanging="180"/>
        <w:spacing w:after="0" w:line="277" w:lineRule="auto"/>
        <w:rPr>
          <w:rFonts w:ascii="Arial" w:cs="Arial" w:eastAsia="Arial" w:hAnsi="Arial"/>
          <w:sz w:val="18"/>
          <w:szCs w:val="18"/>
          <w:color w:val="auto"/>
        </w:rPr>
      </w:pPr>
      <w:r>
        <w:rPr>
          <w:rFonts w:ascii="Arial" w:cs="Arial" w:eastAsia="Arial" w:hAnsi="Arial"/>
          <w:sz w:val="18"/>
          <w:szCs w:val="18"/>
          <w:color w:val="auto"/>
        </w:rPr>
        <w:t>o DSP revenue was about even with the prior quarter, and was up 24 percent from the year-ago quarter primarily due to higher demand from the wireless market.</w:t>
      </w:r>
    </w:p>
    <w:p>
      <w:pPr>
        <w:spacing w:after="0" w:line="224" w:lineRule="exact"/>
        <w:rPr>
          <w:rFonts w:ascii="Arial" w:cs="Arial" w:eastAsia="Arial" w:hAnsi="Arial"/>
          <w:sz w:val="18"/>
          <w:szCs w:val="18"/>
          <w:color w:val="auto"/>
        </w:rPr>
      </w:pPr>
    </w:p>
    <w:p>
      <w:pPr>
        <w:ind w:left="500" w:right="20" w:hanging="180"/>
        <w:spacing w:after="0" w:line="277" w:lineRule="auto"/>
        <w:rPr>
          <w:rFonts w:ascii="Arial" w:cs="Arial" w:eastAsia="Arial" w:hAnsi="Arial"/>
          <w:sz w:val="18"/>
          <w:szCs w:val="18"/>
          <w:color w:val="auto"/>
        </w:rPr>
      </w:pPr>
      <w:r>
        <w:rPr>
          <w:rFonts w:ascii="Arial" w:cs="Arial" w:eastAsia="Arial" w:hAnsi="Arial"/>
          <w:sz w:val="18"/>
          <w:szCs w:val="18"/>
          <w:color w:val="auto"/>
        </w:rPr>
        <w:t>o TI’s remaining Semiconductor revenue increased 17 percent from the prior quarter and 31 percent from a year ago due to the royalty settlement and broad-based growth in demand for DLP products, RISC microprocessors, standard logic products and microcontrollers.</w:t>
      </w:r>
    </w:p>
    <w:p>
      <w:pPr>
        <w:spacing w:after="0" w:line="224"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was $1.82 billion, or 51.8 percent of revenue. This was an increase of $157 million from the prior quarter and an increase of $490 million from the year-ago quarter. The increases over both periods were due to higher revenue.</w:t>
      </w:r>
    </w:p>
    <w:p>
      <w:pPr>
        <w:spacing w:after="0" w:line="224"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was $1.03 billion, or 29.4 percent of revenue. This was an increase of $149 million from the prior quarter and an increase of $435 million from the year-ago quarter. The increases over both periods were due to higher gross profit.</w:t>
      </w:r>
    </w:p>
    <w:p>
      <w:pPr>
        <w:spacing w:after="0" w:line="224"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orders were $3.75 billion. This was an increase of 10 percent from the prior quarter primarily due to demand for analog products, and an increase of 26 percent from a year ago due to strong demand for analog and DSP products.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Highlights</w:t>
      </w:r>
    </w:p>
    <w:p>
      <w:pPr>
        <w:spacing w:after="0" w:line="283" w:lineRule="exact"/>
        <w:rPr>
          <w:sz w:val="20"/>
          <w:szCs w:val="20"/>
          <w:color w:val="auto"/>
        </w:rPr>
      </w:pPr>
    </w:p>
    <w:p>
      <w:pPr>
        <w:ind w:left="340" w:hanging="143"/>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 is increasing its wireless design presence in India with a new R&amp;D center in Chennai, focusing on a platform of open-standard technologies that span TI’s wireless product portfolio.</w:t>
      </w:r>
    </w:p>
    <w:p>
      <w:pPr>
        <w:spacing w:after="0" w:line="224" w:lineRule="exact"/>
        <w:rPr>
          <w:rFonts w:ascii="Arial" w:cs="Arial" w:eastAsia="Arial" w:hAnsi="Arial"/>
          <w:sz w:val="18"/>
          <w:szCs w:val="18"/>
          <w:color w:val="auto"/>
        </w:rPr>
      </w:pPr>
    </w:p>
    <w:p>
      <w:pPr>
        <w:ind w:left="340" w:hanging="143"/>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 unveiled details of its 45-nanometer manufacturing process that uses immersion lithography to double the number of chips per wafer, increase performance by 30 percent and reduce power consumption by 40 percent, providing customers early access to faster, smaller and lower power products.</w:t>
      </w:r>
    </w:p>
    <w:p>
      <w:pPr>
        <w:spacing w:after="0" w:line="177" w:lineRule="exact"/>
        <w:rPr>
          <w:rFonts w:ascii="Arial" w:cs="Arial" w:eastAsia="Arial" w:hAnsi="Arial"/>
          <w:sz w:val="16"/>
          <w:szCs w:val="16"/>
          <w:color w:val="auto"/>
        </w:rPr>
      </w:pPr>
    </w:p>
    <w:p>
      <w:pPr>
        <w:ind w:left="340" w:hanging="143"/>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TI began volume production of a high-performance analog power management chip that extends battery life in smartphones, digital still cameras and other single-cell lithium-ion-powered portable multimedia devices, by delivering 96 percent efficiency over a wide range of input voltages.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Educational &amp; Productivity Solutions</w:t>
      </w:r>
    </w:p>
    <w:p>
      <w:pPr>
        <w:spacing w:after="0" w:line="283" w:lineRule="exact"/>
        <w:rPr>
          <w:sz w:val="20"/>
          <w:szCs w:val="20"/>
          <w:color w:val="auto"/>
        </w:rPr>
      </w:pPr>
    </w:p>
    <w:p>
      <w:pPr>
        <w:jc w:val="both"/>
        <w:ind w:left="340" w:hanging="143"/>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in the second quarter was $192 million. This was an increase of $118 million from the prior quarter as retailers began to stock product in preparation for the upcoming back-to-school season. It was also an increase of $11 million from the year-ago quarter due to higher demand from instructional dealers that supply school districts.</w:t>
      </w:r>
    </w:p>
    <w:p>
      <w:pPr>
        <w:spacing w:after="0" w:line="235"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was $119 million, or 61.9 percent of revenue. Gross profit increased $78 million from the prior quarter and $8 million from the year-ago quarter primarily due to higher revenue.</w:t>
      </w:r>
    </w:p>
    <w:p>
      <w:pPr>
        <w:spacing w:after="0" w:line="224" w:lineRule="exact"/>
        <w:rPr>
          <w:rFonts w:ascii="Arial" w:cs="Arial" w:eastAsia="Arial" w:hAnsi="Arial"/>
          <w:sz w:val="18"/>
          <w:szCs w:val="18"/>
          <w:color w:val="auto"/>
        </w:rPr>
      </w:pPr>
    </w:p>
    <w:p>
      <w:pPr>
        <w:ind w:left="340" w:right="20" w:hanging="143"/>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 was $84 million, or 43.9 percent of revenue. This was an increase of $71 million from the prior quarter and $5 million from the year-ago quarter. The increases were due to higher gross profit.</w:t>
      </w:r>
    </w:p>
    <w:p>
      <w:pPr>
        <w:spacing w:after="0" w:line="224" w:lineRule="exact"/>
        <w:rPr>
          <w:rFonts w:ascii="Arial" w:cs="Arial" w:eastAsia="Arial" w:hAnsi="Arial"/>
          <w:sz w:val="18"/>
          <w:szCs w:val="18"/>
          <w:color w:val="auto"/>
        </w:rPr>
      </w:pPr>
    </w:p>
    <w:p>
      <w:pPr>
        <w:ind w:left="5660" w:hanging="126"/>
        <w:spacing w:after="0"/>
        <w:tabs>
          <w:tab w:leader="none" w:pos="5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340" w:right="20" w:hanging="143"/>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3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Educational &amp; Productivity Solutions business. TI is headquartered in Dallas, Texas, and has manufacturing, design or sales operations in more than 25 countries.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DLP</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2019-12-13T07:42:15Z</dcterms:created>
  <dcterms:modified xsi:type="dcterms:W3CDTF">2019-12-13T07:42:15Z</dcterms:modified>
</cp:coreProperties>
</file>