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3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315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01/28/2010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01/28/2010</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25,000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95,000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01/29/2010</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15,000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22.7193</w:t>
            </w: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80,000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99"/>
              <w:spacing w:after="0" w:line="214" w:lineRule="exact"/>
              <w:rPr>
                <w:sz w:val="20"/>
                <w:szCs w:val="20"/>
                <w:color w:val="auto"/>
              </w:rPr>
            </w:pPr>
            <w:r>
              <w:rPr>
                <w:rFonts w:ascii="Arial" w:cs="Arial" w:eastAsia="Arial" w:hAnsi="Arial"/>
                <w:sz w:val="17"/>
                <w:szCs w:val="17"/>
                <w:color w:val="0000FF"/>
              </w:rPr>
              <w:t>2,747.23</w:t>
            </w:r>
            <w:r>
              <w:rPr>
                <w:rFonts w:ascii="Arial" w:cs="Arial" w:eastAsia="Arial" w:hAnsi="Arial"/>
                <w:sz w:val="22"/>
                <w:szCs w:val="22"/>
                <w:color w:val="008000"/>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01/28/2010</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75,000</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3"/>
                <w:szCs w:val="13"/>
                <w:color w:val="0000FF"/>
              </w:rPr>
              <w:t>01/28/2020</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75,000</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51"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4-30-2008. The price in Table 1 is a weighted average sale price. The sales were at prices ranging from $22.29 to $23.2525.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12-31-09. (Interests in this account are denominated in units. Consequently, share amount shown is an estimate.) This statement does not include changes in beneficial ownership of shares held in such account occurring after 12-31-09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02/01/2010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2019-12-16T23:49:52Z</dcterms:created>
  <dcterms:modified xsi:type="dcterms:W3CDTF">2019-12-16T23:49:52Z</dcterms:modified>
</cp:coreProperties>
</file>