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April 24, 2018, regarding its first-quarter results of operations and financial condition is attached hereto as Exhibit 99.</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00"/>
          </w:cols>
          <w:pgMar w:left="240" w:top="557" w:right="45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20"/>
          </w:cols>
          <w:pgMar w:left="240" w:top="557" w:right="45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Registrant’s News Release</w:t>
        </w:r>
      </w:hyperlink>
    </w:p>
    <w:p>
      <w:pPr>
        <w:spacing w:after="0" w:line="23" w:lineRule="exact"/>
        <w:rPr>
          <w:rFonts w:ascii="Arial" w:cs="Arial" w:eastAsia="Arial" w:hAnsi="Arial"/>
          <w:sz w:val="18"/>
          <w:szCs w:val="18"/>
          <w:u w:val="single" w:color="auto"/>
          <w:color w:val="0000EE"/>
        </w:rPr>
      </w:pPr>
    </w:p>
    <w:p>
      <w:pPr>
        <w:ind w:left="1280"/>
        <w:spacing w:after="0"/>
        <w:rPr>
          <w:rFonts w:ascii="Arial" w:cs="Arial" w:eastAsia="Arial" w:hAnsi="Arial"/>
          <w:sz w:val="18"/>
          <w:szCs w:val="18"/>
          <w:u w:val="single" w:color="auto"/>
          <w:color w:val="0000EE"/>
        </w:rPr>
      </w:pPr>
      <w:r>
        <w:rPr>
          <w:rFonts w:ascii="Arial" w:cs="Arial" w:eastAsia="Arial" w:hAnsi="Arial"/>
          <w:sz w:val="16"/>
          <w:szCs w:val="16"/>
          <w:color w:val="auto"/>
        </w:rPr>
        <w:t>Dated April 24, 2018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April 24, 2018</w:t>
            </w: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By:  /s/ Rafael R. Lizardi</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1Q18 financial results and shareholder returns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www.ti.com/ir</w:t>
      </w:r>
    </w:p>
    <w:p>
      <w:pPr>
        <w:spacing w:after="0" w:line="21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DALLAS (April 24, 2018) – Texas Instruments Incorporated (TI) (NASDAQ: TXN) today reported first-quarter revenue of $3.79 billion, net income of $1.37 billion and earnings per share of $1.35. Earnings per share include 14 cents in tax-related benefits not in the company's original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600" w:right="12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11 percent from the same quarter a year ago. Demand for our Analog and Embedded Processing products continued to be strong in the industrial and automotive markets.</w:t>
      </w:r>
    </w:p>
    <w:p>
      <w:pPr>
        <w:spacing w:after="0" w:line="62" w:lineRule="exact"/>
        <w:rPr>
          <w:rFonts w:ascii="Arial" w:cs="Arial" w:eastAsia="Arial" w:hAnsi="Arial"/>
          <w:sz w:val="18"/>
          <w:szCs w:val="18"/>
          <w:color w:val="auto"/>
        </w:rPr>
      </w:pPr>
    </w:p>
    <w:p>
      <w:pPr>
        <w:ind w:left="600" w:right="40" w:hanging="592"/>
        <w:spacing w:after="0" w:line="28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 from operations of $5.7 billion for the trailing 12 months again underscored the strength of our business model. Free cash flow for the trailing 12 months was up 17 percent from a year ago to $4.9 billion, or 32.1 percent of revenue. This reflects the quality of our product portfolio, as well as the efficiency of our manufacturing strategy, including the benefit of 300-millimeter Analog production.</w:t>
      </w:r>
    </w:p>
    <w:p>
      <w:pPr>
        <w:spacing w:after="0" w:line="57" w:lineRule="exact"/>
        <w:rPr>
          <w:rFonts w:ascii="Arial" w:cs="Arial" w:eastAsia="Arial" w:hAnsi="Arial"/>
          <w:sz w:val="17"/>
          <w:szCs w:val="17"/>
          <w:color w:val="auto"/>
        </w:rPr>
      </w:pPr>
    </w:p>
    <w:p>
      <w:pPr>
        <w:jc w:val="both"/>
        <w:ind w:left="600" w:right="340" w:hanging="592"/>
        <w:spacing w:after="0" w:line="342"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returned $5.1 billion to owners in the past 12 months through stock repurchases and dividends, consistent with our strategy to return to owners all of our free cash flow. Over the last 12 months, our dividends represented 45 percent of free cash flow, emphasizing their sustainability.</w:t>
      </w:r>
    </w:p>
    <w:p>
      <w:pPr>
        <w:spacing w:after="0" w:line="15" w:lineRule="exact"/>
        <w:rPr>
          <w:rFonts w:ascii="Arial" w:cs="Arial" w:eastAsia="Arial" w:hAnsi="Arial"/>
          <w:sz w:val="16"/>
          <w:szCs w:val="16"/>
          <w:color w:val="auto"/>
        </w:rPr>
      </w:pPr>
    </w:p>
    <w:p>
      <w:pPr>
        <w:ind w:left="600" w:right="44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second-quarter outlook is for revenue in the range of $3.78 billion to $4.10 billion, and earnings per share between $1.19 and $1.39, which includes an estimated $10 million discrete tax benefit.</w:t>
      </w:r>
    </w:p>
    <w:p>
      <w:pPr>
        <w:spacing w:after="0" w:line="62" w:lineRule="exact"/>
        <w:rPr>
          <w:rFonts w:ascii="Arial" w:cs="Arial" w:eastAsia="Arial" w:hAnsi="Arial"/>
          <w:sz w:val="18"/>
          <w:szCs w:val="18"/>
          <w:color w:val="auto"/>
        </w:rPr>
      </w:pPr>
    </w:p>
    <w:p>
      <w:pPr>
        <w:ind w:left="600" w:right="580" w:hanging="59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now expect our ongoing annual operating tax rate to be about 16 percent starting in 2019 and 20 percent in 2018, lower than our previous expectations of 18 percent and 23 percent,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60" w:type="dxa"/>
            <w:vAlign w:val="bottom"/>
          </w:tcPr>
          <w:p>
            <w:pPr>
              <w:spacing w:after="0"/>
              <w:rPr>
                <w:sz w:val="22"/>
                <w:szCs w:val="22"/>
                <w:color w:val="auto"/>
              </w:rPr>
            </w:pPr>
          </w:p>
        </w:tc>
        <w:tc>
          <w:tcPr>
            <w:tcW w:w="2940" w:type="dxa"/>
            <w:vAlign w:val="bottom"/>
            <w:tcBorders>
              <w:bottom w:val="single" w:sz="8" w:color="CFF0FC"/>
            </w:tcBorders>
          </w:tcPr>
          <w:p>
            <w:pPr>
              <w:spacing w:after="0"/>
              <w:rPr>
                <w:sz w:val="22"/>
                <w:szCs w:val="22"/>
                <w:color w:val="auto"/>
              </w:rPr>
            </w:pPr>
          </w:p>
        </w:tc>
        <w:tc>
          <w:tcPr>
            <w:tcW w:w="16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1Q18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1Q17</w:t>
            </w:r>
          </w:p>
        </w:tc>
        <w:tc>
          <w:tcPr>
            <w:tcW w:w="180" w:type="dxa"/>
            <w:vAlign w:val="bottom"/>
            <w:tcBorders>
              <w:bottom w:val="single" w:sz="8" w:color="CFF0FC"/>
            </w:tcBorders>
          </w:tcPr>
          <w:p>
            <w:pPr>
              <w:spacing w:after="0"/>
              <w:rPr>
                <w:sz w:val="22"/>
                <w:szCs w:val="22"/>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220" w:type="dxa"/>
            <w:vAlign w:val="bottom"/>
            <w:tcBorders>
              <w:bottom w:val="single" w:sz="8" w:color="CFF0FC"/>
            </w:tcBorders>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1160" w:type="dxa"/>
            <w:vAlign w:val="bottom"/>
          </w:tcPr>
          <w:p>
            <w:pPr>
              <w:spacing w:after="0"/>
              <w:rPr>
                <w:sz w:val="20"/>
                <w:szCs w:val="20"/>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3,789</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tcPr>
          <w:p>
            <w:pPr>
              <w:spacing w:after="0"/>
              <w:rPr>
                <w:sz w:val="20"/>
                <w:szCs w:val="20"/>
                <w:color w:val="auto"/>
              </w:rPr>
            </w:pPr>
          </w:p>
        </w:tc>
      </w:tr>
      <w:tr>
        <w:trPr>
          <w:trHeight w:val="243"/>
        </w:trPr>
        <w:tc>
          <w:tcPr>
            <w:tcW w:w="4100" w:type="dxa"/>
            <w:vAlign w:val="bottom"/>
            <w:gridSpan w:val="2"/>
          </w:tcPr>
          <w:p>
            <w:pPr>
              <w:ind w:left="1140"/>
              <w:spacing w:after="0"/>
              <w:rPr>
                <w:sz w:val="20"/>
                <w:szCs w:val="20"/>
                <w:color w:val="auto"/>
              </w:rPr>
            </w:pPr>
            <w:r>
              <w:rPr>
                <w:rFonts w:ascii="Arial" w:cs="Arial" w:eastAsia="Arial" w:hAnsi="Arial"/>
                <w:sz w:val="18"/>
                <w:szCs w:val="18"/>
                <w:color w:val="auto"/>
              </w:rPr>
              <w:t>Operating profit</w:t>
            </w:r>
          </w:p>
        </w:tc>
        <w:tc>
          <w:tcPr>
            <w:tcW w:w="26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1,548</w:t>
            </w:r>
          </w:p>
        </w:tc>
        <w:tc>
          <w:tcPr>
            <w:tcW w:w="100" w:type="dxa"/>
            <w:vAlign w:val="bottom"/>
          </w:tcPr>
          <w:p>
            <w:pPr>
              <w:spacing w:after="0"/>
              <w:rPr>
                <w:sz w:val="21"/>
                <w:szCs w:val="21"/>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1,366</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160" w:type="dxa"/>
            <w:vAlign w:val="bottom"/>
          </w:tcPr>
          <w:p>
            <w:pPr>
              <w:spacing w:after="0"/>
              <w:rPr>
                <w:sz w:val="21"/>
                <w:szCs w:val="21"/>
                <w:color w:val="auto"/>
              </w:rPr>
            </w:pPr>
          </w:p>
        </w:tc>
      </w:tr>
      <w:tr>
        <w:trPr>
          <w:trHeight w:val="243"/>
        </w:trPr>
        <w:tc>
          <w:tcPr>
            <w:tcW w:w="4100" w:type="dxa"/>
            <w:vAlign w:val="bottom"/>
            <w:gridSpan w:val="2"/>
          </w:tcPr>
          <w:p>
            <w:pPr>
              <w:ind w:left="1140"/>
              <w:spacing w:after="0"/>
              <w:rPr>
                <w:sz w:val="20"/>
                <w:szCs w:val="20"/>
                <w:color w:val="auto"/>
              </w:rPr>
            </w:pPr>
            <w:r>
              <w:rPr>
                <w:rFonts w:ascii="Arial" w:cs="Arial" w:eastAsia="Arial" w:hAnsi="Arial"/>
                <w:sz w:val="18"/>
                <w:szCs w:val="18"/>
                <w:color w:val="auto"/>
              </w:rPr>
              <w:t>Earnings per share</w:t>
            </w:r>
          </w:p>
        </w:tc>
        <w:tc>
          <w:tcPr>
            <w:tcW w:w="26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160" w:type="dxa"/>
            <w:vAlign w:val="bottom"/>
          </w:tcPr>
          <w:p>
            <w:pPr>
              <w:spacing w:after="0"/>
              <w:rPr>
                <w:sz w:val="21"/>
                <w:szCs w:val="21"/>
                <w:color w:val="auto"/>
              </w:rPr>
            </w:pPr>
          </w:p>
        </w:tc>
      </w:tr>
      <w:tr>
        <w:trPr>
          <w:trHeight w:val="561"/>
        </w:trPr>
        <w:tc>
          <w:tcPr>
            <w:tcW w:w="1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w w:val="92"/>
              </w:rPr>
              <w:t>TI reports 1Q18 financial results and shareholder returns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w w:val="86"/>
              </w:rPr>
              <w:t>Page 2</w:t>
            </w:r>
          </w:p>
        </w:tc>
      </w:tr>
      <w:tr>
        <w:trPr>
          <w:trHeight w:val="716"/>
        </w:trPr>
        <w:tc>
          <w:tcPr>
            <w:tcW w:w="4500" w:type="dxa"/>
            <w:vAlign w:val="bottom"/>
            <w:gridSpan w:val="5"/>
          </w:tcPr>
          <w:p>
            <w:pPr>
              <w:spacing w:after="0"/>
              <w:rPr>
                <w:sz w:val="20"/>
                <w:szCs w:val="20"/>
                <w:color w:val="auto"/>
              </w:rPr>
            </w:pPr>
            <w:r>
              <w:rPr>
                <w:rFonts w:ascii="Arial" w:cs="Arial" w:eastAsia="Arial" w:hAnsi="Arial"/>
                <w:sz w:val="18"/>
                <w:szCs w:val="18"/>
                <w:b w:val="1"/>
                <w:bCs w:val="1"/>
                <w:color w:val="auto"/>
              </w:rPr>
              <w:t>Cash generation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94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4500" w:type="dxa"/>
            <w:vAlign w:val="bottom"/>
            <w:gridSpan w:val="5"/>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ind w:left="1160"/>
              <w:spacing w:after="0"/>
              <w:rPr>
                <w:sz w:val="20"/>
                <w:szCs w:val="20"/>
                <w:color w:val="auto"/>
              </w:rPr>
            </w:pPr>
            <w:r>
              <w:rPr>
                <w:rFonts w:ascii="Arial" w:cs="Arial" w:eastAsia="Arial" w:hAnsi="Arial"/>
                <w:sz w:val="18"/>
                <w:szCs w:val="18"/>
                <w:color w:val="auto"/>
              </w:rPr>
              <w:t>Trailing 12 Months</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1Q18</w:t>
            </w:r>
          </w:p>
        </w:tc>
        <w:tc>
          <w:tcPr>
            <w:tcW w:w="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1Q18</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1Q17</w:t>
            </w:r>
          </w:p>
        </w:tc>
        <w:tc>
          <w:tcPr>
            <w:tcW w:w="260" w:type="dxa"/>
            <w:vAlign w:val="bottom"/>
            <w:tcBorders>
              <w:bottom w:val="single" w:sz="8" w:color="CFF0FC"/>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FF0FC"/>
            </w:tcBorders>
            <w:gridSpan w:val="2"/>
          </w:tcPr>
          <w:p>
            <w:pPr>
              <w:spacing w:after="0"/>
              <w:rPr>
                <w:sz w:val="20"/>
                <w:szCs w:val="20"/>
                <w:color w:val="auto"/>
              </w:rPr>
            </w:pPr>
          </w:p>
        </w:tc>
        <w:tc>
          <w:tcPr>
            <w:tcW w:w="700" w:type="dxa"/>
            <w:vAlign w:val="bottom"/>
            <w:gridSpan w:val="2"/>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1,112</w:t>
            </w:r>
          </w:p>
        </w:tc>
        <w:tc>
          <w:tcPr>
            <w:tcW w:w="60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5,680</w:t>
            </w:r>
          </w:p>
        </w:tc>
        <w:tc>
          <w:tcPr>
            <w:tcW w:w="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4,756</w:t>
            </w:r>
          </w:p>
        </w:tc>
        <w:tc>
          <w:tcPr>
            <w:tcW w:w="18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189</w:t>
            </w:r>
          </w:p>
        </w:tc>
        <w:tc>
          <w:tcPr>
            <w:tcW w:w="6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757</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4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923</w:t>
            </w:r>
          </w:p>
        </w:tc>
        <w:tc>
          <w:tcPr>
            <w:tcW w:w="60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4,923</w:t>
            </w:r>
          </w:p>
        </w:tc>
        <w:tc>
          <w:tcPr>
            <w:tcW w:w="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FF0FC"/>
          </w:tcPr>
          <w:p>
            <w:pPr>
              <w:spacing w:after="0"/>
              <w:rPr>
                <w:sz w:val="21"/>
                <w:szCs w:val="21"/>
                <w:color w:val="auto"/>
              </w:rPr>
            </w:pPr>
          </w:p>
        </w:tc>
        <w:tc>
          <w:tcPr>
            <w:tcW w:w="1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20" w:type="dxa"/>
            <w:vAlign w:val="bottom"/>
            <w:gridSpan w:val="3"/>
          </w:tcPr>
          <w:p>
            <w:pPr>
              <w:ind w:left="1260"/>
              <w:spacing w:after="0"/>
              <w:rPr>
                <w:sz w:val="20"/>
                <w:szCs w:val="20"/>
                <w:color w:val="auto"/>
              </w:rPr>
            </w:pPr>
            <w:r>
              <w:rPr>
                <w:rFonts w:ascii="Arial" w:cs="Arial" w:eastAsia="Arial" w:hAnsi="Arial"/>
                <w:sz w:val="18"/>
                <w:szCs w:val="18"/>
                <w:color w:val="auto"/>
                <w:w w:val="96"/>
              </w:rPr>
              <w:t>32.1 %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30.7 %</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500"/>
        </w:trPr>
        <w:tc>
          <w:tcPr>
            <w:tcW w:w="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Cash return</w:t>
            </w:r>
          </w:p>
        </w:tc>
        <w:tc>
          <w:tcPr>
            <w:tcW w:w="35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5"/>
        </w:trPr>
        <w:tc>
          <w:tcPr>
            <w:tcW w:w="4500" w:type="dxa"/>
            <w:vAlign w:val="bottom"/>
            <w:gridSpan w:val="5"/>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ind w:left="1200"/>
              <w:spacing w:after="0"/>
              <w:rPr>
                <w:sz w:val="20"/>
                <w:szCs w:val="20"/>
                <w:color w:val="auto"/>
              </w:rPr>
            </w:pPr>
            <w:r>
              <w:rPr>
                <w:rFonts w:ascii="Arial" w:cs="Arial" w:eastAsia="Arial" w:hAnsi="Arial"/>
                <w:sz w:val="18"/>
                <w:szCs w:val="18"/>
                <w:color w:val="auto"/>
              </w:rPr>
              <w:t>Trailing 12 Months</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1Q18</w:t>
            </w:r>
          </w:p>
        </w:tc>
        <w:tc>
          <w:tcPr>
            <w:tcW w:w="100" w:type="dxa"/>
            <w:vAlign w:val="bottom"/>
            <w:tcBorders>
              <w:bottom w:val="single" w:sz="8" w:color="CFF0FC"/>
            </w:tcBorders>
            <w:gridSpan w:val="2"/>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1Q18</w:t>
            </w:r>
          </w:p>
        </w:tc>
        <w:tc>
          <w:tcPr>
            <w:tcW w:w="200" w:type="dxa"/>
            <w:vAlign w:val="bottom"/>
            <w:tcBorders>
              <w:bottom w:val="single" w:sz="8" w:color="CFF0FC"/>
            </w:tcBorders>
            <w:gridSpan w:val="2"/>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1Q17</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FF0FC"/>
            </w:tcBorders>
            <w:gridSpan w:val="2"/>
          </w:tcPr>
          <w:p>
            <w:pPr>
              <w:spacing w:after="0"/>
              <w:rPr>
                <w:sz w:val="20"/>
                <w:szCs w:val="20"/>
                <w:color w:val="auto"/>
              </w:rPr>
            </w:pPr>
          </w:p>
        </w:tc>
        <w:tc>
          <w:tcPr>
            <w:tcW w:w="58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4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84"/>
              </w:rPr>
              <w:t>2,215</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CFF0FC"/>
          </w:tcPr>
          <w:p>
            <w:pPr>
              <w:spacing w:after="0"/>
              <w:rPr>
                <w:sz w:val="20"/>
                <w:szCs w:val="20"/>
                <w:color w:val="auto"/>
              </w:rPr>
            </w:pPr>
          </w:p>
        </w:tc>
        <w:tc>
          <w:tcPr>
            <w:tcW w:w="120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26 %</w:t>
            </w:r>
          </w:p>
        </w:tc>
        <w:tc>
          <w:tcPr>
            <w:tcW w:w="580" w:type="dxa"/>
            <w:vAlign w:val="bottom"/>
          </w:tcPr>
          <w:p>
            <w:pPr>
              <w:spacing w:after="0"/>
              <w:rPr>
                <w:sz w:val="20"/>
                <w:szCs w:val="20"/>
                <w:color w:val="auto"/>
              </w:rPr>
            </w:pPr>
          </w:p>
        </w:tc>
      </w:tr>
      <w:tr>
        <w:trPr>
          <w:trHeight w:val="243"/>
        </w:trPr>
        <w:tc>
          <w:tcPr>
            <w:tcW w:w="4500" w:type="dxa"/>
            <w:vAlign w:val="bottom"/>
            <w:gridSpan w:val="5"/>
          </w:tcPr>
          <w:p>
            <w:pPr>
              <w:ind w:left="580"/>
              <w:spacing w:after="0"/>
              <w:rPr>
                <w:sz w:val="20"/>
                <w:szCs w:val="20"/>
                <w:color w:val="auto"/>
              </w:rPr>
            </w:pPr>
            <w:r>
              <w:rPr>
                <w:rFonts w:ascii="Arial" w:cs="Arial" w:eastAsia="Arial" w:hAnsi="Arial"/>
                <w:sz w:val="18"/>
                <w:szCs w:val="18"/>
                <w:color w:val="auto"/>
              </w:rPr>
              <w:t>Stock repurchases</w:t>
            </w:r>
          </w:p>
        </w:tc>
        <w:tc>
          <w:tcPr>
            <w:tcW w:w="4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20" w:type="dxa"/>
            <w:vAlign w:val="bottom"/>
          </w:tcPr>
          <w:p>
            <w:pPr>
              <w:ind w:left="1220"/>
              <w:spacing w:after="0"/>
              <w:rPr>
                <w:sz w:val="20"/>
                <w:szCs w:val="20"/>
                <w:color w:val="auto"/>
              </w:rPr>
            </w:pPr>
            <w:r>
              <w:rPr>
                <w:rFonts w:ascii="Arial" w:cs="Arial" w:eastAsia="Arial" w:hAnsi="Arial"/>
                <w:sz w:val="18"/>
                <w:szCs w:val="18"/>
                <w:color w:val="auto"/>
                <w:w w:val="84"/>
              </w:rPr>
              <w:t>2,879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gridSpan w:val="3"/>
          </w:tcPr>
          <w:p>
            <w:pPr>
              <w:jc w:val="right"/>
              <w:ind w:righ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21"/>
                <w:szCs w:val="21"/>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40 %</w:t>
            </w: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4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ind w:left="1220"/>
              <w:spacing w:after="0"/>
              <w:rPr>
                <w:sz w:val="20"/>
                <w:szCs w:val="20"/>
                <w:color w:val="auto"/>
              </w:rPr>
            </w:pPr>
            <w:r>
              <w:rPr>
                <w:rFonts w:ascii="Arial" w:cs="Arial" w:eastAsia="Arial" w:hAnsi="Arial"/>
                <w:sz w:val="18"/>
                <w:szCs w:val="18"/>
                <w:color w:val="auto"/>
                <w:w w:val="84"/>
              </w:rPr>
              <w:t>5,094</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3,815</w:t>
            </w:r>
          </w:p>
        </w:tc>
        <w:tc>
          <w:tcPr>
            <w:tcW w:w="180" w:type="dxa"/>
            <w:vAlign w:val="bottom"/>
            <w:shd w:val="clear" w:color="auto" w:fill="CFF0FC"/>
          </w:tcPr>
          <w:p>
            <w:pPr>
              <w:spacing w:after="0"/>
              <w:rPr>
                <w:sz w:val="21"/>
                <w:szCs w:val="21"/>
                <w:color w:val="auto"/>
              </w:rPr>
            </w:pPr>
          </w:p>
        </w:tc>
        <w:tc>
          <w:tcPr>
            <w:tcW w:w="120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34 %</w:t>
            </w:r>
          </w:p>
        </w:tc>
        <w:tc>
          <w:tcPr>
            <w:tcW w:w="580" w:type="dxa"/>
            <w:vAlign w:val="bottom"/>
          </w:tcPr>
          <w:p>
            <w:pPr>
              <w:spacing w:after="0"/>
              <w:rPr>
                <w:sz w:val="21"/>
                <w:szCs w:val="21"/>
                <w:color w:val="auto"/>
              </w:rPr>
            </w:pPr>
          </w:p>
        </w:tc>
      </w:tr>
      <w:tr>
        <w:trPr>
          <w:trHeight w:val="1236"/>
        </w:trPr>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TI reports 1Q18 financial results and shareholder returns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76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jc w:val="center"/>
              <w:ind w:left="3750"/>
              <w:spacing w:after="0"/>
              <w:rPr>
                <w:sz w:val="20"/>
                <w:szCs w:val="20"/>
                <w:color w:val="auto"/>
              </w:rPr>
            </w:pPr>
            <w:r>
              <w:rPr>
                <w:rFonts w:ascii="Arial" w:cs="Arial" w:eastAsia="Arial" w:hAnsi="Arial"/>
                <w:sz w:val="18"/>
                <w:szCs w:val="18"/>
                <w:b w:val="1"/>
                <w:bCs w:val="1"/>
                <w:color w:val="auto"/>
                <w:w w:val="88"/>
              </w:rPr>
              <w:t>Consolidated Statements of Income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60" w:type="dxa"/>
            <w:vAlign w:val="bottom"/>
            <w:gridSpan w:val="3"/>
          </w:tcPr>
          <w:p>
            <w:pPr>
              <w:jc w:val="center"/>
              <w:ind w:left="25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4"/>
          </w:tcPr>
          <w:p>
            <w:pPr>
              <w:jc w:val="right"/>
              <w:ind w:right="223"/>
              <w:spacing w:after="0"/>
              <w:rPr>
                <w:sz w:val="20"/>
                <w:szCs w:val="20"/>
                <w:color w:val="auto"/>
              </w:rPr>
            </w:pPr>
            <w:r>
              <w:rPr>
                <w:rFonts w:ascii="Arial" w:cs="Arial" w:eastAsia="Arial" w:hAnsi="Arial"/>
                <w:sz w:val="18"/>
                <w:szCs w:val="18"/>
                <w:b w:val="1"/>
                <w:bCs w:val="1"/>
                <w:color w:val="auto"/>
              </w:rPr>
              <w:t>For Three Months Ended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3,789</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1,342</w:t>
            </w: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2,447</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433</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Acquisition charges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1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1,548</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1,553</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4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1,366</w:t>
            </w:r>
          </w:p>
        </w:tc>
        <w:tc>
          <w:tcPr>
            <w:tcW w:w="4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2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40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6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w:t>
            </w:r>
          </w:p>
        </w:tc>
        <w:tc>
          <w:tcPr>
            <w:tcW w:w="40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1,005</w:t>
            </w:r>
          </w:p>
        </w:tc>
        <w:tc>
          <w:tcPr>
            <w:tcW w:w="4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2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40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jc w:val="center"/>
              <w:ind w:left="3710"/>
              <w:spacing w:after="0"/>
              <w:rPr>
                <w:sz w:val="20"/>
                <w:szCs w:val="20"/>
                <w:color w:val="auto"/>
              </w:rPr>
            </w:pPr>
            <w:r>
              <w:rPr>
                <w:rFonts w:ascii="Arial" w:cs="Arial" w:eastAsia="Arial" w:hAnsi="Arial"/>
                <w:sz w:val="18"/>
                <w:szCs w:val="18"/>
                <w:b w:val="1"/>
                <w:bCs w:val="1"/>
                <w:color w:val="auto"/>
                <w:w w:val="91"/>
              </w:rPr>
              <w:t>Supplemental Information</w:t>
            </w: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jc w:val="center"/>
              <w:ind w:left="3730"/>
              <w:spacing w:after="0"/>
              <w:rPr>
                <w:sz w:val="20"/>
                <w:szCs w:val="20"/>
                <w:color w:val="auto"/>
              </w:rPr>
            </w:pPr>
            <w:r>
              <w:rPr>
                <w:rFonts w:ascii="Arial" w:cs="Arial" w:eastAsia="Arial" w:hAnsi="Arial"/>
                <w:sz w:val="18"/>
                <w:szCs w:val="18"/>
                <w:b w:val="1"/>
                <w:bCs w:val="1"/>
                <w:color w:val="auto"/>
                <w:w w:val="89"/>
              </w:rPr>
              <w:t>(Quarterly, except as noted)</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12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400" w:type="dxa"/>
            <w:vAlign w:val="bottom"/>
          </w:tcPr>
          <w:p>
            <w:pPr>
              <w:spacing w:after="0"/>
              <w:rPr>
                <w:sz w:val="19"/>
                <w:szCs w:val="19"/>
                <w:color w:val="auto"/>
              </w:rPr>
            </w:pPr>
          </w:p>
        </w:tc>
        <w:tc>
          <w:tcPr>
            <w:tcW w:w="1060" w:type="dxa"/>
            <w:vAlign w:val="bottom"/>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(129)</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Provision for income taxes (effective taxes)</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4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Annual operating tax rate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20%</w:t>
            </w: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w:t>
            </w:r>
          </w:p>
        </w:tc>
        <w:tc>
          <w:tcPr>
            <w:tcW w:w="10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1,366</w:t>
            </w:r>
          </w:p>
        </w:tc>
        <w:tc>
          <w:tcPr>
            <w:tcW w:w="400" w:type="dxa"/>
            <w:vAlign w:val="bottom"/>
          </w:tcPr>
          <w:p>
            <w:pPr>
              <w:spacing w:after="0"/>
              <w:rPr>
                <w:sz w:val="20"/>
                <w:szCs w:val="20"/>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b w:val="1"/>
                <w:bCs w:val="1"/>
                <w:color w:val="auto"/>
              </w:rPr>
              <w:t>(11)</w:t>
            </w:r>
          </w:p>
        </w:tc>
        <w:tc>
          <w:tcPr>
            <w:tcW w:w="6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0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7"/>
        </w:trPr>
        <w:tc>
          <w:tcPr>
            <w:tcW w:w="57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TI reports 1Q18 financial results and shareholder returns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ind w:left="800"/>
              <w:spacing w:after="0"/>
              <w:rPr>
                <w:sz w:val="20"/>
                <w:szCs w:val="20"/>
                <w:color w:val="auto"/>
              </w:rPr>
            </w:pPr>
            <w:r>
              <w:rPr>
                <w:rFonts w:ascii="Arial" w:cs="Arial" w:eastAsia="Arial" w:hAnsi="Arial"/>
                <w:sz w:val="18"/>
                <w:szCs w:val="18"/>
                <w:b w:val="1"/>
                <w:bCs w:val="1"/>
                <w:color w:val="auto"/>
                <w:w w:val="86"/>
              </w:rPr>
              <w:t>Page 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gridSpan w:val="3"/>
          </w:tcPr>
          <w:p>
            <w:pPr>
              <w:jc w:val="center"/>
              <w:ind w:left="2478"/>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Pr>
          <w:p>
            <w:pPr>
              <w:jc w:val="center"/>
              <w:ind w:left="3758"/>
              <w:spacing w:after="0"/>
              <w:rPr>
                <w:sz w:val="20"/>
                <w:szCs w:val="20"/>
                <w:color w:val="auto"/>
              </w:rPr>
            </w:pPr>
            <w:r>
              <w:rPr>
                <w:rFonts w:ascii="Arial" w:cs="Arial" w:eastAsia="Arial" w:hAnsi="Arial"/>
                <w:sz w:val="18"/>
                <w:szCs w:val="18"/>
                <w:color w:val="auto"/>
                <w:w w:val="88"/>
              </w:rPr>
              <w:t>Consolidated Balance Sheets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jc w:val="center"/>
              <w:ind w:left="3758"/>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March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2018</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ind w:right="90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1,717</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allowances of ($8) and ($11)</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6"/>
                <w:szCs w:val="16"/>
                <w:color w:val="auto"/>
              </w:rPr>
              <w:t>Raw materials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Work in process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Finished goods</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8,590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60" w:type="dxa"/>
            <w:vAlign w:val="bottom"/>
            <w:gridSpan w:val="2"/>
          </w:tcPr>
          <w:p>
            <w:pPr>
              <w:spacing w:after="0"/>
              <w:rPr>
                <w:sz w:val="20"/>
                <w:szCs w:val="20"/>
                <w:color w:val="auto"/>
              </w:rPr>
            </w:pPr>
            <w:r>
              <w:rPr>
                <w:rFonts w:ascii="Arial" w:cs="Arial" w:eastAsia="Arial" w:hAnsi="Arial"/>
                <w:sz w:val="16"/>
                <w:szCs w:val="16"/>
                <w:color w:val="auto"/>
              </w:rPr>
              <w:t>Property, plant and equipment at cost</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4,907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depreciation</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(2,171)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intangibles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Capitalized software licenses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Overfunded retirement plans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17"/>
                <w:szCs w:val="17"/>
                <w:color w:val="auto"/>
              </w:rPr>
            </w:pPr>
          </w:p>
        </w:tc>
        <w:tc>
          <w:tcPr>
            <w:tcW w:w="1060" w:type="dxa"/>
            <w:vAlign w:val="bottom"/>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17,507</w:t>
            </w:r>
          </w:p>
        </w:tc>
        <w:tc>
          <w:tcPr>
            <w:tcW w:w="180" w:type="dxa"/>
            <w:vAlign w:val="bottom"/>
          </w:tcPr>
          <w:p>
            <w:pPr>
              <w:spacing w:after="0"/>
              <w:rPr>
                <w:sz w:val="17"/>
                <w:szCs w:val="17"/>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15,978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long-term debt</w:t>
            </w:r>
          </w:p>
        </w:tc>
        <w:tc>
          <w:tcPr>
            <w:tcW w:w="1280" w:type="dxa"/>
            <w:vAlign w:val="bottom"/>
            <w:gridSpan w:val="2"/>
            <w:shd w:val="clear" w:color="auto" w:fill="CFF0FC"/>
          </w:tcPr>
          <w:p>
            <w:pPr>
              <w:jc w:val="right"/>
              <w:ind w:right="902"/>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500</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1,860</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Underfunded retirement plans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60" w:type="dxa"/>
            <w:vAlign w:val="bottom"/>
            <w:gridSpan w:val="2"/>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6,865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5,339</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6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$25 par value. Authorized – 10,000,000 shares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6"/>
                <w:szCs w:val="16"/>
                <w:color w:val="auto"/>
              </w:rPr>
              <w:t>Participating cumulative preferred – None issued</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$1 par value. Authorized – 2,400,000,000 shares</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6"/>
                <w:szCs w:val="16"/>
                <w:color w:val="auto"/>
              </w:rPr>
              <w:t>Shares issued – 1,740,815,939</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Paid-in capital</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35,619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common stock at cost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6"/>
                <w:szCs w:val="16"/>
                <w:color w:val="auto"/>
              </w:rPr>
              <w:t>Shares: March 31, 2018 – 759,098,020; March 31, 2017 – 743,085,976</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(28,096)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(25,767)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 net of taxes (AOCI)</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(392)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10,642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10,639</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17,507</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15,978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3"/>
        </w:trPr>
        <w:tc>
          <w:tcPr>
            <w:tcW w:w="20" w:type="dxa"/>
            <w:vAlign w:val="bottom"/>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TI reports 1Q18 financial results and shareholder returns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gridSpan w:val="3"/>
          </w:tcPr>
          <w:p>
            <w:pPr>
              <w:ind w:left="160"/>
              <w:spacing w:after="0"/>
              <w:rPr>
                <w:sz w:val="20"/>
                <w:szCs w:val="20"/>
                <w:color w:val="auto"/>
              </w:rPr>
            </w:pPr>
            <w:r>
              <w:rPr>
                <w:rFonts w:ascii="Arial" w:cs="Arial" w:eastAsia="Arial" w:hAnsi="Arial"/>
                <w:sz w:val="18"/>
                <w:szCs w:val="18"/>
                <w:b w:val="1"/>
                <w:bCs w:val="1"/>
                <w:color w:val="auto"/>
                <w:w w:val="86"/>
              </w:rPr>
              <w:t>Page 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6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jc w:val="center"/>
              <w:ind w:left="36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jc w:val="center"/>
              <w:ind w:left="3670"/>
              <w:spacing w:after="0"/>
              <w:rPr>
                <w:sz w:val="20"/>
                <w:szCs w:val="20"/>
                <w:color w:val="auto"/>
              </w:rPr>
            </w:pPr>
            <w:r>
              <w:rPr>
                <w:rFonts w:ascii="Arial" w:cs="Arial" w:eastAsia="Arial" w:hAnsi="Arial"/>
                <w:sz w:val="18"/>
                <w:szCs w:val="18"/>
                <w:b w:val="1"/>
                <w:bCs w:val="1"/>
                <w:color w:val="auto"/>
                <w:w w:val="92"/>
              </w:rPr>
              <w:t>(Millions of dollars)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125"/>
              <w:spacing w:after="0"/>
              <w:rPr>
                <w:sz w:val="20"/>
                <w:szCs w:val="20"/>
                <w:color w:val="auto"/>
              </w:rPr>
            </w:pPr>
            <w:r>
              <w:rPr>
                <w:rFonts w:ascii="Arial" w:cs="Arial" w:eastAsia="Arial" w:hAnsi="Arial"/>
                <w:sz w:val="18"/>
                <w:szCs w:val="18"/>
                <w:b w:val="1"/>
                <w:bCs w:val="1"/>
                <w:color w:val="auto"/>
              </w:rPr>
              <w:t>For 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25"/>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1,366</w:t>
            </w:r>
          </w:p>
        </w:tc>
        <w:tc>
          <w:tcPr>
            <w:tcW w:w="180" w:type="dxa"/>
            <w:vAlign w:val="bottom"/>
          </w:tcPr>
          <w:p>
            <w:pPr>
              <w:spacing w:after="0"/>
              <w:rPr>
                <w:sz w:val="19"/>
                <w:szCs w:val="19"/>
                <w:color w:val="auto"/>
              </w:rPr>
            </w:pPr>
          </w:p>
        </w:tc>
        <w:tc>
          <w:tcPr>
            <w:tcW w:w="116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Net income: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Amortization of capitalized software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Changes in funded status of retirement plans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asset sales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investments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 of debt</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(873)</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Proceeds from common stock transactions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(1,317)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4"/>
        </w:trPr>
        <w:tc>
          <w:tcPr>
            <w:tcW w:w="20" w:type="dxa"/>
            <w:vAlign w:val="bottom"/>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TI reports 1Q18 financial results and shareholder returns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b w:val="1"/>
                <w:bCs w:val="1"/>
                <w:color w:val="auto"/>
                <w:w w:val="82"/>
              </w:rPr>
              <w:t>Page 6</w:t>
            </w:r>
          </w:p>
        </w:tc>
      </w:tr>
      <w:tr>
        <w:trPr>
          <w:trHeight w:val="392"/>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5"/>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1Q18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1Q17</w:t>
            </w:r>
          </w:p>
        </w:tc>
        <w:tc>
          <w:tcPr>
            <w:tcW w:w="2420" w:type="dxa"/>
            <w:vAlign w:val="bottom"/>
            <w:gridSpan w:val="3"/>
          </w:tcPr>
          <w:p>
            <w:pPr>
              <w:ind w:left="240"/>
              <w:spacing w:after="0"/>
              <w:rPr>
                <w:sz w:val="20"/>
                <w:szCs w:val="20"/>
                <w:color w:val="auto"/>
              </w:rPr>
            </w:pPr>
            <w:r>
              <w:rPr>
                <w:rFonts w:ascii="Arial" w:cs="Arial" w:eastAsia="Arial" w:hAnsi="Arial"/>
                <w:sz w:val="18"/>
                <w:szCs w:val="18"/>
                <w:color w:val="auto"/>
              </w:rPr>
              <w:t>Change</w:t>
            </w:r>
          </w:p>
        </w:tc>
      </w:tr>
      <w:tr>
        <w:trPr>
          <w:trHeight w:val="223"/>
        </w:trPr>
        <w:tc>
          <w:tcPr>
            <w:tcW w:w="1220" w:type="dxa"/>
            <w:vAlign w:val="bottom"/>
            <w:tcBorders>
              <w:right w:val="single" w:sz="8" w:color="CFF0FC"/>
            </w:tcBorders>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9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2,256</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Embedded Processing:</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9"/>
                <w:szCs w:val="19"/>
                <w:color w:val="auto"/>
              </w:rPr>
            </w:pPr>
          </w:p>
        </w:tc>
      </w:tr>
      <w:tr>
        <w:trPr>
          <w:trHeight w:val="230"/>
        </w:trPr>
        <w:tc>
          <w:tcPr>
            <w:tcW w:w="1220" w:type="dxa"/>
            <w:vAlign w:val="bottom"/>
            <w:tcBorders>
              <w:right w:val="single" w:sz="8" w:color="CFF0FC"/>
            </w:tcBorders>
          </w:tcPr>
          <w:p>
            <w:pPr>
              <w:spacing w:after="0"/>
              <w:rPr>
                <w:sz w:val="19"/>
                <w:szCs w:val="19"/>
                <w:color w:val="auto"/>
              </w:rPr>
            </w:pPr>
          </w:p>
        </w:tc>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profit*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21" w:lineRule="exact"/>
        <w:rPr>
          <w:sz w:val="20"/>
          <w:szCs w:val="20"/>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due to Power and Signal Chain. High Volume was about even.</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121"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both product lines, led by Processors.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calculators and custom ASIC products)</w:t>
      </w:r>
    </w:p>
    <w:p>
      <w:pPr>
        <w:spacing w:after="0" w:line="121" w:lineRule="exact"/>
        <w:rPr>
          <w:sz w:val="20"/>
          <w:szCs w:val="20"/>
          <w:color w:val="auto"/>
        </w:rPr>
      </w:pPr>
    </w:p>
    <w:p>
      <w:pPr>
        <w:ind w:left="600" w:hanging="59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$46 million, and operating profit declined by $23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TI reports 1Q18 financial results and shareholder returns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7</w:t>
            </w:r>
          </w:p>
        </w:tc>
        <w:tc>
          <w:tcPr>
            <w:tcW w:w="0" w:type="dxa"/>
            <w:vAlign w:val="bottom"/>
          </w:tcPr>
          <w:p>
            <w:pPr>
              <w:spacing w:after="0"/>
              <w:rPr>
                <w:sz w:val="1"/>
                <w:szCs w:val="1"/>
                <w:color w:val="auto"/>
              </w:rPr>
            </w:pPr>
          </w:p>
        </w:tc>
      </w:tr>
      <w:tr>
        <w:trPr>
          <w:trHeight w:val="540"/>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For 12 Months Ended</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5,680</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(757)</w:t>
            </w:r>
          </w:p>
        </w:tc>
        <w:tc>
          <w:tcPr>
            <w:tcW w:w="3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(534)</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4,923</w:t>
            </w:r>
          </w:p>
        </w:tc>
        <w:tc>
          <w:tcPr>
            <w:tcW w:w="360" w:type="dxa"/>
            <w:vAlign w:val="bottom"/>
            <w:tcBorders>
              <w:top w:val="single" w:sz="8" w:color="CFF0FC"/>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340" w:type="dxa"/>
            <w:vAlign w:val="bottom"/>
            <w:tcBorders>
              <w:top w:val="single" w:sz="8" w:color="CFF0FC"/>
              <w:bottom w:val="single" w:sz="8" w:color="CFF0FC"/>
            </w:tcBorders>
            <w:shd w:val="clear" w:color="auto" w:fill="CFF0FC"/>
          </w:tcPr>
          <w:p>
            <w:pPr>
              <w:spacing w:after="0"/>
              <w:rPr>
                <w:sz w:val="22"/>
                <w:szCs w:val="22"/>
                <w:color w:val="auto"/>
              </w:rPr>
            </w:pPr>
          </w:p>
        </w:tc>
        <w:tc>
          <w:tcPr>
            <w:tcW w:w="15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15,348</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37.0%</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w:t>
            </w: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32.1%</w:t>
            </w: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t>TI reports 1Q18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62"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40" w:lineRule="exact"/>
        <w:rPr>
          <w:rFonts w:ascii="Arial" w:cs="Arial" w:eastAsia="Arial" w:hAnsi="Arial"/>
          <w:sz w:val="16"/>
          <w:szCs w:val="16"/>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00" w:hanging="592"/>
        <w:spacing w:after="0" w:line="34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5" w:lineRule="exact"/>
        <w:rPr>
          <w:rFonts w:ascii="Arial" w:cs="Arial" w:eastAsia="Arial" w:hAnsi="Arial"/>
          <w:sz w:val="16"/>
          <w:szCs w:val="16"/>
          <w:color w:val="auto"/>
        </w:rPr>
      </w:pPr>
    </w:p>
    <w:p>
      <w:pPr>
        <w:ind w:left="600" w:hanging="59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10900" w:val="left"/>
        </w:tabs>
        <w:rPr>
          <w:sz w:val="20"/>
          <w:szCs w:val="20"/>
          <w:color w:val="auto"/>
        </w:rPr>
      </w:pPr>
      <w:r>
        <w:rPr>
          <w:rFonts w:ascii="Arial" w:cs="Arial" w:eastAsia="Arial" w:hAnsi="Arial"/>
          <w:sz w:val="18"/>
          <w:szCs w:val="18"/>
          <w:b w:val="1"/>
          <w:bCs w:val="1"/>
          <w:color w:val="auto"/>
        </w:rPr>
        <w:t>TI reports 1Q18 financial results and shareholder returns</w:t>
      </w:r>
      <w:r>
        <w:rPr>
          <w:sz w:val="20"/>
          <w:szCs w:val="20"/>
          <w:color w:val="auto"/>
        </w:rPr>
        <w:tab/>
      </w:r>
      <w:r>
        <w:rPr>
          <w:rFonts w:ascii="Arial" w:cs="Arial" w:eastAsia="Arial" w:hAnsi="Arial"/>
          <w:sz w:val="15"/>
          <w:szCs w:val="15"/>
          <w:b w:val="1"/>
          <w:bCs w:val="1"/>
          <w:color w:val="auto"/>
        </w:rPr>
        <w:t>Page 9</w:t>
      </w:r>
    </w:p>
    <w:p>
      <w:pPr>
        <w:spacing w:after="0" w:line="337" w:lineRule="exact"/>
        <w:rPr>
          <w:sz w:val="20"/>
          <w:szCs w:val="20"/>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62"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1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0000FF"/>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2019-12-28T22:57:31Z</dcterms:created>
  <dcterms:modified xsi:type="dcterms:W3CDTF">2019-12-28T22:57:31Z</dcterms:modified>
</cp:coreProperties>
</file>