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62230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6" w:lineRule="exact"/>
        <w:rPr>
          <w:sz w:val="24"/>
          <w:szCs w:val="24"/>
          <w:color w:val="auto"/>
        </w:rPr>
      </w:pPr>
    </w:p>
    <w:p>
      <w:pPr>
        <w:ind w:left="740" w:right="360" w:hanging="714"/>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40" w:lineRule="exact"/>
        <w:rPr>
          <w:sz w:val="24"/>
          <w:szCs w:val="24"/>
          <w:color w:val="auto"/>
        </w:rPr>
      </w:pPr>
    </w:p>
    <w:p>
      <w:pPr>
        <w:ind w:left="760" w:right="340" w:hanging="721"/>
        <w:spacing w:after="0" w:line="235"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34290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5" w:lineRule="exact"/>
        <w:rPr>
          <w:sz w:val="24"/>
          <w:szCs w:val="24"/>
          <w:color w:val="auto"/>
        </w:rPr>
      </w:pPr>
    </w:p>
    <w:tbl>
      <w:tblPr>
        <w:tblLayout w:type="fixed"/>
        <w:tblInd w:w="1520" w:type="dxa"/>
        <w:tblCellMar>
          <w:top w:w="0" w:type="dxa"/>
          <w:left w:w="0" w:type="dxa"/>
          <w:bottom w:w="0" w:type="dxa"/>
          <w:right w:w="0" w:type="dxa"/>
        </w:tblCellMar>
      </w:tblPr>
      <w:tr>
        <w:trPr>
          <w:trHeight w:val="225"/>
        </w:trPr>
        <w:tc>
          <w:tcPr>
            <w:tcW w:w="4200" w:type="dxa"/>
            <w:vAlign w:val="bottom"/>
          </w:tcPr>
          <w:p>
            <w:pPr>
              <w:jc w:val="center"/>
              <w:ind w:right="1479"/>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right"/>
              <w:ind w:right="59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00" w:type="dxa"/>
            <w:vAlign w:val="bottom"/>
          </w:tcPr>
          <w:p>
            <w:pPr>
              <w:jc w:val="center"/>
              <w:ind w:right="1499"/>
              <w:spacing w:after="0"/>
              <w:rPr>
                <w:sz w:val="20"/>
                <w:szCs w:val="20"/>
                <w:color w:val="auto"/>
              </w:rPr>
            </w:pPr>
            <w:r>
              <w:rPr>
                <w:rFonts w:ascii="Arial" w:cs="Arial" w:eastAsia="Arial" w:hAnsi="Arial"/>
                <w:sz w:val="14"/>
                <w:szCs w:val="14"/>
                <w:b w:val="1"/>
                <w:bCs w:val="1"/>
                <w:color w:val="auto"/>
                <w:w w:val="94"/>
              </w:rPr>
              <w:t>(State of Incorporation)</w:t>
            </w:r>
          </w:p>
        </w:tc>
        <w:tc>
          <w:tcPr>
            <w:tcW w:w="3780" w:type="dxa"/>
            <w:vAlign w:val="bottom"/>
          </w:tcPr>
          <w:p>
            <w:pPr>
              <w:jc w:val="center"/>
              <w:ind w:left="149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40"/>
        </w:trPr>
        <w:tc>
          <w:tcPr>
            <w:tcW w:w="4200" w:type="dxa"/>
            <w:vAlign w:val="bottom"/>
          </w:tcPr>
          <w:p>
            <w:pPr>
              <w:jc w:val="center"/>
              <w:ind w:right="1499"/>
              <w:spacing w:after="0"/>
              <w:rPr>
                <w:sz w:val="20"/>
                <w:szCs w:val="20"/>
                <w:color w:val="auto"/>
              </w:rPr>
            </w:pPr>
            <w:r>
              <w:rPr>
                <w:rFonts w:ascii="Arial" w:cs="Arial" w:eastAsia="Arial" w:hAnsi="Arial"/>
                <w:sz w:val="18"/>
                <w:szCs w:val="18"/>
                <w:b w:val="1"/>
                <w:bCs w:val="1"/>
                <w:color w:val="auto"/>
                <w:w w:val="90"/>
              </w:rPr>
              <w:t>12500 TI Boulevard, Dallas, Texas</w:t>
            </w:r>
          </w:p>
        </w:tc>
        <w:tc>
          <w:tcPr>
            <w:tcW w:w="378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00" w:type="dxa"/>
            <w:vAlign w:val="bottom"/>
          </w:tcPr>
          <w:p>
            <w:pPr>
              <w:jc w:val="center"/>
              <w:ind w:right="1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8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(Zip Code)</w:t>
            </w: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92075</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88" w:lineRule="exact"/>
        <w:rPr>
          <w:sz w:val="24"/>
          <w:szCs w:val="24"/>
          <w:color w:val="auto"/>
        </w:rPr>
      </w:pPr>
    </w:p>
    <w:p>
      <w:pPr>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2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700" w:type="dxa"/>
            <w:vAlign w:val="bottom"/>
          </w:tcPr>
          <w:p>
            <w:pPr>
              <w:ind w:left="20"/>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complying with</w:t>
            </w:r>
          </w:p>
        </w:tc>
        <w:tc>
          <w:tcPr>
            <w:tcW w:w="54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7"/>
        </w:trPr>
        <w:tc>
          <w:tcPr>
            <w:tcW w:w="10700" w:type="dxa"/>
            <w:vAlign w:val="bottom"/>
            <w:vMerge w:val="restart"/>
          </w:tcPr>
          <w:p>
            <w:pPr>
              <w:ind w:left="20"/>
              <w:spacing w:after="0"/>
              <w:rPr>
                <w:sz w:val="20"/>
                <w:szCs w:val="20"/>
                <w:color w:val="auto"/>
              </w:rPr>
            </w:pPr>
            <w:r>
              <w:rPr>
                <w:rFonts w:ascii="Arial" w:cs="Arial" w:eastAsia="Arial" w:hAnsi="Arial"/>
                <w:sz w:val="18"/>
                <w:szCs w:val="18"/>
                <w:color w:val="auto"/>
              </w:rPr>
              <w:t>any new or revised financial accounting standards provided pursuant to Section 13(a) of the Exchange Act</w:t>
            </w: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0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1070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700" w:type="dxa"/>
            <w:vAlign w:val="bottom"/>
          </w:tcPr>
          <w:p>
            <w:pPr>
              <w:jc w:val="center"/>
              <w:ind w:left="470"/>
              <w:spacing w:after="0"/>
              <w:rPr>
                <w:sz w:val="20"/>
                <w:szCs w:val="20"/>
                <w:color w:val="auto"/>
              </w:rPr>
            </w:pPr>
            <w:r>
              <w:rPr>
                <w:rFonts w:ascii="Arial" w:cs="Arial" w:eastAsia="Arial" w:hAnsi="Arial"/>
                <w:sz w:val="18"/>
                <w:szCs w:val="18"/>
                <w:color w:val="auto"/>
                <w:w w:val="89"/>
              </w:rPr>
              <w:t>923,209,971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700" w:type="dxa"/>
            <w:vAlign w:val="bottom"/>
          </w:tcPr>
          <w:p>
            <w:pPr>
              <w:jc w:val="center"/>
              <w:ind w:left="45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700" w:type="dxa"/>
            <w:vAlign w:val="bottom"/>
          </w:tcPr>
          <w:p>
            <w:pPr>
              <w:jc w:val="center"/>
              <w:ind w:left="470"/>
              <w:spacing w:after="0"/>
              <w:rPr>
                <w:sz w:val="20"/>
                <w:szCs w:val="20"/>
                <w:color w:val="auto"/>
              </w:rPr>
            </w:pPr>
            <w:r>
              <w:rPr>
                <w:rFonts w:ascii="Arial" w:cs="Arial" w:eastAsia="Arial" w:hAnsi="Arial"/>
                <w:sz w:val="18"/>
                <w:szCs w:val="18"/>
                <w:color w:val="auto"/>
                <w:w w:val="91"/>
              </w:rPr>
              <w:t>July 14, 2021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240" w:type="dxa"/>
            <w:vAlign w:val="bottom"/>
          </w:tcPr>
          <w:p>
            <w:pPr>
              <w:spacing w:after="0"/>
              <w:rPr>
                <w:sz w:val="19"/>
                <w:szCs w:val="19"/>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9"/>
                <w:szCs w:val="19"/>
                <w:color w:val="auto"/>
              </w:rPr>
            </w:pPr>
          </w:p>
        </w:tc>
      </w:tr>
      <w:tr>
        <w:trPr>
          <w:trHeight w:val="210"/>
        </w:trPr>
        <w:tc>
          <w:tcPr>
            <w:tcW w:w="6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 (COR)</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Acquisition charges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7"/>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2,213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4,152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2,472</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 (OI&amp;E)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and debt expense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 (EPS):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5"/>
        </w:trPr>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shares outstanding (millions):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5"/>
        </w:trPr>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w:t>
            </w:r>
          </w:p>
        </w:tc>
      </w:tr>
      <w:tr>
        <w:trPr>
          <w:trHeight w:val="21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allocated to RSUs</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40" w:type="dxa"/>
            <w:vAlign w:val="bottom"/>
          </w:tcPr>
          <w:p>
            <w:pPr>
              <w:spacing w:after="0"/>
              <w:rPr>
                <w:sz w:val="19"/>
                <w:szCs w:val="19"/>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9"/>
                <w:szCs w:val="19"/>
                <w:color w:val="auto"/>
              </w:rPr>
            </w:pPr>
          </w:p>
        </w:tc>
      </w:tr>
      <w:tr>
        <w:trPr>
          <w:trHeight w:val="210"/>
        </w:trPr>
        <w:tc>
          <w:tcPr>
            <w:tcW w:w="6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actuarial losses of defined benefit plans: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6120" w:type="dxa"/>
            <w:vAlign w:val="bottom"/>
            <w:gridSpan w:val="2"/>
          </w:tcPr>
          <w:p>
            <w:pPr>
              <w:ind w:left="220"/>
              <w:spacing w:after="0"/>
              <w:rPr>
                <w:sz w:val="20"/>
                <w:szCs w:val="20"/>
                <w:color w:val="auto"/>
              </w:rPr>
            </w:pPr>
            <w:r>
              <w:rPr>
                <w:rFonts w:ascii="Arial" w:cs="Arial" w:eastAsia="Arial" w:hAnsi="Arial"/>
                <w:sz w:val="16"/>
                <w:szCs w:val="16"/>
                <w:color w:val="auto"/>
              </w:rPr>
              <w:t>Adjustments, net of tax effect of ($5) and $4; ($7) and $1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Recognized within net income, net of tax effect of ($2) and ($3); ($5) and ($5)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6120" w:type="dxa"/>
            <w:vAlign w:val="bottom"/>
            <w:gridSpan w:val="2"/>
          </w:tcPr>
          <w:p>
            <w:pPr>
              <w:ind w:left="140"/>
              <w:spacing w:after="0"/>
              <w:rPr>
                <w:sz w:val="20"/>
                <w:szCs w:val="20"/>
                <w:color w:val="auto"/>
              </w:rPr>
            </w:pPr>
            <w:r>
              <w:rPr>
                <w:rFonts w:ascii="Arial" w:cs="Arial" w:eastAsia="Arial" w:hAnsi="Arial"/>
                <w:sz w:val="16"/>
                <w:szCs w:val="16"/>
                <w:color w:val="auto"/>
              </w:rPr>
              <w:t>Available-for-sale investments: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Unrealized losses, net of tax effect of $0 and $0; $0 and $0</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24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8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(Millions of dollars, except share amounts)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3,461</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 of allowances of ($9) and ($11)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r>
      <w:tr>
        <w:trPr>
          <w:trHeight w:val="213"/>
        </w:trPr>
        <w:tc>
          <w:tcPr>
            <w:tcW w:w="846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Work in process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13"/>
        </w:trPr>
        <w:tc>
          <w:tcPr>
            <w:tcW w:w="8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r>
      <w:tr>
        <w:trPr>
          <w:trHeight w:val="212"/>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r>
      <w:tr>
        <w:trPr>
          <w:trHeight w:val="212"/>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11,177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10,239</w:t>
            </w:r>
          </w:p>
        </w:tc>
      </w:tr>
      <w:tr>
        <w:trPr>
          <w:trHeight w:val="207"/>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6,235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5,781</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Property, plant and equipment</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Acquisition-related intangibles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Capitalized software licenses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Overfunded retirement plans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3"/>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237"/>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Underfunded retirement plans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10,164</w:t>
            </w:r>
          </w:p>
        </w:tc>
      </w:tr>
      <w:tr>
        <w:trPr>
          <w:trHeight w:val="207"/>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stock, $25 par value. Authorized – 10,000,000 shares; none issued</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Common stock, $1 par value. Authorized – 2,400,000,000 shares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issued – 1,740,815,939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Paid-in capital</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2,333</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42,051</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Treasury common stock at cost</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June 30, 2021 – 817,729,258; December 31, 2020 – 821,461,787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(36,578)</w:t>
            </w:r>
          </w:p>
        </w:tc>
      </w:tr>
      <w:tr>
        <w:trPr>
          <w:trHeight w:val="213"/>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Accumulated other comprehensive income (loss), net of taxes (AOCI)</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1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w:t>
            </w:r>
          </w:p>
        </w:tc>
      </w:tr>
      <w:tr>
        <w:trPr>
          <w:trHeight w:val="212"/>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19,351</w:t>
            </w:r>
          </w:p>
        </w:tc>
      </w:tr>
      <w:tr>
        <w:trPr>
          <w:trHeight w:val="21"/>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80" w:type="dxa"/>
            <w:vAlign w:val="bottom"/>
          </w:tcPr>
          <w:p>
            <w:pPr>
              <w:spacing w:after="0"/>
              <w:rPr>
                <w:sz w:val="19"/>
                <w:szCs w:val="19"/>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9"/>
                <w:szCs w:val="19"/>
                <w:color w:val="auto"/>
              </w:rPr>
            </w:pPr>
          </w:p>
        </w:tc>
      </w:tr>
      <w:tr>
        <w:trPr>
          <w:trHeight w:val="210"/>
        </w:trPr>
        <w:tc>
          <w:tcPr>
            <w:tcW w:w="86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3,684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2,554</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net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acquisition-related intangibles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Amortization of capitalized software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Gains on sales of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Increase (decrease) from changes in:</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Changes in funded status of retirement plans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w:t>
            </w:r>
          </w:p>
        </w:tc>
      </w:tr>
      <w:tr>
        <w:trPr>
          <w:trHeight w:val="239"/>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asset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Purchases of short-term investments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(4,734)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(895)</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short-term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w:t>
            </w:r>
          </w:p>
        </w:tc>
      </w:tr>
      <w:tr>
        <w:trPr>
          <w:trHeight w:val="239"/>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1,498</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 of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(1,664)</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Proceeds from common stock transactions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8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w:t>
            </w:r>
          </w:p>
        </w:tc>
      </w:tr>
      <w:tr>
        <w:trPr>
          <w:trHeight w:val="239"/>
        </w:trPr>
        <w:tc>
          <w:tcPr>
            <w:tcW w:w="8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1,857</w:t>
            </w: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12"/>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w:t>
            </w:r>
          </w:p>
        </w:tc>
      </w:tr>
      <w:tr>
        <w:trPr>
          <w:trHeight w:val="20"/>
        </w:trPr>
        <w:tc>
          <w:tcPr>
            <w:tcW w:w="8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w:t>
      </w:r>
    </w:p>
    <w:p>
      <w:pPr>
        <w:spacing w:after="0" w:line="184" w:lineRule="exact"/>
        <w:rPr>
          <w:sz w:val="20"/>
          <w:szCs w:val="20"/>
          <w:color w:val="auto"/>
        </w:rPr>
      </w:pPr>
    </w:p>
    <w:p>
      <w:pPr>
        <w:ind w:left="620" w:right="260" w:hanging="329"/>
        <w:spacing w:after="0" w:line="25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9" w:lineRule="exact"/>
        <w:rPr>
          <w:rFonts w:ascii="Arial" w:cs="Arial" w:eastAsia="Arial" w:hAnsi="Arial"/>
          <w:sz w:val="18"/>
          <w:szCs w:val="18"/>
          <w:color w:val="auto"/>
        </w:rPr>
      </w:pPr>
    </w:p>
    <w:p>
      <w:pPr>
        <w:ind w:left="620" w:right="14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84"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620" w:type="dxa"/>
            <w:vAlign w:val="bottom"/>
            <w:gridSpan w:val="6"/>
          </w:tcPr>
          <w:p>
            <w:pPr>
              <w:ind w:left="38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6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10"/>
        </w:trPr>
        <w:tc>
          <w:tcPr>
            <w:tcW w:w="6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Analog</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3,464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2,434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6,744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4,894</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4,580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Analog</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1,778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3,424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2,078</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profit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2,213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620" w:type="dxa"/>
            <w:vAlign w:val="bottom"/>
            <w:gridSpan w:val="6"/>
          </w:tcPr>
          <w:p>
            <w:pPr>
              <w:ind w:left="38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6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10"/>
        </w:trPr>
        <w:tc>
          <w:tcPr>
            <w:tcW w:w="6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19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739</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2,993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w:t>
            </w: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696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1,070</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4,580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right="40" w:hanging="332"/>
        <w:spacing w:after="0" w:line="311" w:lineRule="auto"/>
        <w:tabs>
          <w:tab w:leader="none" w:pos="33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from products shipped into China was $2.5 billion and $1.8 billion in the second quarters of 2021 and 2020, respectively, and $4.8 billion and $3.5 billion in the first six months of 2021 and 2020, respectively, which includes shipments to customers that manufacture in China and then export end products to their customers around the world, as well as distributors that transship inventory through China to service other countries.</w:t>
      </w:r>
    </w:p>
    <w:p>
      <w:pPr>
        <w:spacing w:after="0" w:line="17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2020. The Consolidated Statements of Income, Comprehensive Income and Cash Flows for the periods ended June 30, 2021 and 2020, and the Consolidated Balance Sheet as of June 30, 2021,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2020. The results for the three- and six-month periods are not necessarily indicative of a full year’s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2"/>
              </w:rPr>
              <w:t>For Three Months Ended June 30,</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89"/>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780" w:type="dxa"/>
            <w:vAlign w:val="bottom"/>
          </w:tcPr>
          <w:p>
            <w:pPr>
              <w:jc w:val="center"/>
              <w:ind w:left="239"/>
              <w:spacing w:after="0"/>
              <w:rPr>
                <w:sz w:val="20"/>
                <w:szCs w:val="20"/>
                <w:color w:val="auto"/>
              </w:rPr>
            </w:pPr>
            <w:r>
              <w:rPr>
                <w:rFonts w:ascii="Arial" w:cs="Arial" w:eastAsia="Arial" w:hAnsi="Arial"/>
                <w:sz w:val="16"/>
                <w:szCs w:val="16"/>
                <w:b w:val="1"/>
                <w:bCs w:val="1"/>
                <w:color w:val="auto"/>
                <w:w w:val="86"/>
              </w:rPr>
              <w:t>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212"/>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0"/>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9"/>
              </w:rPr>
              <w:t>923</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183"/>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effect of stock compensation plans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57"/>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1,924</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937</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6"/>
        </w:trPr>
        <w:tc>
          <w:tcPr>
            <w:tcW w:w="4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6"/>
                <w:szCs w:val="16"/>
                <w:b w:val="1"/>
                <w:bCs w:val="1"/>
                <w:color w:val="auto"/>
                <w:w w:val="92"/>
              </w:rPr>
              <w:t>For Six Months Ended June 30,</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0"/>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89"/>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780" w:type="dxa"/>
            <w:vAlign w:val="bottom"/>
          </w:tcPr>
          <w:p>
            <w:pPr>
              <w:jc w:val="center"/>
              <w:ind w:left="239"/>
              <w:spacing w:after="0"/>
              <w:rPr>
                <w:sz w:val="20"/>
                <w:szCs w:val="20"/>
                <w:color w:val="auto"/>
              </w:rPr>
            </w:pPr>
            <w:r>
              <w:rPr>
                <w:rFonts w:ascii="Arial" w:cs="Arial" w:eastAsia="Arial" w:hAnsi="Arial"/>
                <w:sz w:val="16"/>
                <w:szCs w:val="16"/>
                <w:b w:val="1"/>
                <w:bCs w:val="1"/>
                <w:color w:val="auto"/>
                <w:w w:val="86"/>
              </w:rPr>
              <w:t>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19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3,684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9"/>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9"/>
              </w:rPr>
              <w:t>923</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183"/>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effect of stock compensation plans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56"/>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3,684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3,669</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936</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Potentially dilutive securities representing 2 million and 9 million shares of common stock that were outstanding during the second quarters of 2021 and 2020, respectively, and 3 million and 9 million shares outstanding during the first six months of 2021 and 2020, respectively, were excluded from the computation of diluted earnings per common share during these periods because their effect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3"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fair values of our derivative financial instruments were not material as of June 30, 2021.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June 30, 2021, the carrying value of long-term debt, including the current portion, was $6.25 billion, and the estimated fair value was $6.97 billion. The estimated fair value is measured using broker-dealer quotes, which are Level 2 inputs. See Note 4 for a description of fair value and the definition of Level 2 inputs.</w:t>
      </w:r>
    </w:p>
    <w:p>
      <w:pPr>
        <w:spacing w:after="0" w:line="18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estimated annual effective tax rate is about 14%, which does not include discrete tax items. This differs from the 21% U.S. statutory corporate tax rate due to the effect of U.S.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800" w:type="dxa"/>
            <w:vAlign w:val="bottom"/>
            <w:gridSpan w:val="6"/>
          </w:tcPr>
          <w:p>
            <w:pPr>
              <w:ind w:left="460"/>
              <w:spacing w:after="0"/>
              <w:rPr>
                <w:sz w:val="20"/>
                <w:szCs w:val="20"/>
                <w:color w:val="auto"/>
              </w:rPr>
            </w:pPr>
            <w:r>
              <w:rPr>
                <w:rFonts w:ascii="Arial" w:cs="Arial" w:eastAsia="Arial" w:hAnsi="Arial"/>
                <w:sz w:val="16"/>
                <w:szCs w:val="16"/>
                <w:b w:val="1"/>
                <w:bCs w:val="1"/>
                <w:color w:val="auto"/>
              </w:rPr>
              <w:t>For Three Months Ended</w:t>
            </w:r>
          </w:p>
        </w:tc>
        <w:tc>
          <w:tcPr>
            <w:tcW w:w="300" w:type="dxa"/>
            <w:vAlign w:val="bottom"/>
          </w:tcPr>
          <w:p>
            <w:pPr>
              <w:spacing w:after="0"/>
              <w:rPr>
                <w:sz w:val="18"/>
                <w:szCs w:val="18"/>
                <w:color w:val="auto"/>
              </w:rPr>
            </w:pPr>
          </w:p>
        </w:tc>
        <w:tc>
          <w:tcPr>
            <w:tcW w:w="24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57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10"/>
        </w:trPr>
        <w:tc>
          <w:tcPr>
            <w:tcW w:w="57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calculated using the estimated annual effective tax rate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322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330</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Discrete tax items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(381)</w:t>
            </w: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296"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Our provision for income taxes for the second quarter and first six months of 2020 included a $249 million discrete tax benefit for the settlement of a depreciation-related uncertain tax position. Accrued interest of $46 million related to this uncertain tax position was reversed and included in OI&amp;E.</w:t>
      </w:r>
    </w:p>
    <w:p>
      <w:pPr>
        <w:spacing w:after="0" w:line="15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Available-for-sale debt investments, money market funds and mutual funds are stated at fair value, which is generally based on market prices or broker quotes.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xml:space="preserve"> below. Unrealized gains and losses from available-for-sale debt securities are recorded as an increase or decrease, net of taxes, in AOCI on our Consolidated Balance Sheets and any credit losses on available-for-sale debt securities are recorded as an allowance for credit losses with an offset recognized in OI&amp;E in our Consolidated Statements of Income.</w:t>
      </w:r>
    </w:p>
    <w:p>
      <w:pPr>
        <w:spacing w:after="0" w:line="187"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2021</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350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Cash and Cash</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2"/>
              </w:rPr>
              <w:t>Short-Term</w:t>
            </w:r>
          </w:p>
        </w:tc>
        <w:tc>
          <w:tcPr>
            <w:tcW w:w="160" w:type="dxa"/>
            <w:vAlign w:val="bottom"/>
          </w:tcPr>
          <w:p>
            <w:pPr>
              <w:spacing w:after="0"/>
              <w:rPr>
                <w:sz w:val="13"/>
                <w:szCs w:val="13"/>
                <w:color w:val="auto"/>
              </w:rPr>
            </w:pPr>
          </w:p>
        </w:tc>
        <w:tc>
          <w:tcPr>
            <w:tcW w:w="10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3"/>
                <w:szCs w:val="13"/>
                <w:color w:val="auto"/>
              </w:rPr>
            </w:pP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5"/>
              </w:rPr>
              <w:t>Cash and Cash</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3"/>
                <w:szCs w:val="13"/>
                <w:color w:val="auto"/>
              </w:rPr>
            </w:pPr>
          </w:p>
        </w:tc>
        <w:tc>
          <w:tcPr>
            <w:tcW w:w="106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Long-Term</w:t>
            </w:r>
          </w:p>
        </w:tc>
      </w:tr>
      <w:tr>
        <w:trPr>
          <w:trHeight w:val="213"/>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Equivalents</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Measured at fair value: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886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w w:val="96"/>
              </w:rPr>
              <w:t>U.S. government agency and Treasury securities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2,849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3,741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59"/>
        </w:trPr>
        <w:tc>
          <w:tcPr>
            <w:tcW w:w="3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Other measurement basis: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Equity-method investments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Non-marketable equity investments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on hand</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3,741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3,107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2021, and December 31, 2020, unrealized gains and losses associated with our available-for-sale investments were not material. We did not recognize any credit losses related to available-for-sale investments for the first six months of 2021 and 2020.</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Proceeds from sales, redemptions and maturities of short-term available-for-sale investments were $2.46 billion and $1.81 billion for the second quarters of 2021 and 2020, respectively, and $4.46 billion and $3.20 billion for the first six months of 2021 and 2020, respectively. Gross realized gains and losses from these sales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June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 year or less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4,451</w:t>
            </w:r>
          </w:p>
        </w:tc>
      </w:tr>
      <w:tr>
        <w:trPr>
          <w:trHeight w:val="210"/>
        </w:trPr>
        <w:tc>
          <w:tcPr>
            <w:tcW w:w="8940" w:type="dxa"/>
            <w:vAlign w:val="bottom"/>
          </w:tcPr>
          <w:p>
            <w:pPr>
              <w:ind w:left="20"/>
              <w:spacing w:after="0"/>
              <w:rPr>
                <w:sz w:val="20"/>
                <w:szCs w:val="20"/>
                <w:color w:val="auto"/>
              </w:rPr>
            </w:pPr>
            <w:r>
              <w:rPr>
                <w:rFonts w:ascii="Arial" w:cs="Arial" w:eastAsia="Arial" w:hAnsi="Arial"/>
                <w:sz w:val="16"/>
                <w:szCs w:val="16"/>
                <w:color w:val="auto"/>
              </w:rPr>
              <w:t>One to two years</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28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first six months of 2020, we entered into total return swaps to economically hedge the variability of certain deferred compensation obligations to employees. As a result, we received proceeds of $253 million from the sale of investments in mutual funds that were previously being utilized to offset this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20" w:right="180" w:hanging="329"/>
        <w:spacing w:after="0" w:line="273" w:lineRule="auto"/>
        <w:tabs>
          <w:tab w:leader="none" w:pos="61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ind w:left="620" w:right="200" w:hanging="329"/>
        <w:spacing w:after="0" w:line="263"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values are generally determined using pricing models that utilize management estimates of market participant assumptions. As of June 30, 2021, and December 31, 2020, we had no Level 3 assets or liabilities.</w:t>
      </w:r>
    </w:p>
    <w:p>
      <w:pPr>
        <w:spacing w:after="0" w:line="184" w:lineRule="exact"/>
        <w:rPr>
          <w:sz w:val="20"/>
          <w:szCs w:val="20"/>
          <w:color w:val="auto"/>
        </w:rPr>
      </w:pPr>
    </w:p>
    <w:p>
      <w:pPr>
        <w:ind w:right="160"/>
        <w:spacing w:after="0" w:line="298" w:lineRule="auto"/>
        <w:rPr>
          <w:sz w:val="20"/>
          <w:szCs w:val="20"/>
          <w:color w:val="auto"/>
        </w:rPr>
      </w:pPr>
      <w:r>
        <w:rPr>
          <w:rFonts w:ascii="Arial" w:cs="Arial" w:eastAsia="Arial" w:hAnsi="Arial"/>
          <w:sz w:val="17"/>
          <w:szCs w:val="17"/>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12"/>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2,039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886</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w w:val="98"/>
              </w:rPr>
              <w:t>U.S. government agency and Treasury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4,394</w:t>
            </w: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2"/>
        </w:trPr>
        <w:tc>
          <w:tcPr>
            <w:tcW w:w="35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1,840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6,605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5,298</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5,961</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0"/>
        </w:trPr>
        <w:tc>
          <w:tcPr>
            <w:tcW w:w="35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361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350</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0"/>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U.S. Defined Benefit</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U.S. Retiree Health Care</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For Three Months Ended June 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Recognized net actuarial loss</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benefit costs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losses</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4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73"/>
        </w:trPr>
        <w:tc>
          <w:tcPr>
            <w:tcW w:w="4140" w:type="dxa"/>
            <w:vAlign w:val="bottom"/>
          </w:tcPr>
          <w:p>
            <w:pPr>
              <w:spacing w:after="0"/>
              <w:rPr>
                <w:sz w:val="24"/>
                <w:szCs w:val="24"/>
                <w:color w:val="auto"/>
              </w:rPr>
            </w:pPr>
          </w:p>
        </w:tc>
        <w:tc>
          <w:tcPr>
            <w:tcW w:w="1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U.S. Defined Benefit</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U.S. Retiree Health Care</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For Six Months Ended June 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costs</w:t>
            </w: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Settlement losses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76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2021,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June 30, 2021, our credit facility was undrawn, and we had no commercial paper outstanding.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we retired $550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8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2021 at 2.75%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2022 at 1.85%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2023 at 2.25%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2024 at 2.625%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2025 at 1.375%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2027 at 2.90%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2029 at 2.25%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2030 at 1.75%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2039 at 3.875%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Notes due 2048 at 4.15%</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6,850</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unamortized discounts, premiums and issuance costs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r>
      <w:tr>
        <w:trPr>
          <w:trHeight w:val="237"/>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Interest and debt expense was $44 million and $48 million for the second quarters of 2021 and 2020, respectively, and $90 million and $93 million for the first six months of 2021 and 2020, respectively. This was net of the amortized discounts, premiums and issuance costs. Capitalized interest was not material.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Treasury</w:t>
            </w:r>
          </w:p>
        </w:tc>
        <w:tc>
          <w:tcPr>
            <w:tcW w:w="220" w:type="dxa"/>
            <w:vAlign w:val="bottom"/>
          </w:tcPr>
          <w:p>
            <w:pPr>
              <w:spacing w:after="0"/>
              <w:rPr>
                <w:sz w:val="16"/>
                <w:szCs w:val="16"/>
                <w:color w:val="auto"/>
              </w:rPr>
            </w:pPr>
          </w:p>
        </w:tc>
        <w:tc>
          <w:tcPr>
            <w:tcW w:w="8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($1.02 per share)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Dividends declared and paid ($1.02 per share)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Common stock issued for stock-based awards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Stock repurchases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Stock compensation</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net of taxes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Dividend equivalents on RSUs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60" w:type="dxa"/>
            <w:vAlign w:val="bottom"/>
          </w:tcPr>
          <w:p>
            <w:pPr>
              <w:spacing w:after="0"/>
              <w:rPr>
                <w:sz w:val="24"/>
                <w:szCs w:val="2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Treasury</w:t>
            </w:r>
          </w:p>
        </w:tc>
        <w:tc>
          <w:tcPr>
            <w:tcW w:w="220" w:type="dxa"/>
            <w:vAlign w:val="bottom"/>
          </w:tcPr>
          <w:p>
            <w:pPr>
              <w:spacing w:after="0"/>
              <w:rPr>
                <w:sz w:val="24"/>
                <w:szCs w:val="24"/>
                <w:color w:val="auto"/>
              </w:rPr>
            </w:pPr>
          </w:p>
        </w:tc>
        <w:tc>
          <w:tcPr>
            <w:tcW w:w="8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($0.90 per share)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Dividends declared and paid ($0.90 per share)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260" w:type="dxa"/>
            <w:vAlign w:val="bottom"/>
          </w:tcPr>
          <w:p>
            <w:pPr>
              <w:ind w:left="20"/>
              <w:spacing w:after="0"/>
              <w:rPr>
                <w:sz w:val="20"/>
                <w:szCs w:val="20"/>
                <w:color w:val="auto"/>
              </w:rPr>
            </w:pPr>
            <w:r>
              <w:rPr>
                <w:rFonts w:ascii="Arial" w:cs="Arial" w:eastAsia="Arial" w:hAnsi="Arial"/>
                <w:sz w:val="16"/>
                <w:szCs w:val="16"/>
                <w:color w:val="auto"/>
              </w:rPr>
              <w:t>Balance, June 30, 2020</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4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at cost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30, 2021, we announced that we signed an agreement to acquire Micron Technology’s 300-millimeter semiconductor factory in Lehi, Utah, for cash consideration of $900 million. We plan to complete the transaction by the end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second quarters and first six months of 2021 and 2020. The table below details where these transactions are recorded in our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ind w:left="140"/>
              <w:spacing w:after="0"/>
              <w:rPr>
                <w:sz w:val="20"/>
                <w:szCs w:val="20"/>
                <w:color w:val="auto"/>
              </w:rPr>
            </w:pPr>
            <w:r>
              <w:rPr>
                <w:rFonts w:ascii="Arial" w:cs="Arial" w:eastAsia="Arial" w:hAnsi="Arial"/>
                <w:sz w:val="16"/>
                <w:szCs w:val="16"/>
                <w:b w:val="1"/>
                <w:bCs w:val="1"/>
                <w:color w:val="auto"/>
                <w:w w:val="95"/>
              </w:rPr>
              <w:t>For Six Months Ended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6"/>
              </w:rPr>
              <w:t>June 30,</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2"/>
              </w:rPr>
              <w:t>Impact to Related Statement of Income</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Lines</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losses of defined benefit plans: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140"/>
              <w:spacing w:after="0" w:line="166" w:lineRule="exact"/>
              <w:rPr>
                <w:sz w:val="20"/>
                <w:szCs w:val="20"/>
                <w:color w:val="auto"/>
              </w:rPr>
            </w:pPr>
            <w:r>
              <w:rPr>
                <w:rFonts w:ascii="Arial" w:cs="Arial" w:eastAsia="Arial" w:hAnsi="Arial"/>
                <w:sz w:val="16"/>
                <w:szCs w:val="16"/>
                <w:color w:val="auto"/>
                <w:w w:val="92"/>
              </w:rPr>
              <w:t>Recognized net actuarial loss and settlement losses</w:t>
            </w:r>
          </w:p>
        </w:tc>
        <w:tc>
          <w:tcPr>
            <w:tcW w:w="78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4"/>
                <w:szCs w:val="14"/>
                <w:color w:val="auto"/>
              </w:rPr>
            </w:pPr>
          </w:p>
        </w:tc>
        <w:tc>
          <w:tcPr>
            <w:tcW w:w="840" w:type="dxa"/>
            <w:vAlign w:val="bottom"/>
            <w:vMerge w:val="restart"/>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vMerge w:val="restart"/>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4"/>
                <w:szCs w:val="14"/>
                <w:color w:val="auto"/>
              </w:rPr>
            </w:pPr>
          </w:p>
        </w:tc>
        <w:tc>
          <w:tcPr>
            <w:tcW w:w="800" w:type="dxa"/>
            <w:vAlign w:val="bottom"/>
            <w:vMerge w:val="restart"/>
          </w:tcPr>
          <w:p>
            <w:pPr>
              <w:jc w:val="right"/>
              <w:ind w:right="619"/>
              <w:spacing w:after="0"/>
              <w:rPr>
                <w:sz w:val="20"/>
                <w:szCs w:val="20"/>
                <w:color w:val="auto"/>
              </w:rPr>
            </w:pPr>
            <w:r>
              <w:rPr>
                <w:rFonts w:ascii="Arial" w:cs="Arial" w:eastAsia="Arial" w:hAnsi="Arial"/>
                <w:sz w:val="16"/>
                <w:szCs w:val="16"/>
                <w:color w:val="auto"/>
                <w:w w:val="89"/>
              </w:rPr>
              <w:t>$</w:t>
            </w:r>
          </w:p>
        </w:tc>
        <w:tc>
          <w:tcPr>
            <w:tcW w:w="300" w:type="dxa"/>
            <w:vAlign w:val="bottom"/>
            <w:vMerge w:val="restart"/>
          </w:tcPr>
          <w:p>
            <w:pPr>
              <w:ind w:left="8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4"/>
                <w:szCs w:val="14"/>
                <w:color w:val="auto"/>
              </w:rPr>
            </w:pPr>
          </w:p>
        </w:tc>
        <w:tc>
          <w:tcPr>
            <w:tcW w:w="2840" w:type="dxa"/>
            <w:vAlign w:val="bottom"/>
            <w:vMerge w:val="restart"/>
          </w:tcPr>
          <w:p>
            <w:pPr>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09"/>
        </w:trPr>
        <w:tc>
          <w:tcPr>
            <w:tcW w:w="3580" w:type="dxa"/>
            <w:vAlign w:val="bottom"/>
          </w:tcPr>
          <w:p>
            <w:pPr>
              <w:ind w:left="140"/>
              <w:spacing w:after="0"/>
              <w:rPr>
                <w:sz w:val="20"/>
                <w:szCs w:val="20"/>
                <w:color w:val="auto"/>
              </w:rPr>
            </w:pPr>
            <w:r>
              <w:rPr>
                <w:rFonts w:ascii="Arial" w:cs="Arial" w:eastAsia="Arial" w:hAnsi="Arial"/>
                <w:sz w:val="16"/>
                <w:szCs w:val="16"/>
                <w:color w:val="auto"/>
              </w:rPr>
              <w:t>(a)</w:t>
            </w:r>
          </w:p>
        </w:tc>
        <w:tc>
          <w:tcPr>
            <w:tcW w:w="7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7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b w:val="1"/>
                <w:bCs w:val="1"/>
                <w:color w:val="auto"/>
                <w:w w:val="91"/>
              </w:rPr>
              <w:t>(5)</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12"/>
        </w:trPr>
        <w:tc>
          <w:tcPr>
            <w:tcW w:w="3580" w:type="dxa"/>
            <w:vAlign w:val="bottom"/>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shares of 633,845 and 5,099,397 were issued from treasury shares during the second quarter and first six months of 2021, respectively, related to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design, make and sell semiconductors to electronics designers and manufacturers all over the world. Technology is the foundation of our company, but ultimately, our objective and the best metric to measure progress and generate long-term value for owners is the growth of free cash flow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left="660" w:right="2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60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62" w:lineRule="exact"/>
        <w:rPr>
          <w:rFonts w:ascii="Arial" w:cs="Arial" w:eastAsia="Arial" w:hAnsi="Arial"/>
          <w:sz w:val="18"/>
          <w:szCs w:val="18"/>
          <w:color w:val="auto"/>
        </w:rPr>
      </w:pPr>
    </w:p>
    <w:p>
      <w:pPr>
        <w:ind w:left="1300" w:right="100" w:hanging="320"/>
        <w:spacing w:after="0" w:line="277" w:lineRule="auto"/>
        <w:tabs>
          <w:tab w:leader="none" w:pos="12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62"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16" w:lineRule="exact"/>
        <w:rPr>
          <w:sz w:val="20"/>
          <w:szCs w:val="20"/>
          <w:color w:val="auto"/>
        </w:rPr>
      </w:pPr>
    </w:p>
    <w:p>
      <w:pPr>
        <w:ind w:left="660" w:right="1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20" w:right="160" w:hanging="329"/>
        <w:spacing w:after="0" w:line="263"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5"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16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300" w:right="58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300" w:right="8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5" w:name="page16"/>
    <w:bookmarkEnd w:id="15"/>
    <w:p>
      <w:pPr>
        <w:ind w:left="1300" w:right="140" w:hanging="320"/>
        <w:spacing w:after="0" w:line="279" w:lineRule="auto"/>
        <w:tabs>
          <w:tab w:leader="none" w:pos="12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7"/>
          <w:szCs w:val="17"/>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coronavirus (COVID-19) pandemic and its effects are impacting and will likely continue to impact market conditions and business operations across industries worldwide, including at TI. Therefore, we remain cautious about how the economy might behave for the next few years and continue to monitor potential impact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second quarter revenue was $4.58 billion, net income was $1.93 billion and earnings per share (EPS) were $2.05.</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increased 7% sequentially and increased 41% from the same quarter a year ago due to strong demand in industrial, automotive and personal electronics.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our core businesses, Analog revenue grew 6% and Embedded Processing grew 2% sequentially. From a year ago, Analog revenue grew 42% and Embedded Processing grew 43%.</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cash flow from operations of $7.5 billion for the trailing 12 months again underscored the strength of our business model. Free cash flow for the same period was $6.5 billion and 39% of revenue. This reflects the quality of our product portfolio, as well as the efficiency of our manufacturing strategy, including the benefit of 300-millimeter Analog production.</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returned $3.9 billion to shareholders in the past 12 months through dividends and stock repurchases. Over the same period, our dividend represented 56% of free cash flow, underscoring its sustainability.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second quarter 2021 compared with second quarter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$4.58 billion increased $1.34 billion, or 41%, due to higher revenue from Analog and, to a lesser extent, Embedded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profit of $3.08 billion was up $995 million, or 48%, due to higher revenue. As a percentage of revenue, gross profit increased to 67.2% from 64.3%.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$816 million compared with $780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$48 million compared with $50 million and were non-cash.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$2.21 billion, or 48.3% of revenue, compared with $1.23 billion, or 37.9%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$73 million of income compared with $99 million of income.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provision for income taxes was an expense of $311 million compared with a benefit of $101 million. This change was due to lower discrete tax benefits compared to the year-ago quarter, which included a $249 million benefit from the settlement of a depreciation-related uncertain tax position, as well as higher income before income taxes in the current period. Our annual operating tax rate, which does not include discrete tax items, is 14% compared with 13% in 2020. We use “annual operating tax rate” to describe the estimated annual effective tax rate, which differs from the 21% U.S. statutory corporate tax rate due to the effect of U.S. tax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$1.93 billion compared with $1.38 billion. EPS was $2.05 compared with $1.48.</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Second quarter 2021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Q2 2021</w:t>
            </w: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Q2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3,464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2,434</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1,778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ind w:right="1240"/>
        <w:spacing w:after="0" w:line="399" w:lineRule="auto"/>
        <w:rPr>
          <w:sz w:val="20"/>
          <w:szCs w:val="20"/>
          <w:color w:val="auto"/>
        </w:rPr>
      </w:pPr>
      <w:r>
        <w:rPr>
          <w:rFonts w:ascii="Arial" w:cs="Arial" w:eastAsia="Arial" w:hAnsi="Arial"/>
          <w:sz w:val="18"/>
          <w:szCs w:val="18"/>
          <w:color w:val="auto"/>
        </w:rPr>
        <w:t xml:space="preserve">Analog revenue increased in both product lines about equally. Operating profit increased due to higher revenue and associated gross profit. </w:t>
      </w:r>
      <w:r>
        <w:rPr>
          <w:rFonts w:ascii="Arial" w:cs="Arial" w:eastAsia="Arial" w:hAnsi="Arial"/>
          <w:sz w:val="18"/>
          <w:szCs w:val="18"/>
          <w:i w:val="1"/>
          <w:iCs w:val="1"/>
          <w:color w:val="auto"/>
        </w:rPr>
        <w:t>Embedded Processing (includes microcontrollers and processors)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Q2 2021</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Q2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150 %</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83" w:lineRule="exact"/>
        <w:rPr>
          <w:sz w:val="20"/>
          <w:szCs w:val="20"/>
          <w:color w:val="auto"/>
        </w:rPr>
      </w:pPr>
    </w:p>
    <w:p>
      <w:pPr>
        <w:ind w:right="2000"/>
        <w:spacing w:after="0" w:line="399" w:lineRule="auto"/>
        <w:rPr>
          <w:sz w:val="20"/>
          <w:szCs w:val="20"/>
          <w:color w:val="auto"/>
        </w:rPr>
      </w:pPr>
      <w:r>
        <w:rPr>
          <w:rFonts w:ascii="Arial" w:cs="Arial" w:eastAsia="Arial" w:hAnsi="Arial"/>
          <w:sz w:val="18"/>
          <w:szCs w:val="18"/>
          <w:color w:val="auto"/>
        </w:rPr>
        <w:t xml:space="preserve">Embedded Processing revenue increased. Operating profit increased primarily due to higher revenue and associated gross profit. </w:t>
      </w: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Q2 2021</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Q2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259</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146 %</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$77 million, and operating profit increased $73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six months of 2021 compared with first six months of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$8.87 billion increased $2.30 billion, or 35%, due to higher revenue from Analog and, to a lesser extent, Embedded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profit of $5.87 billion was up $1.70 billion, or 41%, due to higher revenue. As a percentage of revenue, gross profit increased to 66.2% from 63.5%.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$1.63 billion compared with $1.57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$95 million compared with $100 million and were non-cash.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$4.15 billion, or 46.8% of revenue, compared with $2.47 billion, or 37.6%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$119 million of income compared with $124 million of income.</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provision for income taxes was an expense of $497 million compared with a benefit of $51 million. This change was due to higher income before income taxes and lower discrete tax benefits compared to the year-ago period, which included a $249 million benefit from the settlement of a depreciation-related uncertain tax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$3.68 billion compared with $2.55 billion. EPS was $3.92 compared with $2.72.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2021</w:t>
            </w: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6,744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4,894</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3,424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2,078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Analog revenue increased in both product lines about equally. Operating profit increased due to higher revenue and associated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2021</w:t>
            </w: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1,199</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599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revenue and associated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2021</w:t>
            </w: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475</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$103 million, and operating profit increased $42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end of the second quarter of 2021, total cash (cash and cash equivalents plus short-term investments) was $7.39 billion, an increase of $822 million from the end of 2020.</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Accounts receivable were $1.59 billion, an increase of $177 million compared with the end of 2020. Days sales outstanding were 31 for both the second quarter of 2021 and at the end of 2020.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Inventory was $1.86 billion, a decrease of $99 million from the end of 2020. Days of inventory for the second quarter of 2021 were 111 compared with 123 at the end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six months of 2021 were $3.97 billion, an increase of $1.40 billion from the year-ago period due to higher net income and lower cash used for working capital.</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June 30, 2021, our credit facility was undrawn, and we had no commercial paper outstanding.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ind w:right="260"/>
        <w:spacing w:after="0" w:line="311" w:lineRule="auto"/>
        <w:rPr>
          <w:sz w:val="20"/>
          <w:szCs w:val="20"/>
          <w:color w:val="auto"/>
        </w:rPr>
      </w:pPr>
      <w:r>
        <w:rPr>
          <w:rFonts w:ascii="Arial" w:cs="Arial" w:eastAsia="Arial" w:hAnsi="Arial"/>
          <w:sz w:val="16"/>
          <w:szCs w:val="16"/>
          <w:color w:val="auto"/>
        </w:rPr>
        <w:t>Investing activities for the first six months of 2021 used $982 million compared with providing cash of $2.26 billion in the year-ago period. Capital expenditures were $694 million compared with $291 million in the year-ago period and were primarily for semiconductor manufacturing equipment and facilities in both periods. Short-term investments used cash of $279 million compared with providing cash of $2.55 billion in the year-ago period.</w:t>
      </w:r>
    </w:p>
    <w:p>
      <w:pPr>
        <w:spacing w:after="0" w:line="14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Financing activities for the first six months of 2021 used $2.45 billion compared with $2.98 billion in the year-ago period. In 2021, we retired maturing debt of $550 million. In the year-ago period, we received net proceeds of $1.50 billion from the issuance of fixed-rate, long-term debt, and we retired maturing debt of $500 million. Dividends paid were $1.88 billion compared with $1.66 billion in the year-ago period, reflecting an increase in the dividend rate. We used $246 million to repurchase 1.4 million shares of our common stock compared with $2.52 billion used in the year-ago period to repurchase 23.2 million shares. Employee exercises of stock options provided cash proceeds of $250 million compared with $233 million in the year-ago period.</w:t>
      </w:r>
    </w:p>
    <w:p>
      <w:pPr>
        <w:spacing w:after="0" w:line="16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had $3.65 billion of cash and cash equivalents and $3.74 billion of short-term investments as of June 30, 2021. We believe we have the necessary financial resources and operating plans to fund our working capital needs, capital expenditures, dividend and debt-related payments, and other business requirements for at least the next 12 months.</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30, 2021, we announced that we signed an agreement to acquire Micron Technology’s 300-millimeter semiconductor factory in Lehi, Utah, for cash consideration of $900 million. We plan to complete the transaction by the end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12 Months Ended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7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7,539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(1,052)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6,487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5,714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63"/>
        </w:trPr>
        <w:tc>
          <w:tcPr>
            <w:tcW w:w="70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16,762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13,689</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percentage of revenue (GAAP)</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Free cash flow as a percentage of revenue (non-GAAP)</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41.7 %</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regarding long-term contractual obligations is in Item 7 of our Form 10-K for the year ended December 31, 2020. Additionally, in the first six months of 2021, we retired $550 million of maturing debt.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2020,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6"/>
                <w:szCs w:val="16"/>
                <w:color w:val="auto"/>
              </w:rPr>
            </w:pPr>
          </w:p>
        </w:tc>
        <w:tc>
          <w:tcPr>
            <w:tcW w:w="19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6"/>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Average Price</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vMerge w:val="continue"/>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Purchased</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2"/>
              </w:rPr>
              <w:t>Paid per Share</w:t>
            </w:r>
          </w:p>
        </w:tc>
        <w:tc>
          <w:tcPr>
            <w:tcW w:w="10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(a)</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b w:val="1"/>
                <w:bCs w:val="1"/>
                <w:color w:val="auto"/>
                <w:w w:val="92"/>
              </w:rPr>
              <w:t>or Programs (a)</w:t>
            </w:r>
          </w:p>
        </w:tc>
        <w:tc>
          <w:tcPr>
            <w:tcW w:w="0" w:type="dxa"/>
            <w:vAlign w:val="bottom"/>
          </w:tcPr>
          <w:p>
            <w:pPr>
              <w:spacing w:after="0"/>
              <w:rPr>
                <w:sz w:val="1"/>
                <w:szCs w:val="1"/>
                <w:color w:val="auto"/>
              </w:rPr>
            </w:pPr>
          </w:p>
        </w:tc>
      </w:tr>
      <w:tr>
        <w:trPr>
          <w:trHeight w:val="212"/>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April 1, 2021 through April 30, 2021</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1000" w:type="dxa"/>
            <w:vAlign w:val="bottom"/>
            <w:shd w:val="clear" w:color="auto" w:fill="CFF0FC"/>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3"/>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May 1, 2021 through May 31, 2021</w:t>
            </w:r>
          </w:p>
        </w:tc>
        <w:tc>
          <w:tcPr>
            <w:tcW w:w="1460" w:type="dxa"/>
            <w:vAlign w:val="bottom"/>
          </w:tcPr>
          <w:p>
            <w:pPr>
              <w:jc w:val="right"/>
              <w:spacing w:after="0"/>
              <w:rPr>
                <w:sz w:val="20"/>
                <w:szCs w:val="20"/>
                <w:color w:val="auto"/>
              </w:rPr>
            </w:pPr>
            <w:r>
              <w:rPr>
                <w:rFonts w:ascii="Arial" w:cs="Arial" w:eastAsia="Arial" w:hAnsi="Arial"/>
                <w:sz w:val="16"/>
                <w:szCs w:val="16"/>
                <w:color w:val="auto"/>
              </w:rPr>
              <w:t>447,358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444,924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10.45</w:t>
            </w:r>
          </w:p>
        </w:tc>
        <w:tc>
          <w:tcPr>
            <w:tcW w:w="1000" w:type="dxa"/>
            <w:vAlign w:val="bottom"/>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9"/>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June 1, 2021 through June 30, 2021</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345,080</w:t>
            </w:r>
          </w:p>
        </w:tc>
        <w:tc>
          <w:tcPr>
            <w:tcW w:w="3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187.75</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345,080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w:t>
            </w:r>
          </w:p>
        </w:tc>
        <w:tc>
          <w:tcPr>
            <w:tcW w:w="1000" w:type="dxa"/>
            <w:vAlign w:val="bottom"/>
            <w:shd w:val="clear" w:color="auto" w:fill="CFF0FC"/>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09"/>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792,438</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184.70</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(b)</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790,004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10.39</w:t>
            </w:r>
          </w:p>
        </w:tc>
        <w:tc>
          <w:tcPr>
            <w:tcW w:w="1000" w:type="dxa"/>
            <w:vAlign w:val="bottom"/>
          </w:tcPr>
          <w:p>
            <w:pPr>
              <w:ind w:left="40"/>
              <w:spacing w:after="0"/>
              <w:rPr>
                <w:sz w:val="20"/>
                <w:szCs w:val="20"/>
                <w:color w:val="auto"/>
              </w:rPr>
            </w:pPr>
            <w:r>
              <w:rPr>
                <w:rFonts w:ascii="Arial" w:cs="Arial" w:eastAsia="Arial" w:hAnsi="Arial"/>
                <w:sz w:val="16"/>
                <w:szCs w:val="16"/>
                <w:color w:val="auto"/>
              </w:rPr>
              <w:t>billion (c)</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right="660" w:hanging="332"/>
        <w:spacing w:after="0" w:line="277"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197" w:lineRule="exact"/>
        <w:rPr>
          <w:rFonts w:ascii="Arial" w:cs="Arial" w:eastAsia="Arial" w:hAnsi="Arial"/>
          <w:sz w:val="18"/>
          <w:szCs w:val="18"/>
          <w:color w:val="auto"/>
        </w:rPr>
      </w:pPr>
    </w:p>
    <w:p>
      <w:pPr>
        <w:ind w:left="340" w:right="72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to open-market purchases, 2,434 shares of common stock were surrendered by employees to satisfy tax withholding obligations in connection with the vesting of restricted stock units.</w:t>
      </w:r>
    </w:p>
    <w:p>
      <w:pPr>
        <w:spacing w:after="0" w:line="197" w:lineRule="exact"/>
        <w:rPr>
          <w:rFonts w:ascii="Arial" w:cs="Arial" w:eastAsia="Arial" w:hAnsi="Arial"/>
          <w:sz w:val="18"/>
          <w:szCs w:val="18"/>
          <w:color w:val="auto"/>
        </w:rPr>
      </w:pPr>
    </w:p>
    <w:p>
      <w:pPr>
        <w:ind w:left="340" w:right="280" w:hanging="332"/>
        <w:spacing w:after="0" w:line="277"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June 30, 2021, this amount consisted of the remaining portion of the $12.0 billion authorized in September 2018. No expiration date has been specified for this authorization.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13(r) of the Securities Exchange Act of 1934 disclosure</w:t>
      </w:r>
    </w:p>
    <w:p>
      <w:pPr>
        <w:spacing w:after="0" w:line="239" w:lineRule="exact"/>
        <w:rPr>
          <w:sz w:val="20"/>
          <w:szCs w:val="20"/>
          <w:color w:val="auto"/>
        </w:rPr>
      </w:pPr>
    </w:p>
    <w:p>
      <w:pPr>
        <w:jc w:val="both"/>
        <w:ind w:right="320"/>
        <w:spacing w:after="0" w:line="276" w:lineRule="auto"/>
        <w:rPr>
          <w:sz w:val="20"/>
          <w:szCs w:val="20"/>
          <w:color w:val="auto"/>
        </w:rPr>
      </w:pPr>
      <w:r>
        <w:rPr>
          <w:rFonts w:ascii="Arial" w:cs="Arial" w:eastAsia="Arial" w:hAnsi="Arial"/>
          <w:sz w:val="16"/>
          <w:szCs w:val="16"/>
          <w:color w:val="auto"/>
        </w:rPr>
        <w:t>During the period covered by this report and as permitted by General License 1B from the U.S. Office of Foreign Assets Control, we engaged with the Russian Federal Security Service (FSB) solely to permit the import, distribution and use of certain of our catalog semiconductor products in Russia. No gross revenue or net profit is directly attributable to these engagements with the FSB, and we intend to continue them to the extent permitted by law.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line="196" w:lineRule="auto"/>
        <w:framePr w:w="1440" w:h="160" w:wrap="auto" w:vAnchor="page" w:hAnchor="page" w:x="280" w:y="911"/>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84"/>
        </w:trPr>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Designation of Exhibits</w:t>
            </w:r>
          </w:p>
        </w:tc>
        <w:tc>
          <w:tcPr>
            <w:tcW w:w="9320" w:type="dxa"/>
            <w:vAlign w:val="bottom"/>
            <w:gridSpan w:val="15"/>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in This Report</w:t>
            </w:r>
          </w:p>
        </w:tc>
        <w:tc>
          <w:tcPr>
            <w:tcW w:w="9320" w:type="dxa"/>
            <w:vAlign w:val="bottom"/>
            <w:gridSpan w:val="1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2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1"/>
              </w:rPr>
              <w:t>3(a)</w:t>
            </w:r>
          </w:p>
        </w:tc>
        <w:tc>
          <w:tcPr>
            <w:tcW w:w="9320" w:type="dxa"/>
            <w:vAlign w:val="bottom"/>
            <w:gridSpan w:val="15"/>
            <w:shd w:val="clear" w:color="auto" w:fill="CCEEFF"/>
          </w:tcPr>
          <w:p>
            <w:pPr>
              <w:spacing w:after="0" w:line="178" w:lineRule="exact"/>
              <w:rPr>
                <w:rFonts w:ascii="Arial" w:cs="Arial" w:eastAsia="Arial" w:hAnsi="Arial"/>
                <w:sz w:val="16"/>
                <w:szCs w:val="16"/>
                <w:color w:val="0000FF"/>
                <w:w w:val="96"/>
              </w:rPr>
            </w:pPr>
            <w:hyperlink r:id="rId37">
              <w:r>
                <w:rPr>
                  <w:rFonts w:ascii="Arial" w:cs="Arial" w:eastAsia="Arial" w:hAnsi="Arial"/>
                  <w:sz w:val="16"/>
                  <w:szCs w:val="16"/>
                  <w:color w:val="0000FF"/>
                  <w:w w:val="96"/>
                </w:rPr>
                <w:t>Restated Certificate of Incorporation of the Registrant, dated April 18, 1985, as amended (incorporated by reference to Exhibit 3(a) of the</w:t>
              </w:r>
            </w:hyperlink>
          </w:p>
        </w:tc>
        <w:tc>
          <w:tcPr>
            <w:tcW w:w="0" w:type="dxa"/>
            <w:vAlign w:val="bottom"/>
          </w:tcPr>
          <w:p>
            <w:pPr>
              <w:spacing w:after="0"/>
              <w:rPr>
                <w:sz w:val="1"/>
                <w:szCs w:val="1"/>
                <w:color w:val="auto"/>
              </w:rPr>
            </w:pPr>
          </w:p>
        </w:tc>
      </w:tr>
      <w:tr>
        <w:trPr>
          <w:trHeight w:val="96"/>
        </w:trPr>
        <w:tc>
          <w:tcPr>
            <w:tcW w:w="1920" w:type="dxa"/>
            <w:vAlign w:val="bottom"/>
            <w:tcBorders>
              <w:top w:val="single" w:sz="8" w:color="CCEEFF"/>
            </w:tcBorders>
            <w:vMerge w:val="continue"/>
            <w:shd w:val="clear" w:color="auto" w:fill="CCEEFF"/>
          </w:tcPr>
          <w:p>
            <w:pPr>
              <w:spacing w:after="0"/>
              <w:rPr>
                <w:sz w:val="8"/>
                <w:szCs w:val="8"/>
                <w:color w:val="auto"/>
              </w:rPr>
            </w:pPr>
          </w:p>
        </w:tc>
        <w:tc>
          <w:tcPr>
            <w:tcW w:w="5360" w:type="dxa"/>
            <w:vAlign w:val="bottom"/>
            <w:tcBorders>
              <w:top w:val="single" w:sz="8" w:color="0000FF"/>
            </w:tcBorders>
            <w:gridSpan w:val="7"/>
            <w:vMerge w:val="restart"/>
            <w:shd w:val="clear" w:color="auto" w:fill="CCEEFF"/>
          </w:tcPr>
          <w:p>
            <w:pPr>
              <w:spacing w:after="0" w:line="142" w:lineRule="exact"/>
              <w:rPr>
                <w:rFonts w:ascii="Arial" w:cs="Arial" w:eastAsia="Arial" w:hAnsi="Arial"/>
                <w:sz w:val="16"/>
                <w:szCs w:val="16"/>
                <w:color w:val="0000FF"/>
                <w:w w:val="91"/>
              </w:rPr>
            </w:pPr>
            <w:hyperlink r:id="rId37">
              <w:r>
                <w:rPr>
                  <w:rFonts w:ascii="Arial" w:cs="Arial" w:eastAsia="Arial" w:hAnsi="Arial"/>
                  <w:sz w:val="16"/>
                  <w:szCs w:val="16"/>
                  <w:color w:val="0000FF"/>
                  <w:w w:val="91"/>
                </w:rPr>
                <w:t>Registrant's Annual Report on Form 10-K for the year ended December 31, 2014).</w:t>
              </w:r>
            </w:hyperlink>
          </w:p>
        </w:tc>
        <w:tc>
          <w:tcPr>
            <w:tcW w:w="3560" w:type="dxa"/>
            <w:vAlign w:val="bottom"/>
            <w:tcBorders>
              <w:top w:val="single" w:sz="8" w:color="0000FF"/>
            </w:tcBorders>
            <w:gridSpan w:val="6"/>
            <w:vMerge w:val="restart"/>
            <w:shd w:val="clear" w:color="auto" w:fill="CCEEFF"/>
          </w:tcPr>
          <w:p>
            <w:pPr>
              <w:spacing w:after="0"/>
              <w:rPr>
                <w:sz w:val="8"/>
                <w:szCs w:val="8"/>
                <w:color w:val="auto"/>
              </w:rPr>
            </w:pPr>
          </w:p>
        </w:tc>
        <w:tc>
          <w:tcPr>
            <w:tcW w:w="400" w:type="dxa"/>
            <w:vAlign w:val="bottom"/>
            <w:tcBorders>
              <w:top w:val="single" w:sz="8" w:color="CCEEFF"/>
            </w:tcBorders>
            <w:gridSpan w:val="2"/>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920" w:type="dxa"/>
            <w:vAlign w:val="bottom"/>
            <w:tcBorders>
              <w:bottom w:val="single" w:sz="8" w:color="CCEEFF"/>
            </w:tcBorders>
            <w:shd w:val="clear" w:color="auto" w:fill="CCEEFF"/>
          </w:tcPr>
          <w:p>
            <w:pPr>
              <w:spacing w:after="0"/>
              <w:rPr>
                <w:sz w:val="5"/>
                <w:szCs w:val="5"/>
                <w:color w:val="auto"/>
              </w:rPr>
            </w:pPr>
          </w:p>
        </w:tc>
        <w:tc>
          <w:tcPr>
            <w:tcW w:w="5360" w:type="dxa"/>
            <w:vAlign w:val="bottom"/>
            <w:tcBorders>
              <w:bottom w:val="single" w:sz="8" w:color="0000FF"/>
            </w:tcBorders>
            <w:gridSpan w:val="7"/>
            <w:vMerge w:val="continue"/>
            <w:shd w:val="clear" w:color="auto" w:fill="CCEEFF"/>
          </w:tcPr>
          <w:p>
            <w:pPr>
              <w:spacing w:after="0"/>
              <w:rPr>
                <w:sz w:val="5"/>
                <w:szCs w:val="5"/>
                <w:color w:val="auto"/>
              </w:rPr>
            </w:pPr>
          </w:p>
        </w:tc>
        <w:tc>
          <w:tcPr>
            <w:tcW w:w="3560" w:type="dxa"/>
            <w:vAlign w:val="bottom"/>
            <w:tcBorders>
              <w:bottom w:val="single" w:sz="8" w:color="CCEEFF"/>
            </w:tcBorders>
            <w:gridSpan w:val="6"/>
            <w:vMerge w:val="continue"/>
            <w:shd w:val="clear" w:color="auto" w:fill="CCEEFF"/>
          </w:tcPr>
          <w:p>
            <w:pPr>
              <w:spacing w:after="0"/>
              <w:rPr>
                <w:sz w:val="5"/>
                <w:szCs w:val="5"/>
                <w:color w:val="auto"/>
              </w:rPr>
            </w:pPr>
          </w:p>
        </w:tc>
        <w:tc>
          <w:tcPr>
            <w:tcW w:w="40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920" w:type="dxa"/>
            <w:vAlign w:val="bottom"/>
          </w:tcPr>
          <w:p>
            <w:pPr>
              <w:jc w:val="center"/>
              <w:ind w:right="19"/>
              <w:spacing w:after="0" w:line="175" w:lineRule="exact"/>
              <w:rPr>
                <w:sz w:val="20"/>
                <w:szCs w:val="20"/>
                <w:color w:val="auto"/>
              </w:rPr>
            </w:pPr>
            <w:r>
              <w:rPr>
                <w:rFonts w:ascii="Arial" w:cs="Arial" w:eastAsia="Arial" w:hAnsi="Arial"/>
                <w:sz w:val="16"/>
                <w:szCs w:val="16"/>
                <w:color w:val="auto"/>
                <w:w w:val="91"/>
              </w:rPr>
              <w:t>3(b)</w:t>
            </w:r>
          </w:p>
        </w:tc>
        <w:tc>
          <w:tcPr>
            <w:tcW w:w="9320" w:type="dxa"/>
            <w:vAlign w:val="bottom"/>
            <w:gridSpan w:val="15"/>
          </w:tcPr>
          <w:p>
            <w:pPr>
              <w:spacing w:after="0" w:line="175" w:lineRule="exact"/>
              <w:rPr>
                <w:rFonts w:ascii="Arial" w:cs="Arial" w:eastAsia="Arial" w:hAnsi="Arial"/>
                <w:sz w:val="16"/>
                <w:szCs w:val="16"/>
                <w:color w:val="0000FF"/>
                <w:w w:val="99"/>
              </w:rPr>
            </w:pPr>
            <w:hyperlink r:id="rId38">
              <w:r>
                <w:rPr>
                  <w:rFonts w:ascii="Arial" w:cs="Arial" w:eastAsia="Arial" w:hAnsi="Arial"/>
                  <w:sz w:val="16"/>
                  <w:szCs w:val="16"/>
                  <w:color w:val="0000FF"/>
                  <w:w w:val="99"/>
                </w:rPr>
                <w:t>By-Laws of the Registrant (incorporated by reference to Exhibit 3 of the Registrant's Current Report on Form 8-K filed July 16, 2020).</w:t>
              </w:r>
            </w:hyperlink>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shd w:val="clear" w:color="auto" w:fill="CCEEFF"/>
          </w:tcPr>
          <w:p>
            <w:pPr>
              <w:jc w:val="center"/>
              <w:ind w:right="19"/>
              <w:spacing w:after="0" w:line="175" w:lineRule="exact"/>
              <w:rPr>
                <w:sz w:val="20"/>
                <w:szCs w:val="20"/>
                <w:color w:val="auto"/>
              </w:rPr>
            </w:pPr>
            <w:r>
              <w:rPr>
                <w:rFonts w:ascii="Arial" w:cs="Arial" w:eastAsia="Arial" w:hAnsi="Arial"/>
                <w:sz w:val="16"/>
                <w:szCs w:val="16"/>
                <w:color w:val="auto"/>
                <w:w w:val="90"/>
              </w:rPr>
              <w:t>31(a)</w:t>
            </w:r>
          </w:p>
        </w:tc>
        <w:tc>
          <w:tcPr>
            <w:tcW w:w="9320" w:type="dxa"/>
            <w:vAlign w:val="bottom"/>
            <w:gridSpan w:val="15"/>
            <w:shd w:val="clear" w:color="auto" w:fill="CCEEFF"/>
          </w:tcPr>
          <w:p>
            <w:pPr>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176"/>
        </w:trPr>
        <w:tc>
          <w:tcPr>
            <w:tcW w:w="1920" w:type="dxa"/>
            <w:vAlign w:val="bottom"/>
            <w:tcBorders>
              <w:top w:val="single" w:sz="8" w:color="CCEEFF"/>
            </w:tcBorders>
          </w:tcPr>
          <w:p>
            <w:pPr>
              <w:jc w:val="center"/>
              <w:ind w:right="19"/>
              <w:spacing w:after="0" w:line="175" w:lineRule="exact"/>
              <w:rPr>
                <w:sz w:val="20"/>
                <w:szCs w:val="20"/>
                <w:color w:val="auto"/>
              </w:rPr>
            </w:pPr>
            <w:r>
              <w:rPr>
                <w:rFonts w:ascii="Arial" w:cs="Arial" w:eastAsia="Arial" w:hAnsi="Arial"/>
                <w:sz w:val="16"/>
                <w:szCs w:val="16"/>
                <w:color w:val="auto"/>
                <w:w w:val="90"/>
              </w:rPr>
              <w:t>31(b)</w:t>
            </w:r>
          </w:p>
        </w:tc>
        <w:tc>
          <w:tcPr>
            <w:tcW w:w="6940" w:type="dxa"/>
            <w:vAlign w:val="bottom"/>
            <w:tcBorders>
              <w:top w:val="single" w:sz="8" w:color="0000FF"/>
            </w:tcBorders>
            <w:gridSpan w:val="11"/>
          </w:tcPr>
          <w:p>
            <w:pPr>
              <w:spacing w:after="0" w:line="175" w:lineRule="exact"/>
              <w:rPr>
                <w:rFonts w:ascii="Arial" w:cs="Arial" w:eastAsia="Arial" w:hAnsi="Arial"/>
                <w:sz w:val="16"/>
                <w:szCs w:val="16"/>
                <w:color w:val="0000FF"/>
                <w:w w:val="93"/>
              </w:rPr>
            </w:pPr>
            <w:hyperlink w:anchor="page27">
              <w:r>
                <w:rPr>
                  <w:rFonts w:ascii="Arial" w:cs="Arial" w:eastAsia="Arial" w:hAnsi="Arial"/>
                  <w:sz w:val="16"/>
                  <w:szCs w:val="16"/>
                  <w:color w:val="0000FF"/>
                  <w:w w:val="93"/>
                </w:rPr>
                <w:t>Certification of Chief Financial Officer of Periodic Report Pursuant to Rule 13a-14(a) or Rule 15d-14(a).†</w:t>
              </w:r>
            </w:hyperlink>
          </w:p>
        </w:tc>
        <w:tc>
          <w:tcPr>
            <w:tcW w:w="2380" w:type="dxa"/>
            <w:vAlign w:val="bottom"/>
            <w:tcBorders>
              <w:top w:val="single" w:sz="8" w:color="CCEEFF"/>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shd w:val="clear" w:color="auto" w:fill="CCEEFF"/>
          </w:tcPr>
          <w:p>
            <w:pPr>
              <w:jc w:val="center"/>
              <w:ind w:right="19"/>
              <w:spacing w:after="0" w:line="175" w:lineRule="exact"/>
              <w:rPr>
                <w:sz w:val="20"/>
                <w:szCs w:val="20"/>
                <w:color w:val="auto"/>
              </w:rPr>
            </w:pPr>
            <w:r>
              <w:rPr>
                <w:rFonts w:ascii="Arial" w:cs="Arial" w:eastAsia="Arial" w:hAnsi="Arial"/>
                <w:sz w:val="16"/>
                <w:szCs w:val="16"/>
                <w:color w:val="auto"/>
                <w:w w:val="90"/>
              </w:rPr>
              <w:t>32(a)</w:t>
            </w:r>
          </w:p>
        </w:tc>
        <w:tc>
          <w:tcPr>
            <w:tcW w:w="9320" w:type="dxa"/>
            <w:vAlign w:val="bottom"/>
            <w:gridSpan w:val="15"/>
            <w:shd w:val="clear" w:color="auto" w:fill="CCEEFF"/>
          </w:tcPr>
          <w:p>
            <w:pPr>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Certification by Chief Executive Officer of Periodic Report Pursuant to 18 U.S.C. Section 1350.†</w:t>
              </w:r>
            </w:hyperlink>
          </w:p>
        </w:tc>
        <w:tc>
          <w:tcPr>
            <w:tcW w:w="0" w:type="dxa"/>
            <w:vAlign w:val="bottom"/>
          </w:tcPr>
          <w:p>
            <w:pPr>
              <w:spacing w:after="0"/>
              <w:rPr>
                <w:sz w:val="1"/>
                <w:szCs w:val="1"/>
                <w:color w:val="auto"/>
              </w:rPr>
            </w:pPr>
          </w:p>
        </w:tc>
      </w:tr>
      <w:tr>
        <w:trPr>
          <w:trHeight w:val="175"/>
        </w:trPr>
        <w:tc>
          <w:tcPr>
            <w:tcW w:w="1920" w:type="dxa"/>
            <w:vAlign w:val="bottom"/>
            <w:tcBorders>
              <w:top w:val="single" w:sz="8" w:color="CCEEFF"/>
            </w:tcBorders>
          </w:tcPr>
          <w:p>
            <w:pPr>
              <w:jc w:val="center"/>
              <w:ind w:right="19"/>
              <w:spacing w:after="0" w:line="175" w:lineRule="exact"/>
              <w:rPr>
                <w:sz w:val="20"/>
                <w:szCs w:val="20"/>
                <w:color w:val="auto"/>
              </w:rPr>
            </w:pPr>
            <w:r>
              <w:rPr>
                <w:rFonts w:ascii="Arial" w:cs="Arial" w:eastAsia="Arial" w:hAnsi="Arial"/>
                <w:sz w:val="16"/>
                <w:szCs w:val="16"/>
                <w:color w:val="auto"/>
                <w:w w:val="90"/>
              </w:rPr>
              <w:t>32(b)</w:t>
            </w:r>
          </w:p>
        </w:tc>
        <w:tc>
          <w:tcPr>
            <w:tcW w:w="6320" w:type="dxa"/>
            <w:vAlign w:val="bottom"/>
            <w:tcBorders>
              <w:top w:val="single" w:sz="8" w:color="0000FF"/>
            </w:tcBorders>
            <w:gridSpan w:val="9"/>
          </w:tcPr>
          <w:p>
            <w:pPr>
              <w:spacing w:after="0" w:line="175" w:lineRule="exact"/>
              <w:rPr>
                <w:rFonts w:ascii="Arial" w:cs="Arial" w:eastAsia="Arial" w:hAnsi="Arial"/>
                <w:sz w:val="16"/>
                <w:szCs w:val="16"/>
                <w:color w:val="0000FF"/>
                <w:w w:val="93"/>
              </w:rPr>
            </w:pPr>
            <w:hyperlink w:anchor="page29">
              <w:r>
                <w:rPr>
                  <w:rFonts w:ascii="Arial" w:cs="Arial" w:eastAsia="Arial" w:hAnsi="Arial"/>
                  <w:sz w:val="16"/>
                  <w:szCs w:val="16"/>
                  <w:color w:val="0000FF"/>
                  <w:w w:val="93"/>
                </w:rPr>
                <w:t>Certification by Chief Financial Officer of Periodic Report Pursuant to 18 U.S.C. Section 1350.†</w:t>
              </w:r>
            </w:hyperlink>
          </w:p>
        </w:tc>
        <w:tc>
          <w:tcPr>
            <w:tcW w:w="3000" w:type="dxa"/>
            <w:vAlign w:val="bottom"/>
            <w:tcBorders>
              <w:top w:val="single" w:sz="8" w:color="CCEEFF"/>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89"/>
              </w:rPr>
              <w:t>101.ins</w:t>
            </w:r>
          </w:p>
        </w:tc>
        <w:tc>
          <w:tcPr>
            <w:tcW w:w="9320" w:type="dxa"/>
            <w:vAlign w:val="bottom"/>
            <w:gridSpan w:val="15"/>
            <w:shd w:val="clear" w:color="auto" w:fill="CCEEFF"/>
          </w:tcPr>
          <w:p>
            <w:pPr>
              <w:spacing w:after="0" w:line="175" w:lineRule="exact"/>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96"/>
        </w:trPr>
        <w:tc>
          <w:tcPr>
            <w:tcW w:w="1920" w:type="dxa"/>
            <w:vAlign w:val="bottom"/>
            <w:tcBorders>
              <w:top w:val="single" w:sz="8" w:color="CCEEFF"/>
            </w:tcBorders>
            <w:vMerge w:val="continue"/>
            <w:shd w:val="clear" w:color="auto" w:fill="CCEEFF"/>
          </w:tcPr>
          <w:p>
            <w:pPr>
              <w:spacing w:after="0"/>
              <w:rPr>
                <w:sz w:val="8"/>
                <w:szCs w:val="8"/>
                <w:color w:val="auto"/>
              </w:rPr>
            </w:pPr>
          </w:p>
        </w:tc>
        <w:tc>
          <w:tcPr>
            <w:tcW w:w="1900" w:type="dxa"/>
            <w:vAlign w:val="bottom"/>
            <w:tcBorders>
              <w:top w:val="single" w:sz="8" w:color="auto"/>
            </w:tcBorders>
            <w:vMerge w:val="restart"/>
            <w:shd w:val="clear" w:color="auto" w:fill="CCEEFF"/>
          </w:tcPr>
          <w:p>
            <w:pPr>
              <w:spacing w:after="0" w:line="142" w:lineRule="exact"/>
              <w:rPr>
                <w:sz w:val="20"/>
                <w:szCs w:val="20"/>
                <w:color w:val="auto"/>
              </w:rPr>
            </w:pPr>
            <w:r>
              <w:rPr>
                <w:rFonts w:ascii="Arial" w:cs="Arial" w:eastAsia="Arial" w:hAnsi="Arial"/>
                <w:sz w:val="16"/>
                <w:szCs w:val="16"/>
                <w:color w:val="auto"/>
                <w:w w:val="94"/>
              </w:rPr>
              <w:t>the Inline XBRL document.†</w:t>
            </w:r>
          </w:p>
        </w:tc>
        <w:tc>
          <w:tcPr>
            <w:tcW w:w="7200" w:type="dxa"/>
            <w:vAlign w:val="bottom"/>
            <w:tcBorders>
              <w:top w:val="single" w:sz="8" w:color="auto"/>
            </w:tcBorders>
            <w:gridSpan w:val="13"/>
            <w:vMerge w:val="restart"/>
            <w:shd w:val="clear" w:color="auto" w:fill="CCEEFF"/>
          </w:tcPr>
          <w:p>
            <w:pPr>
              <w:spacing w:after="0"/>
              <w:rPr>
                <w:sz w:val="8"/>
                <w:szCs w:val="8"/>
                <w:color w:val="auto"/>
              </w:rPr>
            </w:pPr>
          </w:p>
        </w:tc>
        <w:tc>
          <w:tcPr>
            <w:tcW w:w="220" w:type="dxa"/>
            <w:vAlign w:val="bottom"/>
            <w:tcBorders>
              <w:top w:val="single" w:sz="8" w:color="CCEEFF"/>
            </w:tcBorders>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920" w:type="dxa"/>
            <w:vAlign w:val="bottom"/>
            <w:tcBorders>
              <w:bottom w:val="single" w:sz="8" w:color="CCEEFF"/>
            </w:tcBorders>
            <w:shd w:val="clear" w:color="auto" w:fill="CCEEFF"/>
          </w:tcPr>
          <w:p>
            <w:pPr>
              <w:spacing w:after="0"/>
              <w:rPr>
                <w:sz w:val="5"/>
                <w:szCs w:val="5"/>
                <w:color w:val="auto"/>
              </w:rPr>
            </w:pPr>
          </w:p>
        </w:tc>
        <w:tc>
          <w:tcPr>
            <w:tcW w:w="1900" w:type="dxa"/>
            <w:vAlign w:val="bottom"/>
            <w:tcBorders>
              <w:bottom w:val="single" w:sz="8" w:color="auto"/>
            </w:tcBorders>
            <w:vMerge w:val="continue"/>
            <w:shd w:val="clear" w:color="auto" w:fill="CCEEFF"/>
          </w:tcPr>
          <w:p>
            <w:pPr>
              <w:spacing w:after="0"/>
              <w:rPr>
                <w:sz w:val="5"/>
                <w:szCs w:val="5"/>
                <w:color w:val="auto"/>
              </w:rPr>
            </w:pPr>
          </w:p>
        </w:tc>
        <w:tc>
          <w:tcPr>
            <w:tcW w:w="7200" w:type="dxa"/>
            <w:vAlign w:val="bottom"/>
            <w:tcBorders>
              <w:bottom w:val="single" w:sz="8" w:color="CCEEFF"/>
            </w:tcBorders>
            <w:gridSpan w:val="13"/>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920" w:type="dxa"/>
            <w:vAlign w:val="bottom"/>
          </w:tcPr>
          <w:p>
            <w:pPr>
              <w:jc w:val="center"/>
              <w:ind w:right="19"/>
              <w:spacing w:after="0" w:line="175" w:lineRule="exact"/>
              <w:rPr>
                <w:sz w:val="20"/>
                <w:szCs w:val="20"/>
                <w:color w:val="auto"/>
              </w:rPr>
            </w:pPr>
            <w:r>
              <w:rPr>
                <w:rFonts w:ascii="Arial" w:cs="Arial" w:eastAsia="Arial" w:hAnsi="Arial"/>
                <w:sz w:val="16"/>
                <w:szCs w:val="16"/>
                <w:color w:val="auto"/>
                <w:w w:val="93"/>
              </w:rPr>
              <w:t>101.def</w:t>
            </w:r>
          </w:p>
        </w:tc>
        <w:tc>
          <w:tcPr>
            <w:tcW w:w="9320" w:type="dxa"/>
            <w:vAlign w:val="bottom"/>
            <w:gridSpan w:val="15"/>
          </w:tcPr>
          <w:p>
            <w:pPr>
              <w:spacing w:after="0" w:line="175" w:lineRule="exact"/>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tcBorders>
              <w:bottom w:val="single" w:sz="8" w:color="CCEEFF"/>
            </w:tcBorders>
            <w:shd w:val="clear" w:color="auto" w:fill="CCEEFF"/>
          </w:tcPr>
          <w:p>
            <w:pPr>
              <w:jc w:val="center"/>
              <w:ind w:right="19"/>
              <w:spacing w:after="0" w:line="175" w:lineRule="exact"/>
              <w:rPr>
                <w:sz w:val="20"/>
                <w:szCs w:val="20"/>
                <w:color w:val="auto"/>
              </w:rPr>
            </w:pPr>
            <w:r>
              <w:rPr>
                <w:rFonts w:ascii="Arial" w:cs="Arial" w:eastAsia="Arial" w:hAnsi="Arial"/>
                <w:sz w:val="16"/>
                <w:szCs w:val="16"/>
                <w:color w:val="auto"/>
                <w:w w:val="89"/>
              </w:rPr>
              <w:t>101.sch</w:t>
            </w:r>
          </w:p>
        </w:tc>
        <w:tc>
          <w:tcPr>
            <w:tcW w:w="32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w w:val="92"/>
              </w:rPr>
              <w:t>XBRL Taxonomy Extension Schema Document.†</w:t>
            </w:r>
          </w:p>
        </w:tc>
        <w:tc>
          <w:tcPr>
            <w:tcW w:w="6060" w:type="dxa"/>
            <w:vAlign w:val="bottom"/>
            <w:tcBorders>
              <w:bottom w:val="single" w:sz="8" w:color="CCEEFF"/>
            </w:tcBorders>
            <w:gridSpan w:val="1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20" w:type="dxa"/>
            <w:vAlign w:val="bottom"/>
          </w:tcPr>
          <w:p>
            <w:pPr>
              <w:jc w:val="center"/>
              <w:ind w:right="19"/>
              <w:spacing w:after="0" w:line="175" w:lineRule="exact"/>
              <w:rPr>
                <w:sz w:val="20"/>
                <w:szCs w:val="20"/>
                <w:color w:val="auto"/>
              </w:rPr>
            </w:pPr>
            <w:r>
              <w:rPr>
                <w:rFonts w:ascii="Arial" w:cs="Arial" w:eastAsia="Arial" w:hAnsi="Arial"/>
                <w:sz w:val="16"/>
                <w:szCs w:val="16"/>
                <w:color w:val="auto"/>
                <w:w w:val="89"/>
              </w:rPr>
              <w:t>101.cal</w:t>
            </w:r>
          </w:p>
        </w:tc>
        <w:tc>
          <w:tcPr>
            <w:tcW w:w="9320" w:type="dxa"/>
            <w:vAlign w:val="bottom"/>
            <w:gridSpan w:val="15"/>
          </w:tcPr>
          <w:p>
            <w:pPr>
              <w:spacing w:after="0" w:line="175" w:lineRule="exact"/>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2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101.lab</w:t>
            </w:r>
          </w:p>
        </w:tc>
        <w:tc>
          <w:tcPr>
            <w:tcW w:w="9320" w:type="dxa"/>
            <w:vAlign w:val="bottom"/>
            <w:gridSpan w:val="15"/>
            <w:shd w:val="clear" w:color="auto" w:fill="CCEEFF"/>
          </w:tcPr>
          <w:p>
            <w:pPr>
              <w:spacing w:after="0" w:line="175" w:lineRule="exact"/>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20" w:type="dxa"/>
            <w:vAlign w:val="bottom"/>
          </w:tcPr>
          <w:p>
            <w:pPr>
              <w:jc w:val="center"/>
              <w:ind w:right="19"/>
              <w:spacing w:after="0" w:line="175" w:lineRule="exact"/>
              <w:rPr>
                <w:sz w:val="20"/>
                <w:szCs w:val="20"/>
                <w:color w:val="auto"/>
              </w:rPr>
            </w:pPr>
            <w:r>
              <w:rPr>
                <w:rFonts w:ascii="Arial" w:cs="Arial" w:eastAsia="Arial" w:hAnsi="Arial"/>
                <w:sz w:val="16"/>
                <w:szCs w:val="16"/>
                <w:color w:val="auto"/>
                <w:w w:val="92"/>
              </w:rPr>
              <w:t>101.pre</w:t>
            </w:r>
          </w:p>
        </w:tc>
        <w:tc>
          <w:tcPr>
            <w:tcW w:w="4180" w:type="dxa"/>
            <w:vAlign w:val="bottom"/>
            <w:tcBorders>
              <w:bottom w:val="single" w:sz="8" w:color="auto"/>
            </w:tcBorders>
            <w:gridSpan w:val="6"/>
          </w:tcPr>
          <w:p>
            <w:pPr>
              <w:spacing w:after="0" w:line="175" w:lineRule="exact"/>
              <w:rPr>
                <w:sz w:val="20"/>
                <w:szCs w:val="20"/>
                <w:color w:val="auto"/>
              </w:rPr>
            </w:pPr>
            <w:r>
              <w:rPr>
                <w:rFonts w:ascii="Arial" w:cs="Arial" w:eastAsia="Arial" w:hAnsi="Arial"/>
                <w:sz w:val="16"/>
                <w:szCs w:val="16"/>
                <w:color w:val="auto"/>
                <w:w w:val="92"/>
              </w:rPr>
              <w:t>XBRL Taxonomy Extension Presentation Linkbase Document.†</w:t>
            </w:r>
          </w:p>
        </w:tc>
        <w:tc>
          <w:tcPr>
            <w:tcW w:w="51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920" w:hanging="1129"/>
        <w:spacing w:after="0"/>
        <w:tabs>
          <w:tab w:leader="none" w:pos="192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Cover Page Interactive Data File (embedded within the Inline XBRL document).†</w:t>
      </w:r>
    </w:p>
    <w:p>
      <w:pPr>
        <w:spacing w:after="0" w:line="45" w:lineRule="exact"/>
        <w:rPr>
          <w:rFonts w:ascii="Arial" w:cs="Arial" w:eastAsia="Arial" w:hAnsi="Arial"/>
          <w:sz w:val="16"/>
          <w:szCs w:val="16"/>
          <w:color w:val="auto"/>
        </w:rPr>
      </w:pPr>
    </w:p>
    <w:p>
      <w:pPr>
        <w:ind w:left="140" w:hanging="114"/>
        <w:spacing w:after="0"/>
        <w:tabs>
          <w:tab w:leader="none" w:pos="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660" w:hanging="329"/>
        <w:spacing w:after="0" w:line="30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38" w:lineRule="exact"/>
        <w:rPr>
          <w:rFonts w:ascii="Arial" w:cs="Arial" w:eastAsia="Arial" w:hAnsi="Arial"/>
          <w:sz w:val="17"/>
          <w:szCs w:val="17"/>
          <w:color w:val="auto"/>
        </w:rPr>
      </w:pPr>
    </w:p>
    <w:p>
      <w:pPr>
        <w:ind w:left="62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17" w:lineRule="exact"/>
        <w:rPr>
          <w:rFonts w:ascii="Arial" w:cs="Arial" w:eastAsia="Arial" w:hAnsi="Arial"/>
          <w:sz w:val="18"/>
          <w:szCs w:val="18"/>
          <w:color w:val="auto"/>
        </w:rPr>
      </w:pPr>
    </w:p>
    <w:p>
      <w:pPr>
        <w:ind w:left="620" w:right="26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2" w:lineRule="exact"/>
        <w:rPr>
          <w:rFonts w:ascii="Arial" w:cs="Arial" w:eastAsia="Arial" w:hAnsi="Arial"/>
          <w:sz w:val="18"/>
          <w:szCs w:val="18"/>
          <w:color w:val="auto"/>
        </w:rPr>
      </w:pPr>
    </w:p>
    <w:p>
      <w:pPr>
        <w:ind w:left="620" w:right="10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20" w:right="1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20" w:right="6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2" w:lineRule="exact"/>
        <w:rPr>
          <w:rFonts w:ascii="Arial" w:cs="Arial" w:eastAsia="Arial" w:hAnsi="Arial"/>
          <w:sz w:val="18"/>
          <w:szCs w:val="18"/>
          <w:color w:val="auto"/>
        </w:rPr>
      </w:pPr>
    </w:p>
    <w:p>
      <w:pPr>
        <w:ind w:left="620" w:hanging="329"/>
        <w:spacing w:after="0" w:line="30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20" w:right="28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28" w:lineRule="exact"/>
        <w:rPr>
          <w:rFonts w:ascii="Arial" w:cs="Arial" w:eastAsia="Arial" w:hAnsi="Arial"/>
          <w:sz w:val="17"/>
          <w:szCs w:val="17"/>
          <w:color w:val="auto"/>
        </w:rPr>
      </w:pPr>
    </w:p>
    <w:p>
      <w:pPr>
        <w:ind w:left="620" w:right="4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3" w:name="page24"/>
    <w:bookmarkEnd w:id="23"/>
    <w:p>
      <w:pPr>
        <w:ind w:left="620" w:hanging="32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right="88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TEXAS INSTRUMENTS INCORPORATED</w:t>
      </w:r>
    </w:p>
    <w:p>
      <w:pPr>
        <w:spacing w:after="0" w:line="279"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Rafael R. Lizardi</w:t>
            </w:r>
          </w:p>
        </w:tc>
      </w:tr>
      <w:tr>
        <w:trPr>
          <w:trHeight w:val="222"/>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Rafael R. Lizardi</w:t>
            </w:r>
          </w:p>
        </w:tc>
      </w:tr>
      <w:tr>
        <w:trPr>
          <w:trHeight w:val="230"/>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Senior Vice President and</w:t>
            </w:r>
          </w:p>
        </w:tc>
      </w:tr>
      <w:tr>
        <w:trPr>
          <w:trHeight w:val="230"/>
        </w:trPr>
        <w:tc>
          <w:tcPr>
            <w:tcW w:w="700" w:type="dxa"/>
            <w:vAlign w:val="bottom"/>
          </w:tcPr>
          <w:p>
            <w:pPr>
              <w:spacing w:after="0"/>
              <w:rPr>
                <w:sz w:val="20"/>
                <w:szCs w:val="20"/>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Chief Financial Officer</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2021</w:t>
      </w:r>
    </w:p>
    <w:p>
      <w:pPr>
        <w:sectPr>
          <w:pgSz w:w="11900" w:h="16838" w:orient="portrait"/>
          <w:cols w:equalWidth="0" w:num="1">
            <w:col w:w="11220"/>
          </w:cols>
          <w:pgMar w:left="320" w:top="895"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60" w:hanging="492"/>
        <w:spacing w:after="0" w:line="289"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2021</w:t>
      </w:r>
    </w:p>
    <w:p>
      <w:pPr>
        <w:spacing w:after="0" w:line="26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jc w:val="center"/>
        <w:ind w:left="8120"/>
        <w:spacing w:after="0" w:line="203" w:lineRule="auto"/>
        <w:rPr>
          <w:sz w:val="20"/>
          <w:szCs w:val="20"/>
          <w:color w:val="auto"/>
        </w:rPr>
      </w:pPr>
      <w:r>
        <w:rPr>
          <w:rFonts w:ascii="Arial" w:cs="Arial" w:eastAsia="Arial" w:hAnsi="Arial"/>
          <w:sz w:val="18"/>
          <w:szCs w:val="18"/>
          <w:color w:val="auto"/>
        </w:rPr>
        <w:t>Chairman, President</w:t>
      </w:r>
    </w:p>
    <w:p>
      <w:pPr>
        <w:jc w:val="center"/>
        <w:ind w:left="81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486"/>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40" w:hanging="492"/>
        <w:spacing w:after="0" w:line="289"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2021</w:t>
      </w:r>
    </w:p>
    <w:p>
      <w:pPr>
        <w:spacing w:after="0" w:line="26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84" w:lineRule="exact"/>
        <w:rPr>
          <w:sz w:val="20"/>
          <w:szCs w:val="20"/>
          <w:color w:val="auto"/>
        </w:rPr>
      </w:pPr>
    </w:p>
    <w:p>
      <w:pPr>
        <w:ind w:right="160" w:firstLine="494"/>
        <w:spacing w:after="0" w:line="342"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July 22, 2021</w:t>
      </w:r>
    </w:p>
    <w:p>
      <w:pPr>
        <w:spacing w:after="0" w:line="3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jc w:val="center"/>
        <w:ind w:left="8120"/>
        <w:spacing w:after="0" w:line="203" w:lineRule="auto"/>
        <w:rPr>
          <w:sz w:val="20"/>
          <w:szCs w:val="20"/>
          <w:color w:val="auto"/>
        </w:rPr>
      </w:pPr>
      <w:r>
        <w:rPr>
          <w:rFonts w:ascii="Arial" w:cs="Arial" w:eastAsia="Arial" w:hAnsi="Arial"/>
          <w:sz w:val="18"/>
          <w:szCs w:val="18"/>
          <w:color w:val="auto"/>
        </w:rPr>
        <w:t>Chairman, President</w:t>
      </w:r>
    </w:p>
    <w:p>
      <w:pPr>
        <w:jc w:val="center"/>
        <w:ind w:left="81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24" w:lineRule="exact"/>
        <w:rPr>
          <w:sz w:val="20"/>
          <w:szCs w:val="20"/>
          <w:color w:val="auto"/>
        </w:rPr>
      </w:pPr>
    </w:p>
    <w:p>
      <w:pPr>
        <w:ind w:right="160" w:firstLine="494"/>
        <w:spacing w:after="0" w:line="342" w:lineRule="auto"/>
        <w:tabs>
          <w:tab w:leader="none" w:pos="7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July 22, 2021</w:t>
      </w:r>
    </w:p>
    <w:p>
      <w:pPr>
        <w:spacing w:after="0" w:line="3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5"/>
    </w:lvl>
  </w:abstractNum>
  <w:abstractNum w:abstractNumId="11">
    <w:nsid w:val="7C83E458"/>
    <w:multiLevelType w:val="hybridMultilevel"/>
    <w:lvl w:ilvl="0">
      <w:lvlJc w:val="left"/>
      <w:lvlText w:val="%1."/>
      <w:numFmt w:val="decimal"/>
      <w:start w:val="6"/>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
    </w:lvl>
    <w:lvl w:ilvl="1">
      <w:lvlJc w:val="left"/>
      <w:lvlText w:val="%2."/>
      <w:numFmt w:val="lowerRoman"/>
      <w:start w:val="1"/>
    </w:lvl>
  </w:abstractNum>
  <w:abstractNum w:abstractNumId="15">
    <w:nsid w:val="628C895D"/>
    <w:multiLevelType w:val="hybridMultilevel"/>
    <w:lvl w:ilvl="0">
      <w:lvlJc w:val="left"/>
      <w:lvlText w:val="%1."/>
      <w:numFmt w:val="decimal"/>
      <w:start w:val="2"/>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lvl w:ilvl="1">
      <w:lvlJc w:val="left"/>
      <w:lvlText w:val="%2"/>
      <w:numFmt w:val="decimal"/>
      <w:start w:val="104"/>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37" Type="http://schemas.openxmlformats.org/officeDocument/2006/relationships/hyperlink" Target="http://www.sec.gov/Archives/edgar/data/97476/000009747615000003/txn-12312014xexhibit3a.htm" TargetMode="External"/><Relationship Id="rId38" Type="http://schemas.openxmlformats.org/officeDocument/2006/relationships/hyperlink" Target="http://www.sec.gov/Archives/edgar/data/97476/000119312520194080/d949258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2021-07-22T08:26:55Z</dcterms:created>
  <dcterms:modified xsi:type="dcterms:W3CDTF">2021-07-22T08:26:55Z</dcterms:modified>
</cp:coreProperties>
</file>