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381" w:lineRule="exact"/>
        <w:rPr>
          <w:sz w:val="24"/>
          <w:szCs w:val="24"/>
          <w:color w:val="auto"/>
        </w:rPr>
      </w:pPr>
    </w:p>
    <w:p>
      <w:pPr>
        <w:ind w:left="3080"/>
        <w:spacing w:after="0"/>
        <w:rPr>
          <w:sz w:val="20"/>
          <w:szCs w:val="20"/>
          <w:color w:val="auto"/>
        </w:rPr>
      </w:pPr>
      <w:r>
        <w:rPr>
          <w:rFonts w:ascii="Courier New" w:cs="Courier New" w:eastAsia="Courier New" w:hAnsi="Courier New"/>
          <w:sz w:val="17"/>
          <w:szCs w:val="17"/>
          <w:color w:val="auto"/>
        </w:rPr>
        <w:t>Washington, D.C.</w:t>
      </w:r>
    </w:p>
    <w:p>
      <w:pPr>
        <w:spacing w:after="0" w:line="190" w:lineRule="exact"/>
        <w:rPr>
          <w:sz w:val="24"/>
          <w:szCs w:val="24"/>
          <w:color w:val="auto"/>
        </w:rPr>
      </w:pPr>
    </w:p>
    <w:p>
      <w:pPr>
        <w:ind w:left="3580"/>
        <w:spacing w:after="0"/>
        <w:rPr>
          <w:sz w:val="20"/>
          <w:szCs w:val="20"/>
          <w:color w:val="auto"/>
        </w:rPr>
      </w:pPr>
      <w:r>
        <w:rPr>
          <w:rFonts w:ascii="Courier New" w:cs="Courier New" w:eastAsia="Courier New" w:hAnsi="Courier New"/>
          <w:sz w:val="17"/>
          <w:szCs w:val="17"/>
          <w:color w:val="auto"/>
        </w:rPr>
        <w:t>20549</w:t>
      </w:r>
    </w:p>
    <w:p>
      <w:pPr>
        <w:spacing w:after="0" w:line="200" w:lineRule="exact"/>
        <w:rPr>
          <w:sz w:val="24"/>
          <w:szCs w:val="24"/>
          <w:color w:val="auto"/>
        </w:rPr>
      </w:pPr>
    </w:p>
    <w:p>
      <w:pPr>
        <w:spacing w:after="0" w:line="372" w:lineRule="exact"/>
        <w:rPr>
          <w:sz w:val="24"/>
          <w:szCs w:val="24"/>
          <w:color w:val="auto"/>
        </w:rPr>
      </w:pPr>
    </w:p>
    <w:p>
      <w:pPr>
        <w:ind w:left="33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QUARTERLY REPORT UNDER SECTION 13 or 15(d)</w:t>
      </w:r>
    </w:p>
    <w:p>
      <w:pPr>
        <w:jc w:val="center"/>
        <w:ind w:right="2459"/>
        <w:spacing w:after="0" w:line="238" w:lineRule="auto"/>
        <w:rPr>
          <w:sz w:val="20"/>
          <w:szCs w:val="20"/>
          <w:color w:val="auto"/>
        </w:rPr>
      </w:pPr>
      <w:r>
        <w:rPr>
          <w:rFonts w:ascii="Courier New" w:cs="Courier New" w:eastAsia="Courier New" w:hAnsi="Courier New"/>
          <w:sz w:val="17"/>
          <w:szCs w:val="17"/>
          <w:color w:val="auto"/>
        </w:rPr>
        <w:t>OF THE SECURITIES EXCHANGE ACT OF 1934</w:t>
      </w:r>
    </w:p>
    <w:p>
      <w:pPr>
        <w:spacing w:after="0" w:line="381" w:lineRule="exact"/>
        <w:rPr>
          <w:sz w:val="24"/>
          <w:szCs w:val="24"/>
          <w:color w:val="auto"/>
        </w:rPr>
      </w:pPr>
    </w:p>
    <w:p>
      <w:pPr>
        <w:spacing w:after="0"/>
        <w:tabs>
          <w:tab w:leader="none" w:pos="4760" w:val="left"/>
        </w:tabs>
        <w:rPr>
          <w:sz w:val="20"/>
          <w:szCs w:val="20"/>
          <w:color w:val="auto"/>
        </w:rPr>
      </w:pPr>
      <w:r>
        <w:rPr>
          <w:rFonts w:ascii="Courier New" w:cs="Courier New" w:eastAsia="Courier New" w:hAnsi="Courier New"/>
          <w:sz w:val="17"/>
          <w:szCs w:val="17"/>
          <w:color w:val="auto"/>
        </w:rPr>
        <w:t>For Quarter Ended September 30, 2000</w:t>
      </w:r>
      <w:r>
        <w:rPr>
          <w:sz w:val="20"/>
          <w:szCs w:val="20"/>
          <w:color w:val="auto"/>
        </w:rPr>
        <w:tab/>
      </w:r>
      <w:r>
        <w:rPr>
          <w:rFonts w:ascii="Courier New" w:cs="Courier New" w:eastAsia="Courier New" w:hAnsi="Courier New"/>
          <w:sz w:val="16"/>
          <w:szCs w:val="16"/>
          <w:color w:val="auto"/>
        </w:rPr>
        <w:t>Commission File Number 1-3761</w:t>
      </w:r>
    </w:p>
    <w:p>
      <w:pPr>
        <w:spacing w:after="0" w:line="200" w:lineRule="exact"/>
        <w:rPr>
          <w:sz w:val="24"/>
          <w:szCs w:val="24"/>
          <w:color w:val="auto"/>
        </w:rPr>
      </w:pPr>
    </w:p>
    <w:p>
      <w:pPr>
        <w:spacing w:after="0" w:line="372"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7"/>
          <w:szCs w:val="17"/>
          <w:color w:val="auto"/>
        </w:rPr>
        <w:t>TEXAS INSTRUMENTS INCORPORATED</w:t>
      </w:r>
    </w:p>
    <w:p>
      <w:pPr>
        <w:ind w:left="1200"/>
        <w:spacing w:after="0" w:line="238" w:lineRule="auto"/>
        <w:rPr>
          <w:sz w:val="20"/>
          <w:szCs w:val="20"/>
          <w:color w:val="auto"/>
        </w:rPr>
      </w:pPr>
      <w:r>
        <w:rPr>
          <w:rFonts w:ascii="Courier New" w:cs="Courier New" w:eastAsia="Courier New" w:hAnsi="Courier New"/>
          <w:sz w:val="17"/>
          <w:szCs w:val="17"/>
          <w:color w:val="auto"/>
        </w:rPr>
        <w:t>------------------------------------------------------</w:t>
      </w:r>
    </w:p>
    <w:p>
      <w:pPr>
        <w:ind w:left="12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20" w:right="1440" w:bottom="1440" w:gutter="0" w:footer="0" w:header="0"/>
        </w:sectPr>
      </w:pPr>
    </w:p>
    <w:p>
      <w:pPr>
        <w:spacing w:after="0" w:line="200" w:lineRule="exact"/>
        <w:rPr>
          <w:sz w:val="24"/>
          <w:szCs w:val="24"/>
          <w:color w:val="auto"/>
        </w:rPr>
      </w:pPr>
    </w:p>
    <w:p>
      <w:pPr>
        <w:spacing w:after="0" w:line="373"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3"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75-0289970</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3260" w:space="720"/>
            <w:col w:w="6239"/>
          </w:cols>
          <w:pgMar w:left="240" w:top="620" w:right="1440" w:bottom="1440" w:gutter="0" w:footer="0" w:header="0"/>
          <w:type w:val="continuous"/>
        </w:sectPr>
      </w:pPr>
    </w:p>
    <w:p>
      <w:pPr>
        <w:spacing w:after="0" w:line="200" w:lineRule="exact"/>
        <w:rPr>
          <w:sz w:val="24"/>
          <w:szCs w:val="24"/>
          <w:color w:val="auto"/>
        </w:rPr>
      </w:pP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5780" w:type="dxa"/>
            <w:vAlign w:val="bottom"/>
          </w:tcPr>
          <w:p>
            <w:pPr>
              <w:spacing w:after="0"/>
              <w:rPr>
                <w:sz w:val="20"/>
                <w:szCs w:val="20"/>
                <w:color w:val="auto"/>
              </w:rPr>
            </w:pPr>
            <w:r>
              <w:rPr>
                <w:rFonts w:ascii="Courier New" w:cs="Courier New" w:eastAsia="Courier New" w:hAnsi="Courier New"/>
                <w:sz w:val="17"/>
                <w:szCs w:val="17"/>
                <w:color w:val="auto"/>
              </w:rPr>
              <w:t>12500 TI Boulevard, P.O. Box 660199, Dallas, Texas</w:t>
            </w:r>
          </w:p>
        </w:tc>
        <w:tc>
          <w:tcPr>
            <w:tcW w:w="1780" w:type="dxa"/>
            <w:vAlign w:val="bottom"/>
          </w:tcPr>
          <w:p>
            <w:pPr>
              <w:jc w:val="right"/>
              <w:spacing w:after="0"/>
              <w:rPr>
                <w:sz w:val="20"/>
                <w:szCs w:val="20"/>
                <w:color w:val="auto"/>
              </w:rPr>
            </w:pPr>
            <w:r>
              <w:rPr>
                <w:rFonts w:ascii="Courier New" w:cs="Courier New" w:eastAsia="Courier New" w:hAnsi="Courier New"/>
                <w:sz w:val="17"/>
                <w:szCs w:val="17"/>
                <w:color w:val="auto"/>
              </w:rPr>
              <w:t>75266-0199</w:t>
            </w:r>
          </w:p>
        </w:tc>
      </w:tr>
    </w:tbl>
    <w:p>
      <w:pPr>
        <w:spacing w:after="0" w:line="238" w:lineRule="auto"/>
        <w:rPr>
          <w:sz w:val="20"/>
          <w:szCs w:val="20"/>
          <w:color w:val="auto"/>
        </w:rPr>
      </w:pPr>
      <w:r>
        <w:rPr>
          <w:rFonts w:ascii="Courier New" w:cs="Courier New" w:eastAsia="Courier New" w:hAnsi="Courier New"/>
          <w:sz w:val="17"/>
          <w:szCs w:val="17"/>
          <w:color w:val="auto"/>
        </w:rPr>
        <w:t>- ----------------------------------------------------------------------------</w:t>
      </w:r>
    </w:p>
    <w:p>
      <w:pPr>
        <w:spacing w:after="0"/>
        <w:tabs>
          <w:tab w:leader="none" w:pos="654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382"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Registrant's telephone number, including area code 972-995-3773</w:t>
      </w:r>
    </w:p>
    <w:p>
      <w:pPr>
        <w:ind w:left="700"/>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4"/>
          <w:szCs w:val="24"/>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ectPr>
          <w:pgSz w:w="11900" w:h="16838" w:orient="portrait"/>
          <w:cols w:equalWidth="0" w:num="1">
            <w:col w:w="10219"/>
          </w:cols>
          <w:pgMar w:left="240" w:top="620" w:right="1440" w:bottom="1440" w:gutter="0" w:footer="0" w:header="0"/>
          <w:type w:val="continuous"/>
        </w:sectPr>
      </w:pPr>
    </w:p>
    <w:p>
      <w:pPr>
        <w:spacing w:after="0" w:line="1" w:lineRule="exact"/>
        <w:rPr>
          <w:sz w:val="24"/>
          <w:szCs w:val="24"/>
          <w:color w:val="auto"/>
        </w:rPr>
      </w:pPr>
    </w:p>
    <w:p>
      <w:pPr>
        <w:ind w:left="3780" w:hanging="3778"/>
        <w:spacing w:after="0"/>
        <w:rPr>
          <w:sz w:val="20"/>
          <w:szCs w:val="20"/>
          <w:color w:val="auto"/>
        </w:rPr>
      </w:pPr>
      <w:r>
        <w:rPr>
          <w:rFonts w:ascii="Courier New" w:cs="Courier New" w:eastAsia="Courier New" w:hAnsi="Courier New"/>
          <w:sz w:val="17"/>
          <w:szCs w:val="17"/>
          <w:color w:val="auto"/>
        </w:rPr>
        <w:t>requirements for the past 90 days. Yes X</w:t>
      </w:r>
      <w:r>
        <w:rPr>
          <w:sz w:val="20"/>
          <w:szCs w:val="20"/>
          <w:color w:val="auto"/>
        </w:rPr>
        <w:t xml:space="preserve"> </w:t>
      </w:r>
      <w:r>
        <w:rPr>
          <w:rFonts w:ascii="Courier New" w:cs="Courier New" w:eastAsia="Courier New" w:hAnsi="Courier New"/>
          <w:sz w:val="17"/>
          <w:szCs w:val="17"/>
          <w:color w:val="auto"/>
        </w:rPr>
        <w:t>No ----</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4580" w:space="100"/>
            <w:col w:w="5539"/>
          </w:cols>
          <w:pgMar w:left="240" w:top="620"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7"/>
          <w:szCs w:val="17"/>
          <w:color w:val="auto"/>
        </w:rPr>
        <w:t>1,729,947,374</w:t>
      </w:r>
    </w:p>
    <w:p>
      <w:pPr>
        <w:spacing w:after="0" w:line="5"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6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Number of shares of Registrant's common stock outstanding as of</w:t>
      </w:r>
    </w:p>
    <w:p>
      <w:pPr>
        <w:ind w:left="3180"/>
        <w:spacing w:after="0" w:line="238" w:lineRule="auto"/>
        <w:rPr>
          <w:sz w:val="20"/>
          <w:szCs w:val="20"/>
          <w:color w:val="auto"/>
        </w:rPr>
      </w:pPr>
      <w:r>
        <w:rPr>
          <w:rFonts w:ascii="Courier New" w:cs="Courier New" w:eastAsia="Courier New" w:hAnsi="Courier New"/>
          <w:sz w:val="17"/>
          <w:szCs w:val="17"/>
          <w:color w:val="auto"/>
        </w:rPr>
        <w:t>September 30, 2000</w:t>
      </w:r>
    </w:p>
    <w:p>
      <w:pPr>
        <w:sectPr>
          <w:pgSz w:w="11900" w:h="16838" w:orient="portrait"/>
          <w:cols w:equalWidth="0" w:num="1">
            <w:col w:w="10219"/>
          </w:cols>
          <w:pgMar w:left="240" w:top="620" w:right="1440" w:bottom="1440" w:gutter="0" w:footer="0" w:header="0"/>
          <w:type w:val="continuous"/>
        </w:sectPr>
      </w:pPr>
    </w:p>
    <w:bookmarkStart w:id="1" w:name="page2"/>
    <w:bookmarkEnd w:id="1"/>
    <w:p>
      <w:pPr>
        <w:ind w:left="2480"/>
        <w:spacing w:after="0"/>
        <w:rPr>
          <w:sz w:val="20"/>
          <w:szCs w:val="20"/>
          <w:color w:val="auto"/>
        </w:rPr>
      </w:pPr>
      <w:r>
        <w:rPr>
          <w:rFonts w:ascii="Courier New" w:cs="Courier New" w:eastAsia="Courier New" w:hAnsi="Courier New"/>
          <w:sz w:val="17"/>
          <w:szCs w:val="17"/>
          <w:color w:val="auto"/>
        </w:rPr>
        <w:t>PART I - FINANCIAL INFORMATION</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0" w:lineRule="exact"/>
        <w:rPr>
          <w:sz w:val="20"/>
          <w:szCs w:val="20"/>
          <w:color w:val="auto"/>
        </w:rPr>
      </w:pPr>
    </w:p>
    <w:p>
      <w:pPr>
        <w:spacing w:after="0" w:line="372" w:lineRule="exact"/>
        <w:rPr>
          <w:sz w:val="20"/>
          <w:szCs w:val="20"/>
          <w:color w:val="auto"/>
        </w:rPr>
      </w:pPr>
    </w:p>
    <w:p>
      <w:pPr>
        <w:ind w:left="1700"/>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2380"/>
        <w:spacing w:after="0" w:line="238" w:lineRule="auto"/>
        <w:rPr>
          <w:sz w:val="20"/>
          <w:szCs w:val="20"/>
          <w:color w:val="auto"/>
        </w:rPr>
      </w:pPr>
      <w:r>
        <w:rPr>
          <w:rFonts w:ascii="Courier New" w:cs="Courier New" w:eastAsia="Courier New" w:hAnsi="Courier New"/>
          <w:sz w:val="17"/>
          <w:szCs w:val="17"/>
          <w:color w:val="auto"/>
        </w:rPr>
        <w:t>Consolidated Financial Statements</w:t>
      </w:r>
    </w:p>
    <w:p>
      <w:pPr>
        <w:ind w:left="1600"/>
        <w:spacing w:after="0" w:line="238" w:lineRule="auto"/>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60" w:type="dxa"/>
            <w:vAlign w:val="bottom"/>
          </w:tcPr>
          <w:p>
            <w:pPr>
              <w:spacing w:after="0"/>
              <w:rPr>
                <w:sz w:val="16"/>
                <w:szCs w:val="16"/>
                <w:color w:val="auto"/>
              </w:rPr>
            </w:pPr>
          </w:p>
        </w:tc>
        <w:tc>
          <w:tcPr>
            <w:tcW w:w="2500" w:type="dxa"/>
            <w:vAlign w:val="bottom"/>
            <w:gridSpan w:val="4"/>
          </w:tcPr>
          <w:p>
            <w:pPr>
              <w:jc w:val="right"/>
              <w:ind w:right="217"/>
              <w:spacing w:after="0"/>
              <w:rPr>
                <w:sz w:val="20"/>
                <w:szCs w:val="20"/>
                <w:color w:val="auto"/>
              </w:rPr>
            </w:pPr>
            <w:r>
              <w:rPr>
                <w:rFonts w:ascii="Courier New" w:cs="Courier New" w:eastAsia="Courier New" w:hAnsi="Courier New"/>
                <w:sz w:val="17"/>
                <w:szCs w:val="17"/>
                <w:color w:val="auto"/>
                <w:w w:val="97"/>
              </w:rPr>
              <w:t>For Three Months Ended</w:t>
            </w:r>
          </w:p>
        </w:tc>
        <w:tc>
          <w:tcPr>
            <w:tcW w:w="23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Nine Months Ended</w:t>
            </w:r>
          </w:p>
        </w:tc>
      </w:tr>
      <w:tr>
        <w:trPr>
          <w:trHeight w:val="191"/>
        </w:trPr>
        <w:tc>
          <w:tcPr>
            <w:tcW w:w="596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Courier New" w:cs="Courier New" w:eastAsia="Courier New" w:hAnsi="Courier New"/>
                <w:sz w:val="10"/>
                <w:szCs w:val="10"/>
                <w:color w:val="auto"/>
                <w:w w:val="74"/>
              </w:rPr>
              <w:t>----------------------</w:t>
            </w: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80" w:type="dxa"/>
            <w:vAlign w:val="bottom"/>
            <w:gridSpan w:val="4"/>
          </w:tcPr>
          <w:p>
            <w:pPr>
              <w:ind w:left="30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5960" w:type="dxa"/>
            <w:vAlign w:val="bottom"/>
          </w:tcPr>
          <w:p>
            <w:pPr>
              <w:spacing w:after="0"/>
              <w:rPr>
                <w:sz w:val="16"/>
                <w:szCs w:val="16"/>
                <w:color w:val="auto"/>
              </w:rPr>
            </w:pPr>
          </w:p>
        </w:tc>
        <w:tc>
          <w:tcPr>
            <w:tcW w:w="100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Sept 30</w:t>
            </w:r>
          </w:p>
        </w:tc>
        <w:tc>
          <w:tcPr>
            <w:tcW w:w="15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Sept 30</w:t>
            </w:r>
          </w:p>
        </w:tc>
        <w:tc>
          <w:tcPr>
            <w:tcW w:w="134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Sept 30</w:t>
            </w:r>
          </w:p>
        </w:tc>
        <w:tc>
          <w:tcPr>
            <w:tcW w:w="104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Sept 30</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w:t>
            </w:r>
          </w:p>
        </w:tc>
        <w:tc>
          <w:tcPr>
            <w:tcW w:w="400" w:type="dxa"/>
            <w:vAlign w:val="bottom"/>
          </w:tcPr>
          <w:p>
            <w:pPr>
              <w:spacing w:after="0"/>
              <w:rPr>
                <w:sz w:val="16"/>
                <w:szCs w:val="16"/>
                <w:color w:val="auto"/>
              </w:rPr>
            </w:pPr>
          </w:p>
        </w:tc>
        <w:tc>
          <w:tcPr>
            <w:tcW w:w="6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3"/>
              </w:rPr>
              <w:t>2000</w:t>
            </w:r>
          </w:p>
        </w:tc>
        <w:tc>
          <w:tcPr>
            <w:tcW w:w="46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1999</w:t>
            </w:r>
          </w:p>
        </w:tc>
        <w:tc>
          <w:tcPr>
            <w:tcW w:w="600" w:type="dxa"/>
            <w:vAlign w:val="bottom"/>
          </w:tcPr>
          <w:p>
            <w:pPr>
              <w:spacing w:after="0"/>
              <w:rPr>
                <w:sz w:val="16"/>
                <w:szCs w:val="16"/>
                <w:color w:val="auto"/>
              </w:rPr>
            </w:pPr>
          </w:p>
        </w:tc>
        <w:tc>
          <w:tcPr>
            <w:tcW w:w="7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2000</w:t>
            </w:r>
          </w:p>
        </w:tc>
        <w:tc>
          <w:tcPr>
            <w:tcW w:w="34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1999</w:t>
            </w:r>
          </w:p>
        </w:tc>
      </w:tr>
      <w:tr>
        <w:trPr>
          <w:trHeight w:val="191"/>
        </w:trPr>
        <w:tc>
          <w:tcPr>
            <w:tcW w:w="5960" w:type="dxa"/>
            <w:vAlign w:val="bottom"/>
          </w:tcPr>
          <w:p>
            <w:pPr>
              <w:spacing w:after="0"/>
              <w:rPr>
                <w:sz w:val="16"/>
                <w:szCs w:val="16"/>
                <w:color w:val="auto"/>
              </w:rPr>
            </w:pPr>
          </w:p>
        </w:tc>
        <w:tc>
          <w:tcPr>
            <w:tcW w:w="100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w w:val="98"/>
              </w:rPr>
              <w:t>Net revenues...............................................</w:t>
            </w:r>
          </w:p>
        </w:tc>
        <w:tc>
          <w:tcPr>
            <w:tcW w:w="100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$ 3,160</w:t>
            </w:r>
          </w:p>
        </w:tc>
        <w:tc>
          <w:tcPr>
            <w:tcW w:w="1500" w:type="dxa"/>
            <w:vAlign w:val="bottom"/>
            <w:gridSpan w:val="2"/>
          </w:tcPr>
          <w:p>
            <w:pPr>
              <w:jc w:val="right"/>
              <w:ind w:right="417"/>
              <w:spacing w:after="0"/>
              <w:rPr>
                <w:sz w:val="20"/>
                <w:szCs w:val="20"/>
                <w:color w:val="auto"/>
              </w:rPr>
            </w:pPr>
            <w:r>
              <w:rPr>
                <w:rFonts w:ascii="Courier New" w:cs="Courier New" w:eastAsia="Courier New" w:hAnsi="Courier New"/>
                <w:sz w:val="17"/>
                <w:szCs w:val="17"/>
                <w:color w:val="auto"/>
              </w:rPr>
              <w:t>$ 2,515</w:t>
            </w:r>
          </w:p>
        </w:tc>
        <w:tc>
          <w:tcPr>
            <w:tcW w:w="134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$ 8,851</w:t>
            </w:r>
          </w:p>
        </w:tc>
        <w:tc>
          <w:tcPr>
            <w:tcW w:w="10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$ 7,121</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costs and expenses: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59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Cost of revenues.........................................</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1,644</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1,307</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4,548</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3,726</w:t>
            </w:r>
          </w:p>
        </w:tc>
      </w:tr>
      <w:tr>
        <w:trPr>
          <w:trHeight w:val="191"/>
        </w:trPr>
        <w:tc>
          <w:tcPr>
            <w:tcW w:w="59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Research and development.................................</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533</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350</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1,306</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1,046</w:t>
            </w:r>
          </w:p>
        </w:tc>
      </w:tr>
      <w:tr>
        <w:trPr>
          <w:trHeight w:val="191"/>
        </w:trPr>
        <w:tc>
          <w:tcPr>
            <w:tcW w:w="59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Marketing, general and administrative....................</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453</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398</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1,268</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1,096</w:t>
            </w:r>
          </w:p>
        </w:tc>
      </w:tr>
      <w:tr>
        <w:trPr>
          <w:trHeight w:val="191"/>
        </w:trPr>
        <w:tc>
          <w:tcPr>
            <w:tcW w:w="596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9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98"/>
              </w:rPr>
              <w:t>Total..................................................</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2,630</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2,055</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7,122</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5,868</w:t>
            </w:r>
          </w:p>
        </w:tc>
      </w:tr>
      <w:tr>
        <w:trPr>
          <w:trHeight w:val="191"/>
        </w:trPr>
        <w:tc>
          <w:tcPr>
            <w:tcW w:w="596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Profit from operations.....................................</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530</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460</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1,729</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1,253</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Other income (expense) net.................................</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565</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156</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2,040</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313</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Interest on loans..........................................</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18</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58</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55</w:t>
            </w:r>
          </w:p>
        </w:tc>
      </w:tr>
      <w:tr>
        <w:trPr>
          <w:trHeight w:val="191"/>
        </w:trPr>
        <w:tc>
          <w:tcPr>
            <w:tcW w:w="596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Income before provision for income taxes...................</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4"/>
              </w:rPr>
              <w:t>1,078</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598</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3,711</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1,511</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Provision for income taxes.................................</w:t>
            </w:r>
          </w:p>
        </w:tc>
        <w:tc>
          <w:tcPr>
            <w:tcW w:w="400" w:type="dxa"/>
            <w:vAlign w:val="bottom"/>
          </w:tcPr>
          <w:p>
            <w:pPr>
              <w:spacing w:after="0"/>
              <w:rPr>
                <w:sz w:val="16"/>
                <w:szCs w:val="16"/>
                <w:color w:val="auto"/>
              </w:rPr>
            </w:pP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399</w:t>
            </w:r>
          </w:p>
        </w:tc>
        <w:tc>
          <w:tcPr>
            <w:tcW w:w="46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196</w:t>
            </w: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1,286</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505</w:t>
            </w:r>
          </w:p>
        </w:tc>
      </w:tr>
      <w:tr>
        <w:trPr>
          <w:trHeight w:val="191"/>
        </w:trPr>
        <w:tc>
          <w:tcPr>
            <w:tcW w:w="596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Net income.................................................</w:t>
            </w:r>
          </w:p>
        </w:tc>
        <w:tc>
          <w:tcPr>
            <w:tcW w:w="4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679</w:t>
            </w:r>
          </w:p>
        </w:tc>
        <w:tc>
          <w:tcPr>
            <w:tcW w:w="4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402</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$ 2,425</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$ 1,006</w:t>
            </w:r>
          </w:p>
        </w:tc>
      </w:tr>
      <w:tr>
        <w:trPr>
          <w:trHeight w:val="191"/>
        </w:trPr>
        <w:tc>
          <w:tcPr>
            <w:tcW w:w="5960" w:type="dxa"/>
            <w:vAlign w:val="bottom"/>
          </w:tcPr>
          <w:p>
            <w:pPr>
              <w:spacing w:after="0"/>
              <w:rPr>
                <w:sz w:val="16"/>
                <w:szCs w:val="16"/>
                <w:color w:val="auto"/>
              </w:rPr>
            </w:pPr>
          </w:p>
        </w:tc>
        <w:tc>
          <w:tcPr>
            <w:tcW w:w="10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96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Diluted earnings per common share..........................</w:t>
            </w:r>
          </w:p>
        </w:tc>
        <w:tc>
          <w:tcPr>
            <w:tcW w:w="4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w:t>
            </w:r>
          </w:p>
        </w:tc>
        <w:tc>
          <w:tcPr>
            <w:tcW w:w="46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.23</w:t>
            </w: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1.36</w:t>
            </w:r>
          </w:p>
        </w:tc>
        <w:tc>
          <w:tcPr>
            <w:tcW w:w="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.58</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w w:val="98"/>
              </w:rPr>
              <w:t>Basic earnings per common share............................</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.39</w:t>
            </w:r>
          </w:p>
        </w:tc>
        <w:tc>
          <w:tcPr>
            <w:tcW w:w="4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.24</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1.42</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.60</w:t>
            </w:r>
          </w:p>
        </w:tc>
      </w:tr>
      <w:tr>
        <w:trPr>
          <w:trHeight w:val="382"/>
        </w:trPr>
        <w:tc>
          <w:tcPr>
            <w:tcW w:w="5960" w:type="dxa"/>
            <w:vAlign w:val="bottom"/>
          </w:tcPr>
          <w:p>
            <w:pPr>
              <w:spacing w:after="0"/>
              <w:rPr>
                <w:sz w:val="20"/>
                <w:szCs w:val="20"/>
                <w:color w:val="auto"/>
              </w:rPr>
            </w:pPr>
            <w:r>
              <w:rPr>
                <w:rFonts w:ascii="Courier New" w:cs="Courier New" w:eastAsia="Courier New" w:hAnsi="Courier New"/>
                <w:sz w:val="17"/>
                <w:szCs w:val="17"/>
                <w:color w:val="auto"/>
                <w:w w:val="98"/>
              </w:rPr>
              <w:t>Cash dividends declared per share of common stock..........</w:t>
            </w:r>
          </w:p>
        </w:tc>
        <w:tc>
          <w:tcPr>
            <w:tcW w:w="40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.021</w:t>
            </w:r>
          </w:p>
        </w:tc>
        <w:tc>
          <w:tcPr>
            <w:tcW w:w="46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.021</w:t>
            </w:r>
          </w:p>
        </w:tc>
        <w:tc>
          <w:tcPr>
            <w:tcW w:w="600" w:type="dxa"/>
            <w:vAlign w:val="bottom"/>
          </w:tcPr>
          <w:p>
            <w:pPr>
              <w:ind w:left="500"/>
              <w:spacing w:after="0"/>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.064</w:t>
            </w:r>
          </w:p>
        </w:tc>
        <w:tc>
          <w:tcPr>
            <w:tcW w:w="340" w:type="dxa"/>
            <w:vAlign w:val="bottom"/>
          </w:tcPr>
          <w:p>
            <w:pPr>
              <w:ind w:left="240"/>
              <w:spacing w:after="0"/>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.064</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CASH FLOWS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3"/>
        </w:trPr>
        <w:tc>
          <w:tcPr>
            <w:tcW w:w="6360" w:type="dxa"/>
            <w:vAlign w:val="bottom"/>
            <w:gridSpan w:val="2"/>
          </w:tcPr>
          <w:p>
            <w:pPr>
              <w:spacing w:after="0"/>
              <w:rPr>
                <w:sz w:val="20"/>
                <w:szCs w:val="20"/>
                <w:color w:val="auto"/>
              </w:rPr>
            </w:pPr>
            <w:r>
              <w:rPr>
                <w:rFonts w:ascii="Courier New" w:cs="Courier New" w:eastAsia="Courier New" w:hAnsi="Courier New"/>
                <w:sz w:val="17"/>
                <w:szCs w:val="17"/>
                <w:color w:val="auto"/>
                <w:w w:val="71"/>
              </w:rPr>
              <w:t>Net cash provided by operating activities..............................................</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gridSpan w:val="2"/>
          </w:tcPr>
          <w:p>
            <w:pPr>
              <w:jc w:val="right"/>
              <w:ind w:right="77"/>
              <w:spacing w:after="0"/>
              <w:rPr>
                <w:sz w:val="20"/>
                <w:szCs w:val="20"/>
                <w:color w:val="auto"/>
              </w:rPr>
            </w:pPr>
            <w:r>
              <w:rPr>
                <w:rFonts w:ascii="Courier New" w:cs="Courier New" w:eastAsia="Courier New" w:hAnsi="Courier New"/>
                <w:sz w:val="17"/>
                <w:szCs w:val="17"/>
                <w:color w:val="auto"/>
              </w:rPr>
              <w:t>$ 1,530</w:t>
            </w:r>
          </w:p>
        </w:tc>
        <w:tc>
          <w:tcPr>
            <w:tcW w:w="1040" w:type="dxa"/>
            <w:vAlign w:val="bottom"/>
            <w:gridSpan w:val="2"/>
          </w:tcPr>
          <w:p>
            <w:pPr>
              <w:jc w:val="right"/>
              <w:ind w:right="17"/>
              <w:spacing w:after="0"/>
              <w:rPr>
                <w:sz w:val="20"/>
                <w:szCs w:val="20"/>
                <w:color w:val="auto"/>
              </w:rPr>
            </w:pPr>
            <w:r>
              <w:rPr>
                <w:rFonts w:ascii="Courier New" w:cs="Courier New" w:eastAsia="Courier New" w:hAnsi="Courier New"/>
                <w:sz w:val="17"/>
                <w:szCs w:val="17"/>
                <w:color w:val="auto"/>
              </w:rPr>
              <w:t>$ 1,304</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Additions to property, plant and equipment...........................................</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(1,789)</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(887)</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Purchases of short-term investments..................................................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(4,304)</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(1,818)</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Sales and maturities of short-term investments.......................................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2,730</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1,688</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Purchases of noncurrent investments..................................................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Sales of noncurrent investments......................................................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2,160</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209</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Acquisitions of businesses, net of cash acquired.....................................</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(469)</w:t>
            </w:r>
          </w:p>
        </w:tc>
      </w:tr>
      <w:tr>
        <w:trPr>
          <w:trHeight w:val="191"/>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Net cash used in investing activities..................................................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2"/>
              </w:rPr>
              <w:t>(1,289)</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5"/>
              </w:rPr>
              <w:t>(1,351)</w:t>
            </w:r>
          </w:p>
        </w:tc>
      </w:tr>
      <w:tr>
        <w:trPr>
          <w:trHeight w:val="383"/>
        </w:trPr>
        <w:tc>
          <w:tcPr>
            <w:tcW w:w="59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Additions to loans payable...........................................................</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11</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Payments on loans payable............................................................</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Additions to long-term dept..........................................................</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249</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400</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Payments on long-term debt...........................................................</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(250)</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(254)</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Dividends paid on common stock.......................................................</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(104)</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Sales and other common stock transactions............................................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191</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182</w:t>
            </w:r>
          </w:p>
        </w:tc>
      </w:tr>
      <w:tr>
        <w:trPr>
          <w:trHeight w:val="191"/>
        </w:trPr>
        <w:tc>
          <w:tcPr>
            <w:tcW w:w="636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w w:val="70"/>
              </w:rPr>
              <w:t>Common stock repurchase program......................................................</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(133)</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(417)</w:t>
            </w:r>
          </w:p>
        </w:tc>
      </w:tr>
      <w:tr>
        <w:trPr>
          <w:trHeight w:val="191"/>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Net cash used in financing activities..................................................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(191)</w:t>
            </w:r>
          </w:p>
        </w:tc>
      </w:tr>
      <w:tr>
        <w:trPr>
          <w:trHeight w:val="383"/>
        </w:trPr>
        <w:tc>
          <w:tcPr>
            <w:tcW w:w="6360" w:type="dxa"/>
            <w:vAlign w:val="bottom"/>
            <w:gridSpan w:val="2"/>
          </w:tcPr>
          <w:p>
            <w:pPr>
              <w:spacing w:after="0"/>
              <w:rPr>
                <w:sz w:val="20"/>
                <w:szCs w:val="20"/>
                <w:color w:val="auto"/>
              </w:rPr>
            </w:pPr>
            <w:r>
              <w:rPr>
                <w:rFonts w:ascii="Courier New" w:cs="Courier New" w:eastAsia="Courier New" w:hAnsi="Courier New"/>
                <w:sz w:val="17"/>
                <w:szCs w:val="17"/>
                <w:color w:val="auto"/>
                <w:w w:val="71"/>
              </w:rPr>
              <w:t>Effect of exchange rate changes on cash................................................</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c>
          <w:tcPr>
            <w:tcW w:w="3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191"/>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Net increase (decrease) in cash and cash equivalents...................................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157</w:t>
            </w:r>
          </w:p>
        </w:tc>
        <w:tc>
          <w:tcPr>
            <w:tcW w:w="340" w:type="dxa"/>
            <w:vAlign w:val="bottom"/>
          </w:tcPr>
          <w:p>
            <w:pPr>
              <w:spacing w:after="0"/>
              <w:rPr>
                <w:sz w:val="16"/>
                <w:szCs w:val="16"/>
                <w:color w:val="auto"/>
              </w:rPr>
            </w:pP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(294)</w:t>
            </w:r>
          </w:p>
        </w:tc>
      </w:tr>
      <w:tr>
        <w:trPr>
          <w:trHeight w:val="191"/>
        </w:trPr>
        <w:tc>
          <w:tcPr>
            <w:tcW w:w="63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Cash and cash equivalents, January 1...................................................</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781</w:t>
            </w:r>
          </w:p>
        </w:tc>
        <w:tc>
          <w:tcPr>
            <w:tcW w:w="34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705</w:t>
            </w:r>
          </w:p>
        </w:tc>
      </w:tr>
      <w:tr>
        <w:trPr>
          <w:trHeight w:val="191"/>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36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w w:val="71"/>
              </w:rPr>
              <w:t>Cash and cash equivalents, September 30................................................</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77"/>
              </w:rPr>
              <w:t>$</w:t>
            </w:r>
          </w:p>
        </w:tc>
        <w:tc>
          <w:tcPr>
            <w:tcW w:w="7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938</w:t>
            </w:r>
          </w:p>
        </w:tc>
        <w:tc>
          <w:tcPr>
            <w:tcW w:w="3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w w:val="77"/>
              </w:rPr>
              <w:t>$</w:t>
            </w: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411</w:t>
            </w:r>
          </w:p>
        </w:tc>
      </w:tr>
      <w:tr>
        <w:trPr>
          <w:trHeight w:val="191"/>
        </w:trPr>
        <w:tc>
          <w:tcPr>
            <w:tcW w:w="5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5960" w:type="dxa"/>
            <w:vAlign w:val="bottom"/>
          </w:tcPr>
          <w:p>
            <w:pPr>
              <w:ind w:left="3880"/>
              <w:spacing w:after="0"/>
              <w:rPr>
                <w:sz w:val="20"/>
                <w:szCs w:val="20"/>
                <w:color w:val="auto"/>
              </w:rPr>
            </w:pPr>
            <w:r>
              <w:rPr>
                <w:rFonts w:ascii="Courier New" w:cs="Courier New" w:eastAsia="Courier New" w:hAnsi="Courier New"/>
                <w:sz w:val="17"/>
                <w:szCs w:val="17"/>
                <w:color w:val="auto"/>
              </w:rPr>
              <w:t>2</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840"/>
          </w:cols>
          <w:pgMar w:left="240" w:top="683" w:right="819" w:bottom="671" w:gutter="0" w:footer="0" w:header="0"/>
        </w:sectPr>
      </w:pPr>
    </w:p>
    <w:bookmarkStart w:id="2" w:name="page3"/>
    <w:bookmarkEnd w:id="2"/>
    <w:p>
      <w:pPr>
        <w:jc w:val="center"/>
        <w:ind w:right="115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1159"/>
        <w:spacing w:after="0" w:line="238" w:lineRule="auto"/>
        <w:rPr>
          <w:sz w:val="20"/>
          <w:szCs w:val="20"/>
          <w:color w:val="auto"/>
        </w:rPr>
      </w:pPr>
      <w:r>
        <w:rPr>
          <w:rFonts w:ascii="Courier New" w:cs="Courier New" w:eastAsia="Courier New" w:hAnsi="Courier New"/>
          <w:sz w:val="17"/>
          <w:szCs w:val="17"/>
          <w:color w:val="auto"/>
        </w:rPr>
        <w:t>Consolidated Financial Statements</w:t>
      </w:r>
    </w:p>
    <w:p>
      <w:pPr>
        <w:jc w:val="center"/>
        <w:ind w:right="1159"/>
        <w:spacing w:after="0" w:line="238" w:lineRule="auto"/>
        <w:rPr>
          <w:sz w:val="20"/>
          <w:szCs w:val="20"/>
          <w:color w:val="auto"/>
        </w:rPr>
      </w:pPr>
      <w:r>
        <w:rPr>
          <w:rFonts w:ascii="Courier New" w:cs="Courier New" w:eastAsia="Courier New" w:hAnsi="Courier New"/>
          <w:sz w:val="17"/>
          <w:szCs w:val="17"/>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Sept 30</w:t>
            </w:r>
          </w:p>
        </w:tc>
        <w:tc>
          <w:tcPr>
            <w:tcW w:w="11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Dec. 31</w:t>
            </w:r>
          </w:p>
        </w:tc>
      </w:tr>
      <w:tr>
        <w:trPr>
          <w:trHeight w:val="191"/>
        </w:trPr>
        <w:tc>
          <w:tcPr>
            <w:tcW w:w="702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Sheet</w:t>
            </w:r>
          </w:p>
        </w:tc>
        <w:tc>
          <w:tcPr>
            <w:tcW w:w="240" w:type="dxa"/>
            <w:vAlign w:val="bottom"/>
          </w:tcPr>
          <w:p>
            <w:pPr>
              <w:spacing w:after="0"/>
              <w:rPr>
                <w:sz w:val="16"/>
                <w:szCs w:val="16"/>
                <w:color w:val="auto"/>
              </w:rPr>
            </w:pPr>
          </w:p>
        </w:tc>
        <w:tc>
          <w:tcPr>
            <w:tcW w:w="1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2000</w:t>
            </w:r>
          </w:p>
        </w:tc>
        <w:tc>
          <w:tcPr>
            <w:tcW w:w="300" w:type="dxa"/>
            <w:vAlign w:val="bottom"/>
          </w:tcPr>
          <w:p>
            <w:pPr>
              <w:spacing w:after="0"/>
              <w:rPr>
                <w:sz w:val="16"/>
                <w:szCs w:val="16"/>
                <w:color w:val="auto"/>
              </w:rPr>
            </w:pP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1999</w:t>
            </w:r>
          </w:p>
        </w:tc>
      </w:tr>
      <w:tr>
        <w:trPr>
          <w:trHeight w:val="191"/>
        </w:trPr>
        <w:tc>
          <w:tcPr>
            <w:tcW w:w="70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40" w:type="dxa"/>
            <w:vAlign w:val="bottom"/>
          </w:tcPr>
          <w:p>
            <w:pPr>
              <w:spacing w:after="0"/>
              <w:rPr>
                <w:sz w:val="16"/>
                <w:szCs w:val="16"/>
                <w:color w:val="auto"/>
              </w:rPr>
            </w:pPr>
          </w:p>
        </w:tc>
        <w:tc>
          <w:tcPr>
            <w:tcW w:w="10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383"/>
        </w:trPr>
        <w:tc>
          <w:tcPr>
            <w:tcW w:w="70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70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Cash and cash equivalents..........................................</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938</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781</w:t>
            </w: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Short-term investments.............................................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3,617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2,045</w:t>
            </w: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Accounts receivable, less allowance for losses of</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$59 million in 2000 and $67 million in 1999......................</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2,362</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1,909</w:t>
            </w: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Inventories: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Raw materials....................................................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221</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167</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Work in process..................................................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647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501</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Finished goods...................................................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254</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226</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Inventories....................................................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1,122</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894</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Prepaid expenses...................................................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109</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569</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615</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8,708</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6,353</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Property, plant and equipment........................................</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8,478</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7,338</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Less accumulated depreciation......................................</w:t>
            </w:r>
          </w:p>
        </w:tc>
        <w:tc>
          <w:tcPr>
            <w:tcW w:w="2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(3,623)</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(3,405)</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Property, plant and equipment (net)..............................</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4,855</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3,933</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Investments..........................................................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3,297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4,205</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Goodwill and other acquisition-related intangibles...................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1,017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502</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Other assets.........................................................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409</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393</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Total assets.........................................................</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$18,339</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$15,427</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0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702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Loans payable and current portion long-term debt...................</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204</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331</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Accounts payable...................................................</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828</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687</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Accrued and other current liabilities..............................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1,837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1,679</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2,869</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2,697</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Long-term debt.......................................................</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1,213</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1,099</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Accrued retirement costs.............................................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687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797</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822</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998</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Deferred credits and other liabilities...............................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258</w:t>
            </w:r>
          </w:p>
        </w:tc>
      </w:tr>
      <w:tr>
        <w:trPr>
          <w:trHeight w:val="383"/>
        </w:trPr>
        <w:tc>
          <w:tcPr>
            <w:tcW w:w="70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Preferred stock, $25 par value. Authorized - 10,000,000 shares.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Participating cumulative preferred. None issued..................</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Common stock, $1 par value. Authorized -  2,400,000,000 shares.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Shares issued: 2000 - 1,731,364,999; 1999 - 851,448,197..........</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1,731</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851</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Paid-in capital....................................................</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1,102</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877</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Retained earnings..................................................</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8,727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6,406</w:t>
            </w:r>
          </w:p>
        </w:tc>
      </w:tr>
      <w:tr>
        <w:trPr>
          <w:trHeight w:val="191"/>
        </w:trPr>
        <w:tc>
          <w:tcPr>
            <w:tcW w:w="70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Less treasury common stock at cost.</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Shares: 2000 - 1,417,625; 1999 - 1,034,757.......................</w:t>
            </w:r>
          </w:p>
        </w:tc>
        <w:tc>
          <w:tcPr>
            <w:tcW w:w="2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(123)</w:t>
            </w:r>
          </w:p>
        </w:tc>
        <w:tc>
          <w:tcPr>
            <w:tcW w:w="30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(109)</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Accumulated other comprehensive income.............................</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1,151</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1,553</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Deferred compensation .............................................</w:t>
            </w:r>
          </w:p>
        </w:tc>
        <w:tc>
          <w:tcPr>
            <w:tcW w:w="2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(147)</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Total stockholders' equity.......................................</w:t>
            </w:r>
          </w:p>
        </w:tc>
        <w:tc>
          <w:tcPr>
            <w:tcW w:w="2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12,441</w:t>
            </w:r>
          </w:p>
        </w:tc>
        <w:tc>
          <w:tcPr>
            <w:tcW w:w="300" w:type="dxa"/>
            <w:vAlign w:val="bottom"/>
          </w:tcPr>
          <w:p>
            <w:pPr>
              <w:spacing w:after="0"/>
              <w:rPr>
                <w:sz w:val="16"/>
                <w:szCs w:val="16"/>
                <w:color w:val="auto"/>
              </w:rPr>
            </w:pPr>
          </w:p>
        </w:tc>
        <w:tc>
          <w:tcPr>
            <w:tcW w:w="8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9,578</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0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Total liabilities and stockholders' equity...........................</w:t>
            </w: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$18,339</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$15,427</w:t>
            </w:r>
          </w:p>
        </w:tc>
      </w:tr>
      <w:tr>
        <w:trPr>
          <w:trHeight w:val="191"/>
        </w:trPr>
        <w:tc>
          <w:tcPr>
            <w:tcW w:w="7020" w:type="dxa"/>
            <w:vAlign w:val="bottom"/>
          </w:tcPr>
          <w:p>
            <w:pPr>
              <w:spacing w:after="0"/>
              <w:rPr>
                <w:sz w:val="16"/>
                <w:szCs w:val="16"/>
                <w:color w:val="auto"/>
              </w:rPr>
            </w:pPr>
          </w:p>
        </w:tc>
        <w:tc>
          <w:tcPr>
            <w:tcW w:w="12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7020" w:type="dxa"/>
            <w:vAlign w:val="bottom"/>
          </w:tcPr>
          <w:p>
            <w:pPr>
              <w:jc w:val="right"/>
              <w:ind w:right="2957"/>
              <w:spacing w:after="0"/>
              <w:rPr>
                <w:sz w:val="20"/>
                <w:szCs w:val="20"/>
                <w:color w:val="auto"/>
              </w:rPr>
            </w:pPr>
            <w:r>
              <w:rPr>
                <w:rFonts w:ascii="Courier New" w:cs="Courier New" w:eastAsia="Courier New" w:hAnsi="Courier New"/>
                <w:sz w:val="17"/>
                <w:szCs w:val="17"/>
                <w:color w:val="auto"/>
              </w:rPr>
              <w:t>3</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83" w:right="1440" w:bottom="1054" w:gutter="0" w:footer="0" w:header="0"/>
        </w:sectPr>
      </w:pPr>
    </w:p>
    <w:bookmarkStart w:id="3" w:name="page4"/>
    <w:bookmarkEnd w:id="3"/>
    <w:p>
      <w:pPr>
        <w:jc w:val="center"/>
        <w:ind w:right="215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2159"/>
        <w:spacing w:after="0" w:line="238" w:lineRule="auto"/>
        <w:rPr>
          <w:sz w:val="20"/>
          <w:szCs w:val="20"/>
          <w:color w:val="auto"/>
        </w:rPr>
      </w:pPr>
      <w:r>
        <w:rPr>
          <w:rFonts w:ascii="Courier New" w:cs="Courier New" w:eastAsia="Courier New" w:hAnsi="Courier New"/>
          <w:sz w:val="17"/>
          <w:szCs w:val="17"/>
          <w:color w:val="auto"/>
        </w:rPr>
        <w:t>Notes to Financial Statements</w:t>
      </w:r>
    </w:p>
    <w:p>
      <w:pPr>
        <w:spacing w:after="0" w:line="197" w:lineRule="exact"/>
        <w:rPr>
          <w:sz w:val="20"/>
          <w:szCs w:val="20"/>
          <w:color w:val="auto"/>
        </w:rPr>
      </w:pPr>
    </w:p>
    <w:p>
      <w:pPr>
        <w:ind w:right="2659" w:firstLine="2"/>
        <w:spacing w:after="0" w:line="237" w:lineRule="auto"/>
        <w:tabs>
          <w:tab w:leader="none" w:pos="49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Diluted earnings per common share are based on average common and dilutive potential common shares outstanding (1,791.9 and 1,750.7 million shares for the third quarters of 2000 and 1999, and 1,788.3 and 1,739.3 million shares for the nine months ended September 30, 2000 and 1999). All financial information has been restated to reflect the May, 2000 two-for-one stock split and the acquisition of Burr-Brown Corporation in August, 2000, which was accounted for as a pooling of interests.</w:t>
      </w:r>
    </w:p>
    <w:p>
      <w:pPr>
        <w:spacing w:after="0" w:line="198" w:lineRule="exact"/>
        <w:rPr>
          <w:rFonts w:ascii="Courier New" w:cs="Courier New" w:eastAsia="Courier New" w:hAnsi="Courier New"/>
          <w:sz w:val="17"/>
          <w:szCs w:val="17"/>
          <w:color w:val="auto"/>
        </w:rPr>
      </w:pPr>
    </w:p>
    <w:p>
      <w:pPr>
        <w:ind w:right="2659" w:firstLine="2"/>
        <w:spacing w:after="0" w:line="237" w:lineRule="auto"/>
        <w:tabs>
          <w:tab w:leader="none" w:pos="49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Consistent with new accounting guidelines from the Emerging Issues Task Force, net cash provided by operating activities for year-to-date 2000 and 1999 includes $228 million and $100 million of income tax benefit realized from the exercise of nonqualified stock options. Previously the benefit was included in cash flows from financing activities.</w:t>
      </w:r>
    </w:p>
    <w:p>
      <w:pPr>
        <w:spacing w:after="0" w:line="196" w:lineRule="exact"/>
        <w:rPr>
          <w:rFonts w:ascii="Courier New" w:cs="Courier New" w:eastAsia="Courier New" w:hAnsi="Courier New"/>
          <w:sz w:val="17"/>
          <w:szCs w:val="17"/>
          <w:color w:val="auto"/>
        </w:rPr>
      </w:pPr>
    </w:p>
    <w:p>
      <w:pPr>
        <w:ind w:right="2859" w:firstLine="2"/>
        <w:spacing w:after="0" w:line="235" w:lineRule="auto"/>
        <w:tabs>
          <w:tab w:leader="none" w:pos="497"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third quarter of 2000, TI closed three major acquisitions, all stock-for-stock transactions:</w:t>
      </w:r>
    </w:p>
    <w:p>
      <w:pPr>
        <w:spacing w:after="0" w:line="5" w:lineRule="exact"/>
        <w:rPr>
          <w:rFonts w:ascii="Courier New" w:cs="Courier New" w:eastAsia="Courier New" w:hAnsi="Courier New"/>
          <w:sz w:val="17"/>
          <w:szCs w:val="17"/>
          <w:color w:val="auto"/>
        </w:rPr>
      </w:pPr>
    </w:p>
    <w:p>
      <w:pPr>
        <w:ind w:left="1000" w:right="2259" w:hanging="501"/>
        <w:spacing w:after="0" w:line="236" w:lineRule="auto"/>
        <w:tabs>
          <w:tab w:leader="none" w:pos="10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Burr-Brown Corporation, acquired in a pooling of interests transaction for approximately 88 million shares of TI common stock, including stock options and convertible notes. Related acquisition costs of $41 million were recognized in the quarter.</w:t>
      </w:r>
    </w:p>
    <w:p>
      <w:pPr>
        <w:spacing w:after="0" w:line="7" w:lineRule="exact"/>
        <w:rPr>
          <w:rFonts w:ascii="Courier New" w:cs="Courier New" w:eastAsia="Courier New" w:hAnsi="Courier New"/>
          <w:sz w:val="17"/>
          <w:szCs w:val="17"/>
          <w:color w:val="auto"/>
        </w:rPr>
      </w:pPr>
    </w:p>
    <w:p>
      <w:pPr>
        <w:ind w:left="1000" w:right="2859" w:hanging="501"/>
        <w:spacing w:after="0" w:line="236" w:lineRule="auto"/>
        <w:tabs>
          <w:tab w:leader="none" w:pos="10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Dot Wireless, Inc., acquired in a purchase transaction for approximately 6.8 million shares of TI common stock. See Note 14 following.</w:t>
      </w:r>
    </w:p>
    <w:p>
      <w:pPr>
        <w:spacing w:after="0" w:line="5" w:lineRule="exact"/>
        <w:rPr>
          <w:rFonts w:ascii="Courier New" w:cs="Courier New" w:eastAsia="Courier New" w:hAnsi="Courier New"/>
          <w:sz w:val="17"/>
          <w:szCs w:val="17"/>
          <w:color w:val="auto"/>
        </w:rPr>
      </w:pPr>
    </w:p>
    <w:p>
      <w:pPr>
        <w:ind w:left="1000" w:right="2459" w:hanging="501"/>
        <w:spacing w:after="0" w:line="236" w:lineRule="auto"/>
        <w:tabs>
          <w:tab w:leader="none" w:pos="1000" w:val="left"/>
        </w:tabs>
        <w:numPr>
          <w:ilvl w:val="1"/>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Alantro Communications, Inc., acquired in a purchase transaction for approximately 4.2 million shares or TI common stock. See Note 14 following.</w:t>
      </w:r>
    </w:p>
    <w:p>
      <w:pPr>
        <w:spacing w:after="0" w:line="190" w:lineRule="exact"/>
        <w:rPr>
          <w:rFonts w:ascii="Courier New" w:cs="Courier New" w:eastAsia="Courier New" w:hAnsi="Courier New"/>
          <w:sz w:val="17"/>
          <w:szCs w:val="17"/>
          <w:color w:val="auto"/>
        </w:rPr>
      </w:pPr>
    </w:p>
    <w:p>
      <w:pPr>
        <w:ind w:left="500" w:hanging="498"/>
        <w:spacing w:after="0"/>
        <w:tabs>
          <w:tab w:leader="none" w:pos="5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third quarter of 2000, the company recorded net pretax charges of</w:t>
      </w:r>
    </w:p>
    <w:p>
      <w:pPr>
        <w:spacing w:after="0" w:line="5"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$10 million for several Semiconductor and Materials &amp; Controls restructuring and other actions in the U.S., Japan and Europe. Of the $10 million, asset abandonment charges were $17 million, gains from asset sales were $9 million, escrow pricing refunds from a prior memory manufacturing joint venture were $17 million and severance charges were $19 million. The severance action affected 432 jobs. As of September 30, 2000, none of the severance costs had been paid. Of the $10 million net charge, $12 million is included in cost of revenue, $9 million in other income and $7 million in marketing, general and administrative expense.</w:t>
      </w:r>
    </w:p>
    <w:p>
      <w:pPr>
        <w:spacing w:after="0" w:line="201" w:lineRule="exact"/>
        <w:rPr>
          <w:sz w:val="20"/>
          <w:szCs w:val="20"/>
          <w:color w:val="auto"/>
        </w:rPr>
      </w:pPr>
    </w:p>
    <w:p>
      <w:pPr>
        <w:ind w:right="2559" w:firstLine="2"/>
        <w:spacing w:after="0" w:line="254" w:lineRule="auto"/>
        <w:tabs>
          <w:tab w:leader="none" w:pos="49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second and third quarters of 2000, the company realized pretax investment gains of $1211 million and $425 million, included in other income, from the sale of 20 million and 5.6 million shares of Micron Technology, Inc. ("Micron") common stock which were part of the consideration received in the company's 1998 divestiture of its memory business to Micron.</w:t>
      </w:r>
    </w:p>
    <w:p>
      <w:pPr>
        <w:spacing w:after="0" w:line="188" w:lineRule="exact"/>
        <w:rPr>
          <w:rFonts w:ascii="Courier New" w:cs="Courier New" w:eastAsia="Courier New" w:hAnsi="Courier New"/>
          <w:sz w:val="16"/>
          <w:szCs w:val="16"/>
          <w:color w:val="auto"/>
        </w:rPr>
      </w:pPr>
    </w:p>
    <w:p>
      <w:pPr>
        <w:ind w:right="2359" w:firstLine="2"/>
        <w:spacing w:after="0" w:line="254" w:lineRule="auto"/>
        <w:tabs>
          <w:tab w:leader="none" w:pos="49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first quarter of 2000, the company recorded pretax charges of $29 million, associated with actions including the closing of the Materials &amp; Controls manufacturing facility in Versailles, Kentucky, and TI's acquisition of Toccata Technology ApS. Of the $29 million charge, $12 million was for severance for the elimination of 480 jobs in Kentucky. As of September 30, 2000, none of severance the costs had been paid. Of the $29 million charge, $20 million is included in cost of revenues, $6 million in marketing, general and administrative expense, and $3 million in research and development expense.</w:t>
      </w:r>
    </w:p>
    <w:p>
      <w:pPr>
        <w:spacing w:after="0" w:line="180" w:lineRule="exact"/>
        <w:rPr>
          <w:rFonts w:ascii="Courier New" w:cs="Courier New" w:eastAsia="Courier New" w:hAnsi="Courier New"/>
          <w:sz w:val="16"/>
          <w:szCs w:val="16"/>
          <w:color w:val="auto"/>
        </w:rPr>
      </w:pPr>
    </w:p>
    <w:p>
      <w:pPr>
        <w:ind w:left="500" w:hanging="498"/>
        <w:spacing w:after="0"/>
        <w:tabs>
          <w:tab w:leader="none" w:pos="5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third quarter of 1999, severance actions were taken by TI's</w:t>
      </w:r>
    </w:p>
    <w:p>
      <w:pPr>
        <w:spacing w:after="0" w:line="5" w:lineRule="exact"/>
        <w:rPr>
          <w:rFonts w:ascii="Courier New" w:cs="Courier New" w:eastAsia="Courier New" w:hAnsi="Courier New"/>
          <w:sz w:val="17"/>
          <w:szCs w:val="17"/>
          <w:color w:val="auto"/>
        </w:rPr>
      </w:pPr>
    </w:p>
    <w:p>
      <w:pPr>
        <w:ind w:right="255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semiconductor operations in the U.S. These actions, taken in response to the continuing downturn in the hard disk drive market, affected 206 jobs. As a result, TI took a pretax charge of $12 million in the third quarter, of which $10 million was included in cost of revenues and $2 million in marketing,</w:t>
      </w:r>
    </w:p>
    <w:p>
      <w:pPr>
        <w:spacing w:after="0" w:line="17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83" w:right="1440" w:bottom="1440" w:gutter="0" w:footer="0" w:header="0"/>
        </w:sectPr>
      </w:pPr>
    </w:p>
    <w:bookmarkStart w:id="4" w:name="page5"/>
    <w:bookmarkEnd w:id="4"/>
    <w:p>
      <w:pPr>
        <w:ind w:right="2459"/>
        <w:spacing w:after="0" w:line="237" w:lineRule="auto"/>
        <w:rPr>
          <w:sz w:val="20"/>
          <w:szCs w:val="20"/>
          <w:color w:val="auto"/>
        </w:rPr>
      </w:pPr>
      <w:r>
        <w:rPr>
          <w:rFonts w:ascii="Courier New" w:cs="Courier New" w:eastAsia="Courier New" w:hAnsi="Courier New"/>
          <w:sz w:val="17"/>
          <w:szCs w:val="17"/>
          <w:color w:val="auto"/>
        </w:rPr>
        <w:t>general and administrative expense. Of the $12 million charge, $9 million was for severance, $2 million for fixed asset write-downs for assets held for disposal, and $1 million for vendor obligations. These fixed assets were to be sold for scrap value and were therefore written down to zero, their sales value. At September 30, 2000, this program was complete.</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In the third quarter of 1999, additional severance actions were taken for the Japan manufacturing efficiency program announced during the first quarter of 1999 (program is more fully discussed below in Note 8). This resulted in a pretax charge of $7 million in the third quarter for the elimination of an additional 105 jobs in Hatogaya, Japan. At year-end 1999, this program was complete.</w:t>
      </w:r>
    </w:p>
    <w:p>
      <w:pPr>
        <w:spacing w:after="0" w:line="198"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Also included is $15 million of acquisition costs from the company's pooling of interests with Telogy Networks, Inc. and a $4 million pretax operating charge by Unitrode Corporation for a severance action.</w:t>
      </w:r>
    </w:p>
    <w:p>
      <w:pPr>
        <w:spacing w:after="0" w:line="197" w:lineRule="exact"/>
        <w:rPr>
          <w:sz w:val="20"/>
          <w:szCs w:val="20"/>
          <w:color w:val="auto"/>
        </w:rPr>
      </w:pPr>
    </w:p>
    <w:p>
      <w:pPr>
        <w:ind w:right="2459" w:firstLine="2"/>
        <w:spacing w:after="0" w:line="237" w:lineRule="auto"/>
        <w:tabs>
          <w:tab w:leader="none" w:pos="4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first quarter of 1999, the company announced a consolidation of semiconductor manufacturing operations in Japan to improve manufacturing efficiencies and reduce costs. The action resulted in a pretax charge of $14 million in the first quarter, of which $13 million was for severance for the elimination of 153 jobs in Hatagoya, Japan and $1 million for other related costs. At year-end 1999, this program was complete. Of the $14 million charge, $11 million was included in cost of revenues and $3 million in marketing, general and administrative expense.</w:t>
      </w:r>
    </w:p>
    <w:p>
      <w:pPr>
        <w:spacing w:after="0" w:line="199" w:lineRule="exact"/>
        <w:rPr>
          <w:rFonts w:ascii="Courier New" w:cs="Courier New" w:eastAsia="Courier New" w:hAnsi="Courier New"/>
          <w:sz w:val="17"/>
          <w:szCs w:val="17"/>
          <w:color w:val="auto"/>
        </w:rPr>
      </w:pPr>
    </w:p>
    <w:p>
      <w:pPr>
        <w:ind w:right="2559" w:firstLine="2"/>
        <w:spacing w:after="0" w:line="255" w:lineRule="auto"/>
        <w:tabs>
          <w:tab w:leader="none" w:pos="49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comprehensive income (loss), i.e., net income plus investment and pension liability adjustments to stockholders' equity, for the third quarters of 2000 and 1999 was $(1,263) million and $1,231 million. For the nine months ended September 30, 2000 and 1999, it was $2,023 million and $1,669 million.</w:t>
      </w:r>
    </w:p>
    <w:p>
      <w:pPr>
        <w:spacing w:after="0" w:line="185" w:lineRule="exact"/>
        <w:rPr>
          <w:rFonts w:ascii="Courier New" w:cs="Courier New" w:eastAsia="Courier New" w:hAnsi="Courier New"/>
          <w:sz w:val="16"/>
          <w:szCs w:val="16"/>
          <w:color w:val="auto"/>
        </w:rPr>
      </w:pPr>
    </w:p>
    <w:p>
      <w:pPr>
        <w:ind w:right="3059" w:firstLine="2"/>
        <w:spacing w:after="0" w:line="235" w:lineRule="auto"/>
        <w:tabs>
          <w:tab w:leader="none" w:pos="497"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significant change in the status of the audit and investigation concerning grants from the Italian government.</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July 2000, TI increased its guarantee to $210 million, from $110 million at year-end 1999, of the payment obligation of a supplier under a lease financing facility, maturing 2003. Obligations under this facility were $143 million at September 30, 2000 and $2 million at year-end 1999. In October 2000, TI was released from its guarantee of borrowings by TECH Semiconductor Singapore under its $450 million principal amount credit facility.</w:t>
      </w:r>
    </w:p>
    <w:p>
      <w:pPr>
        <w:spacing w:after="0" w:line="198" w:lineRule="exact"/>
        <w:rPr>
          <w:sz w:val="20"/>
          <w:szCs w:val="20"/>
          <w:color w:val="auto"/>
        </w:rPr>
      </w:pPr>
    </w:p>
    <w:p>
      <w:pPr>
        <w:ind w:right="2559" w:firstLine="2"/>
        <w:spacing w:after="0" w:line="237" w:lineRule="auto"/>
        <w:tabs>
          <w:tab w:leader="none" w:pos="497"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standards SFAS No. 133 was issued in 1998 and is effective in 2001. It requires that all derivatives be marked-to-market on an ongoing basis. Along with the derivatives, any underlying hedged items are also to be marked-to-market on an ongoing basis. The market value adjustments are to be included in the income statement or stockholders' equity, depending on the nature of the transaction. The company is currently evaluating the standard's impact and expects to adopt the standard in the first quarter of 2001 on a cumulative basis.</w:t>
      </w:r>
    </w:p>
    <w:p>
      <w:pPr>
        <w:spacing w:after="0" w:line="200"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7"/>
          <w:szCs w:val="17"/>
          <w:color w:val="auto"/>
        </w:rPr>
        <w:t>In December 1999, the Securities and Exchange Commission issued Staff Accounting Bulletin (SAB) No. 101 on revenue recognition. The company is currently evaluating the impact of SAB No. 101, which is effective in the fourth quarter of 2000, and expects any effect to be immaterial.</w:t>
      </w:r>
    </w:p>
    <w:p>
      <w:pPr>
        <w:spacing w:after="0" w:line="199" w:lineRule="exact"/>
        <w:rPr>
          <w:sz w:val="20"/>
          <w:szCs w:val="20"/>
          <w:color w:val="auto"/>
        </w:rPr>
      </w:pPr>
    </w:p>
    <w:p>
      <w:pPr>
        <w:ind w:right="2459" w:firstLine="2"/>
        <w:spacing w:after="0" w:line="236" w:lineRule="auto"/>
        <w:tabs>
          <w:tab w:leader="none" w:pos="497"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statements of income, statements of cash flows and balance sheet at September 30, 2000, are not audited but reflect all adjustments which are of a normal recurring nature and are, in the opinion of management, necessary to a fair statement of the results of the periods shown.</w:t>
      </w:r>
    </w:p>
    <w:p>
      <w:pPr>
        <w:spacing w:after="0" w:line="19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5" w:name="page6"/>
    <w:bookmarkEnd w:id="5"/>
    <w:p>
      <w:pPr>
        <w:ind w:left="500" w:hanging="498"/>
        <w:spacing w:after="0"/>
        <w:tabs>
          <w:tab w:leader="none" w:pos="5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segment information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80" w:type="dxa"/>
            <w:vAlign w:val="bottom"/>
          </w:tcPr>
          <w:p>
            <w:pPr>
              <w:spacing w:after="0"/>
              <w:rPr>
                <w:sz w:val="16"/>
                <w:szCs w:val="16"/>
                <w:color w:val="auto"/>
              </w:rPr>
            </w:pPr>
          </w:p>
        </w:tc>
        <w:tc>
          <w:tcPr>
            <w:tcW w:w="2640" w:type="dxa"/>
            <w:vAlign w:val="bottom"/>
            <w:gridSpan w:val="2"/>
          </w:tcPr>
          <w:p>
            <w:pPr>
              <w:jc w:val="right"/>
              <w:ind w:right="377"/>
              <w:spacing w:after="0"/>
              <w:rPr>
                <w:sz w:val="20"/>
                <w:szCs w:val="20"/>
                <w:color w:val="auto"/>
              </w:rPr>
            </w:pPr>
            <w:r>
              <w:rPr>
                <w:rFonts w:ascii="Courier New" w:cs="Courier New" w:eastAsia="Courier New" w:hAnsi="Courier New"/>
                <w:sz w:val="17"/>
                <w:szCs w:val="17"/>
                <w:color w:val="auto"/>
                <w:w w:val="96"/>
              </w:rPr>
              <w:t>For Three Months Ended</w:t>
            </w:r>
          </w:p>
        </w:tc>
        <w:tc>
          <w:tcPr>
            <w:tcW w:w="2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 Nine Months Ended</w:t>
            </w:r>
          </w:p>
        </w:tc>
      </w:tr>
      <w:tr>
        <w:trPr>
          <w:trHeight w:val="191"/>
        </w:trPr>
        <w:tc>
          <w:tcPr>
            <w:tcW w:w="4080" w:type="dxa"/>
            <w:vAlign w:val="bottom"/>
          </w:tcPr>
          <w:p>
            <w:pPr>
              <w:spacing w:after="0"/>
              <w:rPr>
                <w:sz w:val="16"/>
                <w:szCs w:val="16"/>
                <w:color w:val="auto"/>
              </w:rPr>
            </w:pPr>
          </w:p>
        </w:tc>
        <w:tc>
          <w:tcPr>
            <w:tcW w:w="26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w w:val="96"/>
              </w:rPr>
              <w:t>----------------------</w:t>
            </w:r>
          </w:p>
        </w:tc>
        <w:tc>
          <w:tcPr>
            <w:tcW w:w="2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Sept 30</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Sept 30</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Sept 30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Sept 30</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Business Segment Net Revenues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2000</w:t>
            </w:r>
          </w:p>
        </w:tc>
        <w:tc>
          <w:tcPr>
            <w:tcW w:w="1340" w:type="dxa"/>
            <w:vAlign w:val="bottom"/>
          </w:tcPr>
          <w:p>
            <w:pPr>
              <w:jc w:val="right"/>
              <w:ind w:right="677"/>
              <w:spacing w:after="0" w:line="191" w:lineRule="exact"/>
              <w:rPr>
                <w:sz w:val="20"/>
                <w:szCs w:val="20"/>
                <w:color w:val="auto"/>
              </w:rPr>
            </w:pPr>
            <w:r>
              <w:rPr>
                <w:rFonts w:ascii="Courier New" w:cs="Courier New" w:eastAsia="Courier New" w:hAnsi="Courier New"/>
                <w:sz w:val="17"/>
                <w:szCs w:val="17"/>
                <w:color w:val="auto"/>
              </w:rPr>
              <w:t>1999</w:t>
            </w:r>
          </w:p>
        </w:tc>
        <w:tc>
          <w:tcPr>
            <w:tcW w:w="14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2000</w:t>
            </w:r>
          </w:p>
        </w:tc>
        <w:tc>
          <w:tcPr>
            <w:tcW w:w="106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(millions of dollars)</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83"/>
        </w:trPr>
        <w:tc>
          <w:tcPr>
            <w:tcW w:w="4080" w:type="dxa"/>
            <w:vAlign w:val="bottom"/>
          </w:tcPr>
          <w:p>
            <w:pPr>
              <w:spacing w:after="0"/>
              <w:rPr>
                <w:sz w:val="20"/>
                <w:szCs w:val="20"/>
                <w:color w:val="auto"/>
              </w:rPr>
            </w:pPr>
            <w:r>
              <w:rPr>
                <w:rFonts w:ascii="Courier New" w:cs="Courier New" w:eastAsia="Courier New" w:hAnsi="Courier New"/>
                <w:sz w:val="17"/>
                <w:szCs w:val="17"/>
                <w:color w:val="auto"/>
              </w:rPr>
              <w:t>Semiconductor</w:t>
            </w:r>
          </w:p>
        </w:tc>
        <w:tc>
          <w:tcPr>
            <w:tcW w:w="1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2"/>
              </w:rPr>
              <w:t>Trade....................................</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$ 2,714</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$ 2,097</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$ 7,583</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$ 5,936</w:t>
            </w: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2"/>
              </w:rPr>
              <w:t>Intersegment.............................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4</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2,718</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2,101</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7,596</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5,947</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Materials &amp; Controls</w:t>
            </w: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2"/>
              </w:rPr>
              <w:t>Trade....................................</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269</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252</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855</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753</w:t>
            </w: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2"/>
              </w:rPr>
              <w:t>Intersegment.............................</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269</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252</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855</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754</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rPr>
              <w:t>Educational &amp; Productivity Solutions</w:t>
            </w: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40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2"/>
              </w:rPr>
              <w:t>Trade....................................</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160</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160</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382</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394</w:t>
            </w:r>
          </w:p>
        </w:tc>
      </w:tr>
      <w:tr>
        <w:trPr>
          <w:trHeight w:val="383"/>
        </w:trPr>
        <w:tc>
          <w:tcPr>
            <w:tcW w:w="4080" w:type="dxa"/>
            <w:vAlign w:val="bottom"/>
          </w:tcPr>
          <w:p>
            <w:pPr>
              <w:spacing w:after="0"/>
              <w:rPr>
                <w:sz w:val="20"/>
                <w:szCs w:val="20"/>
                <w:color w:val="auto"/>
              </w:rPr>
            </w:pPr>
            <w:r>
              <w:rPr>
                <w:rFonts w:ascii="Courier New" w:cs="Courier New" w:eastAsia="Courier New" w:hAnsi="Courier New"/>
                <w:sz w:val="17"/>
                <w:szCs w:val="17"/>
                <w:color w:val="auto"/>
                <w:w w:val="92"/>
              </w:rPr>
              <w:t>Corporate activities.......................</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w:t>
            </w:r>
          </w:p>
        </w:tc>
        <w:tc>
          <w:tcPr>
            <w:tcW w:w="13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(5)</w:t>
            </w:r>
          </w:p>
        </w:tc>
        <w:tc>
          <w:tcPr>
            <w:tcW w:w="14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w:t>
            </w:r>
          </w:p>
        </w:tc>
        <w:tc>
          <w:tcPr>
            <w:tcW w:w="10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(12)</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w w:val="92"/>
              </w:rPr>
              <w:t>Divested activities........................</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7</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10</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38</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080" w:type="dxa"/>
            <w:vAlign w:val="bottom"/>
          </w:tcPr>
          <w:p>
            <w:pPr>
              <w:spacing w:after="0" w:line="191" w:lineRule="exact"/>
              <w:rPr>
                <w:sz w:val="20"/>
                <w:szCs w:val="20"/>
                <w:color w:val="auto"/>
              </w:rPr>
            </w:pPr>
            <w:r>
              <w:rPr>
                <w:rFonts w:ascii="Courier New" w:cs="Courier New" w:eastAsia="Courier New" w:hAnsi="Courier New"/>
                <w:sz w:val="17"/>
                <w:szCs w:val="17"/>
                <w:color w:val="auto"/>
                <w:w w:val="92"/>
              </w:rPr>
              <w:t>Total......................................</w:t>
            </w: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$ 3,160</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$ 2,515</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$ 8,851</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$ 7,121</w:t>
            </w:r>
          </w:p>
        </w:tc>
      </w:tr>
      <w:tr>
        <w:trPr>
          <w:trHeight w:val="191"/>
        </w:trPr>
        <w:tc>
          <w:tcPr>
            <w:tcW w:w="4080" w:type="dxa"/>
            <w:vAlign w:val="bottom"/>
          </w:tcPr>
          <w:p>
            <w:pPr>
              <w:spacing w:after="0"/>
              <w:rPr>
                <w:sz w:val="16"/>
                <w:szCs w:val="16"/>
                <w:color w:val="auto"/>
              </w:rPr>
            </w:pPr>
          </w:p>
        </w:tc>
        <w:tc>
          <w:tcPr>
            <w:tcW w:w="13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92"/>
              </w:rPr>
              <w:t>=======</w:t>
            </w:r>
          </w:p>
        </w:tc>
        <w:tc>
          <w:tcPr>
            <w:tcW w:w="14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Beginning in 2000, management decided to assess profit performance of its business segments excluding the effect of acquisition-related amortization. Accordingly, 2000 business segment profit amounts exclude this amortization ($41 million for the third quarter and $92 million year-to-date). Business segment profit amounts for 1999 include this amortization ($24 million for the third quarter and $43 million year-to-date).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Segment Profit (Loss)</w:t>
      </w:r>
    </w:p>
    <w:p>
      <w:pPr>
        <w:spacing w:after="0" w:line="238" w:lineRule="auto"/>
        <w:rPr>
          <w:sz w:val="20"/>
          <w:szCs w:val="20"/>
          <w:color w:val="auto"/>
        </w:rPr>
      </w:pPr>
      <w:r>
        <w:rPr>
          <w:rFonts w:ascii="Courier New" w:cs="Courier New" w:eastAsia="Courier New" w:hAnsi="Courier New"/>
          <w:sz w:val="17"/>
          <w:szCs w:val="17"/>
          <w:color w:val="auto"/>
        </w:rPr>
        <w:t>(millions of dollars)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20" w:type="dxa"/>
            <w:vAlign w:val="bottom"/>
          </w:tcPr>
          <w:p>
            <w:pPr>
              <w:spacing w:after="0"/>
              <w:rPr>
                <w:sz w:val="20"/>
                <w:szCs w:val="20"/>
                <w:color w:val="auto"/>
              </w:rPr>
            </w:pPr>
            <w:r>
              <w:rPr>
                <w:rFonts w:ascii="Courier New" w:cs="Courier New" w:eastAsia="Courier New" w:hAnsi="Courier New"/>
                <w:sz w:val="17"/>
                <w:szCs w:val="17"/>
                <w:color w:val="auto"/>
                <w:w w:val="98"/>
              </w:rPr>
              <w:t>Semiconductor..............................</w:t>
            </w:r>
          </w:p>
        </w:tc>
        <w:tc>
          <w:tcPr>
            <w:tcW w:w="2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693</w:t>
            </w:r>
          </w:p>
        </w:tc>
        <w:tc>
          <w:tcPr>
            <w:tcW w:w="3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481</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$ 1,931</w:t>
            </w: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$ 1,317</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Materials &amp; Controls.......................</w:t>
            </w:r>
          </w:p>
        </w:tc>
        <w:tc>
          <w:tcPr>
            <w:tcW w:w="2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47</w:t>
            </w:r>
          </w:p>
        </w:tc>
        <w:tc>
          <w:tcPr>
            <w:tcW w:w="3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41</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Educational &amp; Productivity Solutions.......</w:t>
            </w:r>
          </w:p>
        </w:tc>
        <w:tc>
          <w:tcPr>
            <w:tcW w:w="2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w:t>
            </w:r>
          </w:p>
        </w:tc>
        <w:tc>
          <w:tcPr>
            <w:tcW w:w="3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47</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106</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Corporate activities.......................</w:t>
            </w:r>
          </w:p>
        </w:tc>
        <w:tc>
          <w:tcPr>
            <w:tcW w:w="260" w:type="dxa"/>
            <w:vAlign w:val="bottom"/>
          </w:tcPr>
          <w:p>
            <w:pPr>
              <w:spacing w:after="0"/>
              <w:rPr>
                <w:sz w:val="16"/>
                <w:szCs w:val="16"/>
                <w:color w:val="auto"/>
              </w:rPr>
            </w:pPr>
          </w:p>
        </w:tc>
        <w:tc>
          <w:tcPr>
            <w:tcW w:w="7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(52)</w:t>
            </w:r>
          </w:p>
        </w:tc>
        <w:tc>
          <w:tcPr>
            <w:tcW w:w="340" w:type="dxa"/>
            <w:vAlign w:val="bottom"/>
          </w:tcPr>
          <w:p>
            <w:pPr>
              <w:spacing w:after="0"/>
              <w:rPr>
                <w:sz w:val="16"/>
                <w:szCs w:val="16"/>
                <w:color w:val="auto"/>
              </w:rPr>
            </w:pPr>
          </w:p>
        </w:tc>
        <w:tc>
          <w:tcPr>
            <w:tcW w:w="11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(80)</w:t>
            </w:r>
          </w:p>
        </w:tc>
        <w:tc>
          <w:tcPr>
            <w:tcW w:w="1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(180)</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(208)</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Special charges/gains and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acquisition-related amortization,</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net of applicable profit sharing.........</w:t>
            </w:r>
          </w:p>
        </w:tc>
        <w:tc>
          <w:tcPr>
            <w:tcW w:w="2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221</w:t>
            </w:r>
          </w:p>
        </w:tc>
        <w:tc>
          <w:tcPr>
            <w:tcW w:w="340" w:type="dxa"/>
            <w:vAlign w:val="bottom"/>
          </w:tcPr>
          <w:p>
            <w:pPr>
              <w:spacing w:after="0"/>
              <w:rPr>
                <w:sz w:val="16"/>
                <w:szCs w:val="16"/>
                <w:color w:val="auto"/>
              </w:rPr>
            </w:pPr>
          </w:p>
        </w:tc>
        <w:tc>
          <w:tcPr>
            <w:tcW w:w="11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(40)</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1,353</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(110)</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rPr>
              <w:t>Interest on loans/other income (expense)</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excluding second and third quarter</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2000 gains of $1,211 million and $436</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million included above in special</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charges/gains and acquisition-related</w:t>
            </w: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43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8"/>
              </w:rPr>
              <w:t>amortization.............................</w:t>
            </w:r>
          </w:p>
        </w:tc>
        <w:tc>
          <w:tcPr>
            <w:tcW w:w="2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112</w:t>
            </w:r>
          </w:p>
        </w:tc>
        <w:tc>
          <w:tcPr>
            <w:tcW w:w="3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138</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334</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259</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Divested activities........................</w:t>
            </w:r>
          </w:p>
        </w:tc>
        <w:tc>
          <w:tcPr>
            <w:tcW w:w="260" w:type="dxa"/>
            <w:vAlign w:val="bottom"/>
          </w:tcPr>
          <w:p>
            <w:pPr>
              <w:spacing w:after="0"/>
              <w:rPr>
                <w:sz w:val="16"/>
                <w:szCs w:val="16"/>
                <w:color w:val="auto"/>
              </w:rPr>
            </w:pP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w:t>
            </w:r>
          </w:p>
        </w:tc>
        <w:tc>
          <w:tcPr>
            <w:tcW w:w="340" w:type="dxa"/>
            <w:vAlign w:val="bottom"/>
          </w:tcPr>
          <w:p>
            <w:pPr>
              <w:spacing w:after="0"/>
              <w:rPr>
                <w:sz w:val="16"/>
                <w:szCs w:val="16"/>
                <w:color w:val="auto"/>
              </w:rPr>
            </w:pP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11</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w:t>
            </w:r>
          </w:p>
        </w:tc>
      </w:tr>
      <w:tr>
        <w:trPr>
          <w:trHeight w:val="191"/>
        </w:trPr>
        <w:tc>
          <w:tcPr>
            <w:tcW w:w="4320" w:type="dxa"/>
            <w:vAlign w:val="bottom"/>
          </w:tcPr>
          <w:p>
            <w:pPr>
              <w:spacing w:after="0"/>
              <w:rPr>
                <w:sz w:val="16"/>
                <w:szCs w:val="16"/>
                <w:color w:val="auto"/>
              </w:rPr>
            </w:pP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3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Income before provision for income taxes...</w:t>
            </w:r>
          </w:p>
        </w:tc>
        <w:tc>
          <w:tcPr>
            <w:tcW w:w="2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4"/>
              </w:rPr>
              <w:t>1,078</w:t>
            </w:r>
          </w:p>
        </w:tc>
        <w:tc>
          <w:tcPr>
            <w:tcW w:w="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598</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$ 3,711</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$ 1,511</w:t>
            </w:r>
          </w:p>
        </w:tc>
      </w:tr>
      <w:tr>
        <w:trPr>
          <w:trHeight w:val="191"/>
        </w:trPr>
        <w:tc>
          <w:tcPr>
            <w:tcW w:w="4320" w:type="dxa"/>
            <w:vAlign w:val="bottom"/>
          </w:tcPr>
          <w:p>
            <w:pPr>
              <w:spacing w:after="0"/>
              <w:rPr>
                <w:sz w:val="16"/>
                <w:szCs w:val="16"/>
                <w:color w:val="auto"/>
              </w:rPr>
            </w:pP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79" w:lineRule="exact"/>
        <w:rPr>
          <w:sz w:val="20"/>
          <w:szCs w:val="20"/>
          <w:color w:val="auto"/>
        </w:rPr>
      </w:pPr>
    </w:p>
    <w:p>
      <w:pPr>
        <w:ind w:right="2559" w:firstLine="2"/>
        <w:spacing w:after="0" w:line="237" w:lineRule="auto"/>
        <w:tabs>
          <w:tab w:leader="none" w:pos="497"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Year-to-date acquisition-related purchased in-process R&amp;D charges were $112 million in 2000 and $79 million in 1999. These charges are for research and development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83" w:right="1440" w:bottom="97" w:gutter="0" w:footer="0" w:header="0"/>
        </w:sectPr>
      </w:pPr>
    </w:p>
    <w:bookmarkStart w:id="6" w:name="page7"/>
    <w:bookmarkEnd w:id="6"/>
    <w:p>
      <w:pPr>
        <w:ind w:right="2459"/>
        <w:spacing w:after="0" w:line="237" w:lineRule="auto"/>
        <w:rPr>
          <w:sz w:val="20"/>
          <w:szCs w:val="20"/>
          <w:color w:val="auto"/>
        </w:rPr>
      </w:pPr>
      <w:r>
        <w:rPr>
          <w:rFonts w:ascii="Courier New" w:cs="Courier New" w:eastAsia="Courier New" w:hAnsi="Courier New"/>
          <w:sz w:val="17"/>
          <w:szCs w:val="17"/>
          <w:color w:val="auto"/>
        </w:rPr>
        <w:t>Significant assumptions, detailed in the following table, used in determining the value of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69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7"/>
          <w:szCs w:val="17"/>
          <w:color w:val="auto"/>
        </w:rPr>
        <w:t>Millions of Dollars</w:t>
      </w:r>
    </w:p>
    <w:p>
      <w:pPr>
        <w:spacing w:after="0" w:line="5" w:lineRule="exact"/>
        <w:rPr>
          <w:sz w:val="20"/>
          <w:szCs w:val="20"/>
          <w:color w:val="auto"/>
        </w:rPr>
      </w:pPr>
    </w:p>
    <w:p>
      <w:pPr>
        <w:ind w:left="200" w:hanging="198"/>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70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Purchased</w:t>
      </w:r>
    </w:p>
    <w:p>
      <w:pPr>
        <w:ind w:left="100"/>
        <w:spacing w:after="0"/>
        <w:tabs>
          <w:tab w:leader="none" w:pos="1280" w:val="left"/>
          <w:tab w:leader="none" w:pos="2660" w:val="left"/>
          <w:tab w:leader="none" w:pos="4860" w:val="left"/>
          <w:tab w:leader="none" w:pos="5840" w:val="left"/>
          <w:tab w:leader="none" w:pos="7040" w:val="left"/>
          <w:tab w:leader="none" w:pos="8340" w:val="left"/>
        </w:tabs>
        <w:rPr>
          <w:sz w:val="20"/>
          <w:szCs w:val="20"/>
          <w:color w:val="auto"/>
        </w:rPr>
      </w:pPr>
      <w:r>
        <w:rPr>
          <w:rFonts w:ascii="Courier New" w:cs="Courier New" w:eastAsia="Courier New" w:hAnsi="Courier New"/>
          <w:sz w:val="17"/>
          <w:szCs w:val="17"/>
          <w:color w:val="auto"/>
        </w:rPr>
        <w:t>Entity</w:t>
      </w:r>
      <w:r>
        <w:rPr>
          <w:sz w:val="20"/>
          <w:szCs w:val="20"/>
          <w:color w:val="auto"/>
        </w:rPr>
        <w:tab/>
      </w:r>
      <w:r>
        <w:rPr>
          <w:rFonts w:ascii="Courier New" w:cs="Courier New" w:eastAsia="Courier New" w:hAnsi="Courier New"/>
          <w:sz w:val="17"/>
          <w:szCs w:val="17"/>
          <w:color w:val="auto"/>
        </w:rPr>
        <w:t>Acquisition</w:t>
      </w:r>
      <w:r>
        <w:rPr>
          <w:sz w:val="20"/>
          <w:szCs w:val="20"/>
          <w:color w:val="auto"/>
        </w:rPr>
        <w:tab/>
      </w:r>
      <w:r>
        <w:rPr>
          <w:rFonts w:ascii="Courier New" w:cs="Courier New" w:eastAsia="Courier New" w:hAnsi="Courier New"/>
          <w:sz w:val="17"/>
          <w:szCs w:val="17"/>
          <w:color w:val="auto"/>
        </w:rPr>
        <w:t>Consid-</w:t>
      </w:r>
      <w:r>
        <w:rPr>
          <w:sz w:val="20"/>
          <w:szCs w:val="20"/>
          <w:color w:val="auto"/>
        </w:rPr>
        <w:tab/>
      </w:r>
      <w:r>
        <w:rPr>
          <w:rFonts w:ascii="Courier New" w:cs="Courier New" w:eastAsia="Courier New" w:hAnsi="Courier New"/>
          <w:sz w:val="17"/>
          <w:szCs w:val="17"/>
          <w:color w:val="auto"/>
        </w:rPr>
        <w:t>Other</w:t>
      </w:r>
      <w:r>
        <w:rPr>
          <w:sz w:val="20"/>
          <w:szCs w:val="20"/>
          <w:color w:val="auto"/>
        </w:rPr>
        <w:tab/>
      </w:r>
      <w:r>
        <w:rPr>
          <w:rFonts w:ascii="Courier New" w:cs="Courier New" w:eastAsia="Courier New" w:hAnsi="Courier New"/>
          <w:sz w:val="17"/>
          <w:szCs w:val="17"/>
          <w:color w:val="auto"/>
        </w:rPr>
        <w:t>Deferred</w:t>
      </w:r>
      <w:r>
        <w:rPr>
          <w:sz w:val="20"/>
          <w:szCs w:val="20"/>
          <w:color w:val="auto"/>
        </w:rPr>
        <w:tab/>
      </w:r>
      <w:r>
        <w:rPr>
          <w:rFonts w:ascii="Courier New" w:cs="Courier New" w:eastAsia="Courier New" w:hAnsi="Courier New"/>
          <w:sz w:val="17"/>
          <w:szCs w:val="17"/>
          <w:color w:val="auto"/>
        </w:rPr>
        <w:t>in-process</w:t>
      </w:r>
      <w:r>
        <w:rPr>
          <w:sz w:val="20"/>
          <w:szCs w:val="20"/>
          <w:color w:val="auto"/>
        </w:rPr>
        <w:tab/>
      </w:r>
      <w:r>
        <w:rPr>
          <w:rFonts w:ascii="Courier New" w:cs="Courier New" w:eastAsia="Courier New" w:hAnsi="Courier New"/>
          <w:sz w:val="16"/>
          <w:szCs w:val="16"/>
          <w:color w:val="auto"/>
        </w:rPr>
        <w:t>Appraisal</w:t>
      </w:r>
    </w:p>
    <w:p>
      <w:pPr>
        <w:spacing w:after="0"/>
        <w:tabs>
          <w:tab w:leader="none" w:pos="1580" w:val="left"/>
          <w:tab w:leader="none" w:pos="2660" w:val="left"/>
          <w:tab w:leader="none" w:pos="3660" w:val="left"/>
          <w:tab w:leader="none" w:pos="4860" w:val="left"/>
          <w:tab w:leader="none" w:pos="5840" w:val="left"/>
          <w:tab w:leader="none" w:pos="7040" w:val="left"/>
          <w:tab w:leader="none" w:pos="8540" w:val="left"/>
        </w:tabs>
        <w:rPr>
          <w:sz w:val="20"/>
          <w:szCs w:val="20"/>
          <w:color w:val="auto"/>
        </w:rPr>
      </w:pPr>
      <w:r>
        <w:rPr>
          <w:rFonts w:ascii="Courier New" w:cs="Courier New" w:eastAsia="Courier New" w:hAnsi="Courier New"/>
          <w:sz w:val="17"/>
          <w:szCs w:val="17"/>
          <w:color w:val="auto"/>
        </w:rPr>
        <w:t>acquired</w:t>
      </w:r>
      <w:r>
        <w:rPr>
          <w:sz w:val="20"/>
          <w:szCs w:val="20"/>
          <w:color w:val="auto"/>
        </w:rPr>
        <w:tab/>
      </w: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eration</w:t>
      </w:r>
      <w:r>
        <w:rPr>
          <w:sz w:val="20"/>
          <w:szCs w:val="20"/>
          <w:color w:val="auto"/>
        </w:rPr>
        <w:tab/>
      </w:r>
      <w:r>
        <w:rPr>
          <w:rFonts w:ascii="Courier New" w:cs="Courier New" w:eastAsia="Courier New" w:hAnsi="Courier New"/>
          <w:sz w:val="17"/>
          <w:szCs w:val="17"/>
          <w:color w:val="auto"/>
        </w:rPr>
        <w:t>Goodwill</w:t>
      </w:r>
      <w:r>
        <w:rPr>
          <w:sz w:val="20"/>
          <w:szCs w:val="20"/>
          <w:color w:val="auto"/>
        </w:rPr>
        <w:tab/>
      </w:r>
      <w:r>
        <w:rPr>
          <w:rFonts w:ascii="Courier New" w:cs="Courier New" w:eastAsia="Courier New" w:hAnsi="Courier New"/>
          <w:sz w:val="17"/>
          <w:szCs w:val="17"/>
          <w:color w:val="auto"/>
        </w:rPr>
        <w:t>intan-</w:t>
      </w:r>
      <w:r>
        <w:rPr>
          <w:sz w:val="20"/>
          <w:szCs w:val="20"/>
          <w:color w:val="auto"/>
        </w:rPr>
        <w:tab/>
      </w:r>
      <w:r>
        <w:rPr>
          <w:rFonts w:ascii="Courier New" w:cs="Courier New" w:eastAsia="Courier New" w:hAnsi="Courier New"/>
          <w:sz w:val="17"/>
          <w:szCs w:val="17"/>
          <w:color w:val="auto"/>
        </w:rPr>
        <w:t>compen-</w:t>
      </w:r>
      <w:r>
        <w:rPr>
          <w:sz w:val="20"/>
          <w:szCs w:val="20"/>
          <w:color w:val="auto"/>
        </w:rPr>
        <w:tab/>
      </w:r>
      <w:r>
        <w:rPr>
          <w:rFonts w:ascii="Courier New" w:cs="Courier New" w:eastAsia="Courier New" w:hAnsi="Courier New"/>
          <w:sz w:val="17"/>
          <w:szCs w:val="17"/>
          <w:color w:val="auto"/>
        </w:rPr>
        <w:t>R&amp;D charge</w:t>
      </w:r>
      <w:r>
        <w:rPr>
          <w:sz w:val="20"/>
          <w:szCs w:val="20"/>
          <w:color w:val="auto"/>
        </w:rPr>
        <w:tab/>
      </w:r>
      <w:r>
        <w:rPr>
          <w:rFonts w:ascii="Courier New" w:cs="Courier New" w:eastAsia="Courier New" w:hAnsi="Courier New"/>
          <w:sz w:val="16"/>
          <w:szCs w:val="16"/>
          <w:color w:val="auto"/>
        </w:rPr>
        <w:t>method</w:t>
      </w:r>
    </w:p>
    <w:p>
      <w:pPr>
        <w:ind w:left="4880"/>
        <w:spacing w:after="0" w:line="237" w:lineRule="auto"/>
        <w:tabs>
          <w:tab w:leader="none" w:pos="5840" w:val="left"/>
        </w:tabs>
        <w:rPr>
          <w:sz w:val="20"/>
          <w:szCs w:val="20"/>
          <w:color w:val="auto"/>
        </w:rPr>
      </w:pPr>
      <w:r>
        <w:rPr>
          <w:rFonts w:ascii="Courier New" w:cs="Courier New" w:eastAsia="Courier New" w:hAnsi="Courier New"/>
          <w:sz w:val="17"/>
          <w:szCs w:val="17"/>
          <w:color w:val="auto"/>
        </w:rPr>
        <w:t>gibles</w:t>
      </w:r>
      <w:r>
        <w:rPr>
          <w:sz w:val="20"/>
          <w:szCs w:val="20"/>
          <w:color w:val="auto"/>
        </w:rPr>
        <w:tab/>
      </w:r>
      <w:r>
        <w:rPr>
          <w:rFonts w:ascii="Courier New" w:cs="Courier New" w:eastAsia="Courier New" w:hAnsi="Courier New"/>
          <w:sz w:val="17"/>
          <w:szCs w:val="17"/>
          <w:color w:val="auto"/>
        </w:rPr>
        <w:t>sation</w:t>
      </w:r>
    </w:p>
    <w:p>
      <w:pPr>
        <w:spacing w:after="0"/>
        <w:tabs>
          <w:tab w:leader="none" w:pos="1480" w:val="left"/>
          <w:tab w:leader="none" w:pos="2860" w:val="left"/>
          <w:tab w:leader="none" w:pos="3860" w:val="left"/>
          <w:tab w:leader="none" w:pos="5060" w:val="left"/>
          <w:tab w:leader="none" w:pos="6040" w:val="left"/>
          <w:tab w:leader="none" w:pos="7240" w:val="left"/>
          <w:tab w:leader="none" w:pos="854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257" w:right="1440" w:bottom="0" w:gutter="0" w:footer="0" w:header="0"/>
        </w:sectPr>
      </w:pPr>
    </w:p>
    <w:p>
      <w:pPr>
        <w:spacing w:after="0" w:line="197" w:lineRule="exact"/>
        <w:rPr>
          <w:sz w:val="20"/>
          <w:szCs w:val="20"/>
          <w:color w:val="auto"/>
        </w:rPr>
      </w:pPr>
    </w:p>
    <w:p>
      <w:pPr>
        <w:ind w:left="100" w:hanging="98"/>
        <w:spacing w:after="0" w:line="253" w:lineRule="auto"/>
        <w:rPr>
          <w:sz w:val="20"/>
          <w:szCs w:val="20"/>
          <w:color w:val="auto"/>
        </w:rPr>
      </w:pPr>
      <w:r>
        <w:rPr>
          <w:rFonts w:ascii="Courier New" w:cs="Courier New" w:eastAsia="Courier New" w:hAnsi="Courier New"/>
          <w:sz w:val="16"/>
          <w:szCs w:val="16"/>
          <w:color w:val="auto"/>
        </w:rPr>
        <w:t>Butterfly VLSI,</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$ 52</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$ 33</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Exclusion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approach</w:t>
      </w:r>
    </w:p>
    <w:p>
      <w:pPr>
        <w:spacing w:after="0" w:line="5" w:lineRule="exact"/>
        <w:rPr>
          <w:sz w:val="20"/>
          <w:szCs w:val="20"/>
          <w:color w:val="auto"/>
        </w:rPr>
      </w:pPr>
    </w:p>
    <w:p>
      <w:pPr>
        <w:sectPr>
          <w:pgSz w:w="11900" w:h="16838" w:orient="portrait"/>
          <w:cols w:equalWidth="0" w:num="8">
            <w:col w:w="900" w:space="500"/>
            <w:col w:w="700" w:space="680"/>
            <w:col w:w="400" w:space="700"/>
            <w:col w:w="400" w:space="700"/>
            <w:col w:w="460" w:space="720"/>
            <w:col w:w="380" w:space="720"/>
            <w:col w:w="400" w:space="700"/>
            <w:col w:w="1859"/>
          </w:cols>
          <w:pgMar w:left="240" w:top="1257" w:right="1440" w:bottom="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1999</w:t>
      </w:r>
    </w:p>
    <w:p>
      <w:pPr>
        <w:spacing w:after="0" w:line="200" w:lineRule="exact"/>
        <w:rPr>
          <w:sz w:val="20"/>
          <w:szCs w:val="20"/>
          <w:color w:val="auto"/>
        </w:rPr>
      </w:pPr>
    </w:p>
    <w:p>
      <w:pPr>
        <w:sectPr>
          <w:pgSz w:w="11900" w:h="16838" w:orient="portrait"/>
          <w:cols w:equalWidth="0" w:num="2">
            <w:col w:w="680" w:space="720"/>
            <w:col w:w="8819"/>
          </w:cols>
          <w:pgMar w:left="240" w:top="1257" w:right="1440" w:bottom="0" w:gutter="0" w:footer="0" w:header="0"/>
          <w:type w:val="continuous"/>
        </w:sect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Libit Signal</w:t>
            </w: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Second</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$365</w:t>
            </w:r>
          </w:p>
        </w:tc>
        <w:tc>
          <w:tcPr>
            <w:tcW w:w="10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$207</w:t>
            </w:r>
          </w:p>
        </w:tc>
        <w:tc>
          <w:tcPr>
            <w:tcW w:w="116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$106</w:t>
            </w:r>
          </w:p>
        </w:tc>
        <w:tc>
          <w:tcPr>
            <w:tcW w:w="10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$ 52</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Processing</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quarter</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Ltd.</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40" w:type="dxa"/>
            <w:vAlign w:val="bottom"/>
          </w:tcPr>
          <w:p>
            <w:pPr>
              <w:spacing w:after="0"/>
              <w:rPr>
                <w:sz w:val="20"/>
                <w:szCs w:val="20"/>
                <w:color w:val="auto"/>
              </w:rPr>
            </w:pPr>
            <w:r>
              <w:rPr>
                <w:rFonts w:ascii="Courier New" w:cs="Courier New" w:eastAsia="Courier New" w:hAnsi="Courier New"/>
                <w:sz w:val="17"/>
                <w:szCs w:val="17"/>
                <w:color w:val="auto"/>
              </w:rPr>
              <w:t>Integrated</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Third</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$ 67</w:t>
            </w:r>
          </w:p>
        </w:tc>
        <w:tc>
          <w:tcPr>
            <w:tcW w:w="10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$ 32</w:t>
            </w:r>
          </w:p>
        </w:tc>
        <w:tc>
          <w:tcPr>
            <w:tcW w:w="10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$ 11</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16</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Sensor</w:t>
            </w: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quarter</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Solutions,</w:t>
            </w: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1999</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2"/>
        </w:trPr>
        <w:tc>
          <w:tcPr>
            <w:tcW w:w="1240" w:type="dxa"/>
            <w:vAlign w:val="bottom"/>
          </w:tcPr>
          <w:p>
            <w:pPr>
              <w:spacing w:after="0"/>
              <w:rPr>
                <w:sz w:val="20"/>
                <w:szCs w:val="20"/>
                <w:color w:val="auto"/>
              </w:rPr>
            </w:pPr>
            <w:r>
              <w:rPr>
                <w:rFonts w:ascii="Courier New" w:cs="Courier New" w:eastAsia="Courier New" w:hAnsi="Courier New"/>
                <w:sz w:val="17"/>
                <w:szCs w:val="17"/>
                <w:color w:val="auto"/>
              </w:rPr>
              <w:t>Alantro</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Third</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$277</w:t>
            </w:r>
          </w:p>
        </w:tc>
        <w:tc>
          <w:tcPr>
            <w:tcW w:w="10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$148</w:t>
            </w:r>
          </w:p>
        </w:tc>
        <w:tc>
          <w:tcPr>
            <w:tcW w:w="10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$ 58</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$ 32</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52</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Commun-</w:t>
            </w: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quarter</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ications,</w:t>
            </w: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574"/>
        </w:trPr>
        <w:tc>
          <w:tcPr>
            <w:tcW w:w="1240" w:type="dxa"/>
            <w:vAlign w:val="bottom"/>
          </w:tcPr>
          <w:p>
            <w:pPr>
              <w:spacing w:after="0"/>
              <w:rPr>
                <w:sz w:val="20"/>
                <w:szCs w:val="20"/>
                <w:color w:val="auto"/>
              </w:rPr>
            </w:pPr>
            <w:r>
              <w:rPr>
                <w:rFonts w:ascii="Courier New" w:cs="Courier New" w:eastAsia="Courier New" w:hAnsi="Courier New"/>
                <w:sz w:val="17"/>
                <w:szCs w:val="17"/>
                <w:color w:val="auto"/>
              </w:rPr>
              <w:t>Dot</w:t>
            </w:r>
          </w:p>
        </w:tc>
        <w:tc>
          <w:tcPr>
            <w:tcW w:w="1200" w:type="dxa"/>
            <w:vAlign w:val="bottom"/>
          </w:tcPr>
          <w:p>
            <w:pPr>
              <w:ind w:left="160"/>
              <w:spacing w:after="0"/>
              <w:rPr>
                <w:sz w:val="20"/>
                <w:szCs w:val="20"/>
                <w:color w:val="auto"/>
              </w:rPr>
            </w:pPr>
            <w:r>
              <w:rPr>
                <w:rFonts w:ascii="Courier New" w:cs="Courier New" w:eastAsia="Courier New" w:hAnsi="Courier New"/>
                <w:sz w:val="17"/>
                <w:szCs w:val="17"/>
                <w:color w:val="auto"/>
              </w:rPr>
              <w:t>Third</w:t>
            </w:r>
          </w:p>
        </w:tc>
        <w:tc>
          <w:tcPr>
            <w:tcW w:w="110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$467</w:t>
            </w:r>
          </w:p>
        </w:tc>
        <w:tc>
          <w:tcPr>
            <w:tcW w:w="10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$302</w:t>
            </w:r>
          </w:p>
        </w:tc>
        <w:tc>
          <w:tcPr>
            <w:tcW w:w="10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$ 46</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$119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60</w:t>
            </w:r>
          </w:p>
        </w:tc>
        <w:tc>
          <w:tcPr>
            <w:tcW w:w="1260" w:type="dxa"/>
            <w:vAlign w:val="bottom"/>
          </w:tcPr>
          <w:p>
            <w:pPr>
              <w:ind w:left="36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Wireless,</w:t>
            </w: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quarter</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2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2000</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0" w:type="dxa"/>
            <w:vAlign w:val="bottom"/>
            <w:gridSpan w:val="2"/>
          </w:tcPr>
          <w:p>
            <w:pPr>
              <w:jc w:val="right"/>
              <w:ind w:right="577"/>
              <w:spacing w:after="0"/>
              <w:rPr>
                <w:sz w:val="20"/>
                <w:szCs w:val="20"/>
                <w:color w:val="auto"/>
              </w:rPr>
            </w:pPr>
            <w:r>
              <w:rPr>
                <w:rFonts w:ascii="Courier New" w:cs="Courier New" w:eastAsia="Courier New" w:hAnsi="Courier New"/>
                <w:sz w:val="17"/>
                <w:szCs w:val="17"/>
                <w:color w:val="auto"/>
              </w:rPr>
              <w:t>Cost/time to</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Year</w:t>
            </w:r>
          </w:p>
        </w:tc>
      </w:tr>
      <w:tr>
        <w:trPr>
          <w:trHeight w:val="191"/>
        </w:trPr>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complete R&amp;D projects</w:t>
            </w: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cash flows</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Entity</w:t>
            </w:r>
          </w:p>
        </w:tc>
        <w:tc>
          <w:tcPr>
            <w:tcW w:w="14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R&amp;D</w:t>
            </w:r>
          </w:p>
        </w:tc>
        <w:tc>
          <w:tcPr>
            <w:tcW w:w="1140" w:type="dxa"/>
            <w:vAlign w:val="bottom"/>
          </w:tcPr>
          <w:p>
            <w:pPr>
              <w:spacing w:after="0" w:line="191" w:lineRule="exact"/>
              <w:rPr>
                <w:sz w:val="20"/>
                <w:szCs w:val="20"/>
                <w:color w:val="auto"/>
              </w:rPr>
            </w:pPr>
            <w:r>
              <w:rPr>
                <w:rFonts w:ascii="Courier New" w:cs="Courier New" w:eastAsia="Courier New" w:hAnsi="Courier New"/>
                <w:sz w:val="17"/>
                <w:szCs w:val="17"/>
                <w:color w:val="auto"/>
              </w:rPr>
              <w:t>Discount</w:t>
            </w:r>
          </w:p>
        </w:tc>
        <w:tc>
          <w:tcPr>
            <w:tcW w:w="26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projected</w:t>
            </w: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acquired</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focus</w:t>
            </w:r>
          </w:p>
        </w:tc>
        <w:tc>
          <w:tcPr>
            <w:tcW w:w="1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rate</w:t>
            </w:r>
          </w:p>
        </w:tc>
        <w:tc>
          <w:tcPr>
            <w:tcW w:w="14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At</w:t>
            </w:r>
          </w:p>
        </w:tc>
        <w:tc>
          <w:tcPr>
            <w:tcW w:w="11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At</w:t>
            </w:r>
          </w:p>
        </w:tc>
        <w:tc>
          <w:tcPr>
            <w:tcW w:w="11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to begin</w:t>
            </w:r>
          </w:p>
        </w:tc>
      </w:tr>
      <w:tr>
        <w:trPr>
          <w:trHeight w:val="191"/>
        </w:trPr>
        <w:tc>
          <w:tcPr>
            <w:tcW w:w="1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acquisition</w:t>
            </w:r>
          </w:p>
        </w:tc>
        <w:tc>
          <w:tcPr>
            <w:tcW w:w="1140" w:type="dxa"/>
            <w:vAlign w:val="bottom"/>
          </w:tcPr>
          <w:p>
            <w:pPr>
              <w:spacing w:after="0" w:line="191" w:lineRule="exact"/>
              <w:rPr>
                <w:sz w:val="20"/>
                <w:szCs w:val="20"/>
                <w:color w:val="auto"/>
              </w:rPr>
            </w:pPr>
            <w:r>
              <w:rPr>
                <w:rFonts w:ascii="Courier New" w:cs="Courier New" w:eastAsia="Courier New" w:hAnsi="Courier New"/>
                <w:sz w:val="17"/>
                <w:szCs w:val="17"/>
                <w:color w:val="auto"/>
              </w:rPr>
              <w:t>Sept 2000</w:t>
            </w:r>
          </w:p>
        </w:tc>
        <w:tc>
          <w:tcPr>
            <w:tcW w:w="1140" w:type="dxa"/>
            <w:vAlign w:val="bottom"/>
          </w:tcPr>
          <w:p>
            <w:pPr>
              <w:spacing w:after="0"/>
              <w:rPr>
                <w:sz w:val="16"/>
                <w:szCs w:val="16"/>
                <w:color w:val="auto"/>
              </w:rPr>
            </w:pPr>
          </w:p>
        </w:tc>
      </w:tr>
      <w:tr>
        <w:trPr>
          <w:trHeight w:val="191"/>
        </w:trPr>
        <w:tc>
          <w:tcPr>
            <w:tcW w:w="16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48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96"/>
              </w:rPr>
              <w:t>-----------</w:t>
            </w:r>
          </w:p>
        </w:tc>
        <w:tc>
          <w:tcPr>
            <w:tcW w:w="11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Butterfly</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Short</w:t>
            </w: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25%</w:t>
            </w:r>
          </w:p>
        </w:tc>
        <w:tc>
          <w:tcPr>
            <w:tcW w:w="1460" w:type="dxa"/>
            <w:vAlign w:val="bottom"/>
          </w:tcPr>
          <w:p>
            <w:pPr>
              <w:ind w:left="360"/>
              <w:spacing w:after="0"/>
              <w:rPr>
                <w:sz w:val="20"/>
                <w:szCs w:val="20"/>
                <w:color w:val="auto"/>
              </w:rPr>
            </w:pPr>
            <w:r>
              <w:rPr>
                <w:rFonts w:ascii="Courier New" w:cs="Courier New" w:eastAsia="Courier New" w:hAnsi="Courier New"/>
                <w:sz w:val="17"/>
                <w:szCs w:val="17"/>
                <w:color w:val="auto"/>
              </w:rPr>
              <w:t>$5/264</w:t>
            </w: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Project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VLSI,</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distance</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engineer</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completed</w:t>
            </w:r>
          </w:p>
        </w:tc>
        <w:tc>
          <w:tcPr>
            <w:tcW w:w="11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Ltd.</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wireless</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months</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technology</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for voice-</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plus-data</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26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transmission</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products</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Libit Signal</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Silicon</w:t>
            </w: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22%</w:t>
            </w:r>
          </w:p>
        </w:tc>
        <w:tc>
          <w:tcPr>
            <w:tcW w:w="1460" w:type="dxa"/>
            <w:vAlign w:val="bottom"/>
          </w:tcPr>
          <w:p>
            <w:pPr>
              <w:ind w:left="360"/>
              <w:spacing w:after="0"/>
              <w:rPr>
                <w:sz w:val="20"/>
                <w:szCs w:val="20"/>
                <w:color w:val="auto"/>
              </w:rPr>
            </w:pPr>
            <w:r>
              <w:rPr>
                <w:rFonts w:ascii="Courier New" w:cs="Courier New" w:eastAsia="Courier New" w:hAnsi="Courier New"/>
                <w:sz w:val="17"/>
                <w:szCs w:val="17"/>
                <w:color w:val="auto"/>
              </w:rPr>
              <w:t>$5/492</w:t>
            </w: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Project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Processing</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Solutions</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engineer</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completed</w:t>
            </w:r>
          </w:p>
        </w:tc>
        <w:tc>
          <w:tcPr>
            <w:tcW w:w="11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Ltd.</w:t>
            </w:r>
          </w:p>
        </w:tc>
        <w:tc>
          <w:tcPr>
            <w:tcW w:w="26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and Internet</w:t>
            </w: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months</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telephony</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software</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for cable</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26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modems, etc.</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26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for Internet</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access</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Integrated</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w w:val="94"/>
              </w:rPr>
              <w:t>Intelligent</w:t>
            </w: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25%</w:t>
            </w:r>
          </w:p>
        </w:tc>
        <w:tc>
          <w:tcPr>
            <w:tcW w:w="1460" w:type="dxa"/>
            <w:vAlign w:val="bottom"/>
          </w:tcPr>
          <w:p>
            <w:pPr>
              <w:ind w:left="360"/>
              <w:spacing w:after="0"/>
              <w:rPr>
                <w:sz w:val="20"/>
                <w:szCs w:val="20"/>
                <w:color w:val="auto"/>
              </w:rPr>
            </w:pPr>
            <w:r>
              <w:rPr>
                <w:rFonts w:ascii="Courier New" w:cs="Courier New" w:eastAsia="Courier New" w:hAnsi="Courier New"/>
                <w:sz w:val="17"/>
                <w:szCs w:val="17"/>
                <w:color w:val="auto"/>
              </w:rPr>
              <w:t>$4/233</w:t>
            </w: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Project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2000</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Sensor</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sensors</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engineer</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completed</w:t>
            </w:r>
          </w:p>
        </w:tc>
        <w:tc>
          <w:tcPr>
            <w:tcW w:w="11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Solutions,</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for auto/</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months</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262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ind. markets</w:t>
            </w: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Alantro</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Wireless</w:t>
            </w: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24%</w:t>
            </w:r>
          </w:p>
        </w:tc>
        <w:tc>
          <w:tcPr>
            <w:tcW w:w="1460" w:type="dxa"/>
            <w:vAlign w:val="bottom"/>
          </w:tcPr>
          <w:p>
            <w:pPr>
              <w:ind w:left="360"/>
              <w:spacing w:after="0"/>
              <w:rPr>
                <w:sz w:val="20"/>
                <w:szCs w:val="20"/>
                <w:color w:val="auto"/>
              </w:rPr>
            </w:pPr>
            <w:r>
              <w:rPr>
                <w:rFonts w:ascii="Courier New" w:cs="Courier New" w:eastAsia="Courier New" w:hAnsi="Courier New"/>
                <w:sz w:val="17"/>
                <w:szCs w:val="17"/>
                <w:color w:val="auto"/>
              </w:rPr>
              <w:t>$2.9/</w:t>
            </w:r>
          </w:p>
        </w:tc>
        <w:tc>
          <w:tcPr>
            <w:tcW w:w="11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$2.3/138</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2002</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Commun-</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networking</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172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ications,</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technology</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engineer</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engineer</w:t>
            </w:r>
          </w:p>
        </w:tc>
        <w:tc>
          <w:tcPr>
            <w:tcW w:w="11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for home</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months</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months</w:t>
            </w:r>
          </w:p>
        </w:tc>
        <w:tc>
          <w:tcPr>
            <w:tcW w:w="11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and office</w:t>
            </w: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2"/>
        </w:trPr>
        <w:tc>
          <w:tcPr>
            <w:tcW w:w="1600" w:type="dxa"/>
            <w:vAlign w:val="bottom"/>
          </w:tcPr>
          <w:p>
            <w:pPr>
              <w:spacing w:after="0"/>
              <w:rPr>
                <w:sz w:val="20"/>
                <w:szCs w:val="20"/>
                <w:color w:val="auto"/>
              </w:rPr>
            </w:pPr>
            <w:r>
              <w:rPr>
                <w:rFonts w:ascii="Courier New" w:cs="Courier New" w:eastAsia="Courier New" w:hAnsi="Courier New"/>
                <w:sz w:val="17"/>
                <w:szCs w:val="17"/>
                <w:color w:val="auto"/>
              </w:rPr>
              <w:t>Dot</w:t>
            </w:r>
          </w:p>
        </w:tc>
        <w:tc>
          <w:tcPr>
            <w:tcW w:w="1480" w:type="dxa"/>
            <w:vAlign w:val="bottom"/>
          </w:tcPr>
          <w:p>
            <w:pPr>
              <w:ind w:left="400"/>
              <w:spacing w:after="0"/>
              <w:rPr>
                <w:sz w:val="20"/>
                <w:szCs w:val="20"/>
                <w:color w:val="auto"/>
              </w:rPr>
            </w:pPr>
            <w:r>
              <w:rPr>
                <w:rFonts w:ascii="Courier New" w:cs="Courier New" w:eastAsia="Courier New" w:hAnsi="Courier New"/>
                <w:sz w:val="17"/>
                <w:szCs w:val="17"/>
                <w:color w:val="auto"/>
              </w:rPr>
              <w:t>Architec-</w:t>
            </w:r>
          </w:p>
        </w:tc>
        <w:tc>
          <w:tcPr>
            <w:tcW w:w="1140" w:type="dxa"/>
            <w:vAlign w:val="bottom"/>
          </w:tcPr>
          <w:p>
            <w:pPr>
              <w:ind w:left="200"/>
              <w:spacing w:after="0"/>
              <w:rPr>
                <w:sz w:val="20"/>
                <w:szCs w:val="20"/>
                <w:color w:val="auto"/>
              </w:rPr>
            </w:pPr>
            <w:r>
              <w:rPr>
                <w:rFonts w:ascii="Courier New" w:cs="Courier New" w:eastAsia="Courier New" w:hAnsi="Courier New"/>
                <w:sz w:val="17"/>
                <w:szCs w:val="17"/>
                <w:color w:val="auto"/>
              </w:rPr>
              <w:t>20%</w:t>
            </w:r>
          </w:p>
        </w:tc>
        <w:tc>
          <w:tcPr>
            <w:tcW w:w="1460" w:type="dxa"/>
            <w:vAlign w:val="bottom"/>
          </w:tcPr>
          <w:p>
            <w:pPr>
              <w:ind w:left="360"/>
              <w:spacing w:after="0"/>
              <w:rPr>
                <w:sz w:val="20"/>
                <w:szCs w:val="20"/>
                <w:color w:val="auto"/>
              </w:rPr>
            </w:pPr>
            <w:r>
              <w:rPr>
                <w:rFonts w:ascii="Courier New" w:cs="Courier New" w:eastAsia="Courier New" w:hAnsi="Courier New"/>
                <w:sz w:val="17"/>
                <w:szCs w:val="17"/>
                <w:color w:val="auto"/>
              </w:rPr>
              <w:t>$4.1/</w:t>
            </w:r>
          </w:p>
        </w:tc>
        <w:tc>
          <w:tcPr>
            <w:tcW w:w="114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$3.5/219</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w w:val="97"/>
              </w:rPr>
              <w:t>2003</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Wireless,</w:t>
            </w:r>
          </w:p>
        </w:tc>
        <w:tc>
          <w:tcPr>
            <w:tcW w:w="14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ture for</w:t>
            </w:r>
          </w:p>
        </w:tc>
        <w:tc>
          <w:tcPr>
            <w:tcW w:w="1140" w:type="dxa"/>
            <w:vAlign w:val="bottom"/>
          </w:tcPr>
          <w:p>
            <w:pPr>
              <w:spacing w:after="0"/>
              <w:rPr>
                <w:sz w:val="16"/>
                <w:szCs w:val="16"/>
                <w:color w:val="auto"/>
              </w:rPr>
            </w:pPr>
          </w:p>
        </w:tc>
        <w:tc>
          <w:tcPr>
            <w:tcW w:w="1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256</w:t>
            </w:r>
          </w:p>
        </w:tc>
        <w:tc>
          <w:tcPr>
            <w:tcW w:w="11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engineer</w:t>
            </w:r>
          </w:p>
        </w:tc>
        <w:tc>
          <w:tcPr>
            <w:tcW w:w="1140" w:type="dxa"/>
            <w:vAlign w:val="bottom"/>
          </w:tcPr>
          <w:p>
            <w:pPr>
              <w:spacing w:after="0"/>
              <w:rPr>
                <w:sz w:val="16"/>
                <w:szCs w:val="16"/>
                <w:color w:val="auto"/>
              </w:rPr>
            </w:pPr>
          </w:p>
        </w:tc>
      </w:tr>
    </w:tbl>
    <w:p>
      <w:pPr>
        <w:sectPr>
          <w:pgSz w:w="11900" w:h="16838" w:orient="portrait"/>
          <w:cols w:equalWidth="0" w:num="1">
            <w:col w:w="10219"/>
          </w:cols>
          <w:pgMar w:left="240" w:top="1257" w:right="1440" w:bottom="0" w:gutter="0" w:footer="0" w:header="0"/>
          <w:type w:val="continuous"/>
        </w:sectPr>
      </w:pPr>
    </w:p>
    <w:bookmarkStart w:id="8" w:name="page9"/>
    <w:bookmarkEnd w:id="8"/>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third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engineer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months</w:t>
      </w:r>
    </w:p>
    <w:p>
      <w:pPr>
        <w:spacing w:after="0" w:line="197" w:lineRule="exact"/>
        <w:rPr>
          <w:sz w:val="20"/>
          <w:szCs w:val="20"/>
          <w:color w:val="auto"/>
        </w:rPr>
      </w:pPr>
    </w:p>
    <w:p>
      <w:pPr>
        <w:sectPr>
          <w:pgSz w:w="11900" w:h="16838" w:orient="portrait"/>
          <w:cols w:equalWidth="0" w:num="4">
            <w:col w:w="1180" w:space="720"/>
            <w:col w:w="1860" w:space="720"/>
            <w:col w:w="800" w:space="400"/>
            <w:col w:w="4439"/>
          </w:cols>
          <w:pgMar w:left="340" w:top="135" w:right="1440" w:bottom="1440" w:gutter="0" w:footer="0" w:header="0"/>
        </w:sectPr>
      </w:pPr>
    </w:p>
    <w:p>
      <w:pPr>
        <w:ind w:left="1900"/>
        <w:spacing w:after="0" w:line="238" w:lineRule="auto"/>
        <w:rPr>
          <w:sz w:val="20"/>
          <w:szCs w:val="20"/>
          <w:color w:val="auto"/>
        </w:rPr>
      </w:pPr>
      <w:r>
        <w:rPr>
          <w:rFonts w:ascii="Courier New" w:cs="Courier New" w:eastAsia="Courier New" w:hAnsi="Courier New"/>
          <w:sz w:val="17"/>
          <w:szCs w:val="17"/>
          <w:color w:val="auto"/>
        </w:rPr>
        <w:t>(3G) wireless</w:t>
      </w:r>
    </w:p>
    <w:p>
      <w:pPr>
        <w:ind w:left="1900"/>
        <w:spacing w:after="0" w:line="238" w:lineRule="auto"/>
        <w:rPr>
          <w:sz w:val="20"/>
          <w:szCs w:val="20"/>
          <w:color w:val="auto"/>
        </w:rPr>
      </w:pPr>
      <w:r>
        <w:rPr>
          <w:rFonts w:ascii="Courier New" w:cs="Courier New" w:eastAsia="Courier New" w:hAnsi="Courier New"/>
          <w:sz w:val="17"/>
          <w:szCs w:val="17"/>
          <w:color w:val="auto"/>
        </w:rPr>
        <w:t>devices for</w:t>
      </w:r>
    </w:p>
    <w:p>
      <w:pPr>
        <w:ind w:left="1900"/>
        <w:spacing w:after="0"/>
        <w:rPr>
          <w:sz w:val="20"/>
          <w:szCs w:val="20"/>
          <w:color w:val="auto"/>
        </w:rPr>
      </w:pPr>
      <w:r>
        <w:rPr>
          <w:rFonts w:ascii="Courier New" w:cs="Courier New" w:eastAsia="Courier New" w:hAnsi="Courier New"/>
          <w:sz w:val="17"/>
          <w:szCs w:val="17"/>
          <w:color w:val="auto"/>
        </w:rPr>
        <w:t>delivering</w:t>
      </w:r>
    </w:p>
    <w:p>
      <w:pPr>
        <w:ind w:left="1900"/>
        <w:spacing w:after="0" w:line="237" w:lineRule="auto"/>
        <w:rPr>
          <w:sz w:val="20"/>
          <w:szCs w:val="20"/>
          <w:color w:val="auto"/>
        </w:rPr>
      </w:pPr>
      <w:r>
        <w:rPr>
          <w:rFonts w:ascii="Courier New" w:cs="Courier New" w:eastAsia="Courier New" w:hAnsi="Courier New"/>
          <w:sz w:val="17"/>
          <w:szCs w:val="17"/>
          <w:color w:val="auto"/>
        </w:rPr>
        <w:t>voice and</w:t>
      </w:r>
    </w:p>
    <w:p>
      <w:pPr>
        <w:ind w:left="1900"/>
        <w:spacing w:after="0" w:line="238" w:lineRule="auto"/>
        <w:rPr>
          <w:sz w:val="20"/>
          <w:szCs w:val="20"/>
          <w:color w:val="auto"/>
        </w:rPr>
      </w:pPr>
      <w:r>
        <w:rPr>
          <w:rFonts w:ascii="Courier New" w:cs="Courier New" w:eastAsia="Courier New" w:hAnsi="Courier New"/>
          <w:sz w:val="17"/>
          <w:szCs w:val="17"/>
          <w:color w:val="auto"/>
        </w:rPr>
        <w:t>high speed</w:t>
      </w:r>
    </w:p>
    <w:p>
      <w:pPr>
        <w:ind w:left="1900"/>
        <w:spacing w:after="0"/>
        <w:rPr>
          <w:sz w:val="20"/>
          <w:szCs w:val="20"/>
          <w:color w:val="auto"/>
        </w:rPr>
      </w:pPr>
      <w:r>
        <w:rPr>
          <w:rFonts w:ascii="Courier New" w:cs="Courier New" w:eastAsia="Courier New" w:hAnsi="Courier New"/>
          <w:sz w:val="17"/>
          <w:szCs w:val="17"/>
          <w:color w:val="auto"/>
        </w:rPr>
        <w:t>data to</w:t>
      </w:r>
    </w:p>
    <w:p>
      <w:pPr>
        <w:ind w:left="1900"/>
        <w:spacing w:after="0" w:line="237" w:lineRule="auto"/>
        <w:rPr>
          <w:sz w:val="20"/>
          <w:szCs w:val="20"/>
          <w:color w:val="auto"/>
        </w:rPr>
      </w:pPr>
      <w:r>
        <w:rPr>
          <w:rFonts w:ascii="Courier New" w:cs="Courier New" w:eastAsia="Courier New" w:hAnsi="Courier New"/>
          <w:sz w:val="17"/>
          <w:szCs w:val="17"/>
          <w:color w:val="auto"/>
        </w:rPr>
        <w:t>mobile users</w:t>
      </w:r>
    </w:p>
    <w:p>
      <w:pPr>
        <w:spacing w:after="0" w:line="388"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119"/>
          </w:cols>
          <w:pgMar w:left="340" w:top="135" w:right="1440" w:bottom="1440" w:gutter="0" w:footer="0" w:header="0"/>
          <w:type w:val="continuous"/>
        </w:sectPr>
      </w:pPr>
    </w:p>
    <w:bookmarkStart w:id="9" w:name="page10"/>
    <w:bookmarkEnd w:id="9"/>
    <w:p>
      <w:pPr>
        <w:ind w:right="2880" w:firstLine="2"/>
        <w:spacing w:after="0" w:line="235" w:lineRule="auto"/>
        <w:tabs>
          <w:tab w:leader="none" w:pos="3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is a reconciliation of individual restructuring accruals (in millions of dollars).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20" w:type="dxa"/>
            <w:vAlign w:val="bottom"/>
            <w:gridSpan w:val="3"/>
          </w:tcPr>
          <w:p>
            <w:pPr>
              <w:ind w:left="440"/>
              <w:spacing w:after="0"/>
              <w:rPr>
                <w:sz w:val="20"/>
                <w:szCs w:val="20"/>
                <w:color w:val="auto"/>
              </w:rPr>
            </w:pPr>
            <w:r>
              <w:rPr>
                <w:rFonts w:ascii="Courier New" w:cs="Courier New" w:eastAsia="Courier New" w:hAnsi="Courier New"/>
                <w:sz w:val="17"/>
                <w:szCs w:val="17"/>
                <w:color w:val="auto"/>
              </w:rPr>
              <w:t>Year of Charge</w:t>
            </w: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320" w:type="dxa"/>
            <w:vAlign w:val="bottom"/>
            <w:gridSpan w:val="5"/>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Balance, prior</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1998</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rPr>
              <w:t>actions --</w:t>
            </w:r>
          </w:p>
        </w:tc>
        <w:tc>
          <w:tcPr>
            <w:tcW w:w="4320" w:type="dxa"/>
            <w:vAlign w:val="bottom"/>
            <w:gridSpan w:val="5"/>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primarily</w:t>
            </w:r>
          </w:p>
        </w:tc>
        <w:tc>
          <w:tcPr>
            <w:tcW w:w="11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SC</w:t>
            </w:r>
          </w:p>
        </w:tc>
        <w:tc>
          <w:tcPr>
            <w:tcW w:w="15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w w:val="99"/>
              </w:rPr>
              <w:t>SC operation</w:t>
            </w:r>
          </w:p>
        </w:tc>
        <w:tc>
          <w:tcPr>
            <w:tcW w:w="7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87"/>
              </w:rPr>
              <w:t>SC</w:t>
            </w: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severance and</w:t>
            </w:r>
          </w:p>
        </w:tc>
        <w:tc>
          <w:tcPr>
            <w:tcW w:w="11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and</w:t>
            </w:r>
          </w:p>
        </w:tc>
        <w:tc>
          <w:tcPr>
            <w:tcW w:w="158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closing &amp;</w:t>
            </w:r>
          </w:p>
        </w:tc>
        <w:tc>
          <w:tcPr>
            <w:tcW w:w="1640" w:type="dxa"/>
            <w:vAlign w:val="bottom"/>
            <w:gridSpan w:val="2"/>
          </w:tcPr>
          <w:p>
            <w:pPr>
              <w:jc w:val="right"/>
              <w:ind w:right="417"/>
              <w:spacing w:after="0" w:line="191" w:lineRule="exact"/>
              <w:rPr>
                <w:sz w:val="20"/>
                <w:szCs w:val="20"/>
                <w:color w:val="auto"/>
              </w:rPr>
            </w:pPr>
            <w:r>
              <w:rPr>
                <w:rFonts w:ascii="Courier New" w:cs="Courier New" w:eastAsia="Courier New" w:hAnsi="Courier New"/>
                <w:sz w:val="17"/>
                <w:szCs w:val="17"/>
                <w:color w:val="auto"/>
              </w:rPr>
              <w:t>Unitrode</w:t>
            </w:r>
          </w:p>
        </w:tc>
      </w:tr>
      <w:tr>
        <w:trPr>
          <w:trHeight w:val="191"/>
        </w:trPr>
        <w:tc>
          <w:tcPr>
            <w:tcW w:w="2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38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business</w:t>
            </w:r>
          </w:p>
        </w:tc>
        <w:tc>
          <w:tcPr>
            <w:tcW w:w="110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Corp.</w:t>
            </w:r>
          </w:p>
        </w:tc>
        <w:tc>
          <w:tcPr>
            <w:tcW w:w="15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M&amp;C sale of</w:t>
            </w:r>
          </w:p>
        </w:tc>
        <w:tc>
          <w:tcPr>
            <w:tcW w:w="16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9"/>
              </w:rPr>
              <w:t>semiconductor</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Description*</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Total</w:t>
            </w:r>
          </w:p>
        </w:tc>
        <w:tc>
          <w:tcPr>
            <w:tcW w:w="238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divestiture related</w:t>
            </w:r>
          </w:p>
        </w:tc>
        <w:tc>
          <w:tcPr>
            <w:tcW w:w="11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actions</w:t>
            </w:r>
          </w:p>
        </w:tc>
        <w:tc>
          <w:tcPr>
            <w:tcW w:w="158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rPr>
              <w:t>operation</w:t>
            </w:r>
          </w:p>
        </w:tc>
        <w:tc>
          <w:tcPr>
            <w:tcW w:w="16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action</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9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ind w:left="240"/>
              <w:spacing w:after="0" w:line="191" w:lineRule="exact"/>
              <w:rPr>
                <w:sz w:val="20"/>
                <w:szCs w:val="20"/>
                <w:color w:val="auto"/>
              </w:rPr>
            </w:pPr>
            <w:r>
              <w:rPr>
                <w:rFonts w:ascii="Courier New" w:cs="Courier New" w:eastAsia="Courier New" w:hAnsi="Courier New"/>
                <w:sz w:val="17"/>
                <w:szCs w:val="17"/>
                <w:color w:val="auto"/>
                <w:w w:val="99"/>
              </w:rPr>
              <w:t>-------------</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BALANCE, DECEMBER 31, 1999...</w:t>
            </w:r>
          </w:p>
        </w:tc>
        <w:tc>
          <w:tcPr>
            <w:tcW w:w="96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$ 76</w:t>
            </w:r>
          </w:p>
        </w:tc>
        <w:tc>
          <w:tcPr>
            <w:tcW w:w="2380" w:type="dxa"/>
            <w:vAlign w:val="bottom"/>
          </w:tcPr>
          <w:p>
            <w:pPr>
              <w:jc w:val="right"/>
              <w:ind w:right="1057"/>
              <w:spacing w:after="0"/>
              <w:rPr>
                <w:sz w:val="20"/>
                <w:szCs w:val="20"/>
                <w:color w:val="auto"/>
              </w:rPr>
            </w:pPr>
            <w:r>
              <w:rPr>
                <w:rFonts w:ascii="Courier New" w:cs="Courier New" w:eastAsia="Courier New" w:hAnsi="Courier New"/>
                <w:sz w:val="17"/>
                <w:szCs w:val="17"/>
                <w:color w:val="auto"/>
              </w:rPr>
              <w:t>$ 44</w:t>
            </w:r>
          </w:p>
        </w:tc>
        <w:tc>
          <w:tcPr>
            <w:tcW w:w="110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$ 17</w:t>
            </w:r>
          </w:p>
        </w:tc>
        <w:tc>
          <w:tcPr>
            <w:tcW w:w="580" w:type="dxa"/>
            <w:vAlign w:val="bottom"/>
          </w:tcPr>
          <w:p>
            <w:pPr>
              <w:ind w:left="44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6</w:t>
            </w:r>
          </w:p>
        </w:tc>
        <w:tc>
          <w:tcPr>
            <w:tcW w:w="740" w:type="dxa"/>
            <w:vAlign w:val="bottom"/>
          </w:tcPr>
          <w:p>
            <w:pPr>
              <w:ind w:left="54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1</w:t>
            </w: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CHARGES:</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Severance ...................</w:t>
            </w: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w:t>
            </w:r>
          </w:p>
        </w:tc>
        <w:tc>
          <w:tcPr>
            <w:tcW w:w="2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Various charges .............</w:t>
            </w:r>
          </w:p>
        </w:tc>
        <w:tc>
          <w:tcPr>
            <w:tcW w:w="96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w:t>
            </w: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DISPOSITIONS:</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Severance payments ..........</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w:t>
            </w:r>
          </w:p>
        </w:tc>
        <w:tc>
          <w:tcPr>
            <w:tcW w:w="23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(1)</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MARCH 31, 2000</w:t>
            </w: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83</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43</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14</w:t>
            </w:r>
          </w:p>
        </w:tc>
        <w:tc>
          <w:tcPr>
            <w:tcW w:w="580" w:type="dxa"/>
            <w:vAlign w:val="bottom"/>
          </w:tcPr>
          <w:p>
            <w:pPr>
              <w:spacing w:after="0"/>
              <w:rPr>
                <w:sz w:val="16"/>
                <w:szCs w:val="16"/>
                <w:color w:val="auto"/>
              </w:rPr>
            </w:pPr>
          </w:p>
        </w:tc>
        <w:tc>
          <w:tcPr>
            <w:tcW w:w="1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6</w:t>
            </w:r>
          </w:p>
        </w:tc>
        <w:tc>
          <w:tcPr>
            <w:tcW w:w="740" w:type="dxa"/>
            <w:vAlign w:val="bottom"/>
          </w:tcPr>
          <w:p>
            <w:pPr>
              <w:spacing w:after="0"/>
              <w:rPr>
                <w:sz w:val="16"/>
                <w:szCs w:val="16"/>
                <w:color w:val="auto"/>
              </w:rPr>
            </w:pPr>
          </w:p>
        </w:tc>
        <w:tc>
          <w:tcPr>
            <w:tcW w:w="9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w:t>
            </w:r>
          </w:p>
        </w:tc>
      </w:tr>
      <w:tr>
        <w:trPr>
          <w:trHeight w:val="574"/>
        </w:trPr>
        <w:tc>
          <w:tcPr>
            <w:tcW w:w="2980" w:type="dxa"/>
            <w:vAlign w:val="bottom"/>
          </w:tcPr>
          <w:p>
            <w:pPr>
              <w:spacing w:after="0"/>
              <w:rPr>
                <w:sz w:val="20"/>
                <w:szCs w:val="20"/>
                <w:color w:val="auto"/>
              </w:rPr>
            </w:pPr>
            <w:r>
              <w:rPr>
                <w:rFonts w:ascii="Courier New" w:cs="Courier New" w:eastAsia="Courier New" w:hAnsi="Courier New"/>
                <w:sz w:val="17"/>
                <w:szCs w:val="17"/>
                <w:color w:val="auto"/>
              </w:rPr>
              <w:t>DISPOSITIONS:</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Severance payments ..........</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w:t>
            </w:r>
          </w:p>
        </w:tc>
        <w:tc>
          <w:tcPr>
            <w:tcW w:w="23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(3)</w:t>
            </w: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w w:val="91"/>
              </w:rPr>
              <w:t>(1)</w:t>
            </w:r>
          </w:p>
        </w:tc>
      </w:tr>
      <w:tr>
        <w:trPr>
          <w:trHeight w:val="382"/>
        </w:trPr>
        <w:tc>
          <w:tcPr>
            <w:tcW w:w="2980" w:type="dxa"/>
            <w:vAlign w:val="bottom"/>
          </w:tcPr>
          <w:p>
            <w:pPr>
              <w:spacing w:after="0"/>
              <w:rPr>
                <w:sz w:val="20"/>
                <w:szCs w:val="20"/>
                <w:color w:val="auto"/>
              </w:rPr>
            </w:pPr>
            <w:r>
              <w:rPr>
                <w:rFonts w:ascii="Courier New" w:cs="Courier New" w:eastAsia="Courier New" w:hAnsi="Courier New"/>
                <w:sz w:val="17"/>
                <w:szCs w:val="17"/>
                <w:color w:val="auto"/>
              </w:rPr>
              <w:t>Various payments ............</w:t>
            </w:r>
          </w:p>
        </w:tc>
        <w:tc>
          <w:tcPr>
            <w:tcW w:w="9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w:t>
            </w:r>
          </w:p>
        </w:tc>
        <w:tc>
          <w:tcPr>
            <w:tcW w:w="2380" w:type="dxa"/>
            <w:vAlign w:val="bottom"/>
          </w:tcPr>
          <w:p>
            <w:pPr>
              <w:jc w:val="right"/>
              <w:ind w:right="957"/>
              <w:spacing w:after="0"/>
              <w:rPr>
                <w:sz w:val="20"/>
                <w:szCs w:val="20"/>
                <w:color w:val="auto"/>
              </w:rPr>
            </w:pPr>
            <w:r>
              <w:rPr>
                <w:rFonts w:ascii="Courier New" w:cs="Courier New" w:eastAsia="Courier New" w:hAnsi="Courier New"/>
                <w:sz w:val="17"/>
                <w:szCs w:val="17"/>
                <w:color w:val="auto"/>
              </w:rPr>
              <w:t>(1)</w:t>
            </w: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Adjustments - net</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reversal to income ........</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w:t>
            </w:r>
          </w:p>
        </w:tc>
        <w:tc>
          <w:tcPr>
            <w:tcW w:w="238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(7)</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JUNE 30, 2000</w:t>
            </w: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68</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32</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13</w:t>
            </w:r>
          </w:p>
        </w:tc>
        <w:tc>
          <w:tcPr>
            <w:tcW w:w="580" w:type="dxa"/>
            <w:vAlign w:val="bottom"/>
          </w:tcPr>
          <w:p>
            <w:pPr>
              <w:spacing w:after="0"/>
              <w:rPr>
                <w:sz w:val="16"/>
                <w:szCs w:val="16"/>
                <w:color w:val="auto"/>
              </w:rPr>
            </w:pPr>
          </w:p>
        </w:tc>
        <w:tc>
          <w:tcPr>
            <w:tcW w:w="1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6</w:t>
            </w:r>
          </w:p>
        </w:tc>
        <w:tc>
          <w:tcPr>
            <w:tcW w:w="740" w:type="dxa"/>
            <w:vAlign w:val="bottom"/>
          </w:tcPr>
          <w:p>
            <w:pPr>
              <w:spacing w:after="0"/>
              <w:rPr>
                <w:sz w:val="16"/>
                <w:szCs w:val="16"/>
                <w:color w:val="auto"/>
              </w:rPr>
            </w:pPr>
          </w:p>
        </w:tc>
        <w:tc>
          <w:tcPr>
            <w:tcW w:w="9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2980" w:type="dxa"/>
            <w:vAlign w:val="bottom"/>
          </w:tcPr>
          <w:p>
            <w:pPr>
              <w:spacing w:after="0"/>
              <w:rPr>
                <w:sz w:val="20"/>
                <w:szCs w:val="20"/>
                <w:color w:val="auto"/>
              </w:rPr>
            </w:pPr>
            <w:r>
              <w:rPr>
                <w:rFonts w:ascii="Courier New" w:cs="Courier New" w:eastAsia="Courier New" w:hAnsi="Courier New"/>
                <w:sz w:val="17"/>
                <w:szCs w:val="17"/>
                <w:color w:val="auto"/>
              </w:rPr>
              <w:t>CHARGES:</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Severance ...................</w:t>
            </w: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w:t>
            </w:r>
          </w:p>
        </w:tc>
        <w:tc>
          <w:tcPr>
            <w:tcW w:w="2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DISPOSITIONS:</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Severance payments ..........</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w:t>
            </w:r>
          </w:p>
        </w:tc>
        <w:tc>
          <w:tcPr>
            <w:tcW w:w="2380" w:type="dxa"/>
            <w:vAlign w:val="bottom"/>
          </w:tcPr>
          <w:p>
            <w:pPr>
              <w:spacing w:after="0"/>
              <w:rPr>
                <w:sz w:val="16"/>
                <w:szCs w:val="16"/>
                <w:color w:val="auto"/>
              </w:rPr>
            </w:pPr>
          </w:p>
        </w:tc>
        <w:tc>
          <w:tcPr>
            <w:tcW w:w="11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w:t>
            </w: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Various payments ............</w:t>
            </w:r>
          </w:p>
        </w:tc>
        <w:tc>
          <w:tcPr>
            <w:tcW w:w="9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w:t>
            </w: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Adjustments - net</w:t>
            </w: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reversal to income ........</w:t>
            </w:r>
          </w:p>
        </w:tc>
        <w:tc>
          <w:tcPr>
            <w:tcW w:w="9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w:t>
            </w:r>
          </w:p>
        </w:tc>
        <w:tc>
          <w:tcPr>
            <w:tcW w:w="2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line="191" w:lineRule="exact"/>
              <w:rPr>
                <w:sz w:val="20"/>
                <w:szCs w:val="20"/>
                <w:color w:val="auto"/>
              </w:rPr>
            </w:pPr>
            <w:r>
              <w:rPr>
                <w:rFonts w:ascii="Courier New" w:cs="Courier New" w:eastAsia="Courier New" w:hAnsi="Courier New"/>
                <w:sz w:val="17"/>
                <w:szCs w:val="17"/>
                <w:color w:val="auto"/>
              </w:rPr>
              <w:t>BALANCE, SEPTEMBER 30, 2000</w:t>
            </w: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$ 79</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$ 32</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$ 11</w:t>
            </w:r>
          </w:p>
        </w:tc>
        <w:tc>
          <w:tcPr>
            <w:tcW w:w="580" w:type="dxa"/>
            <w:vAlign w:val="bottom"/>
          </w:tcPr>
          <w:p>
            <w:pPr>
              <w:ind w:left="440"/>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5</w:t>
            </w:r>
          </w:p>
        </w:tc>
        <w:tc>
          <w:tcPr>
            <w:tcW w:w="7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80" w:type="dxa"/>
            <w:vAlign w:val="bottom"/>
          </w:tcPr>
          <w:p>
            <w:pPr>
              <w:spacing w:after="0"/>
              <w:rPr>
                <w:sz w:val="16"/>
                <w:szCs w:val="16"/>
                <w:color w:val="auto"/>
              </w:rPr>
            </w:pPr>
          </w:p>
        </w:tc>
        <w:tc>
          <w:tcPr>
            <w:tcW w:w="96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2380" w:type="dxa"/>
            <w:vAlign w:val="bottom"/>
          </w:tcPr>
          <w:p>
            <w:pPr>
              <w:jc w:val="right"/>
              <w:ind w:right="105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gridSpan w:val="2"/>
          </w:tcPr>
          <w:p>
            <w:pPr>
              <w:jc w:val="right"/>
              <w:ind w:right="6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0640"/>
          </w:cols>
          <w:pgMar w:left="240" w:top="881" w:right="10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Year of Charge</w:t>
      </w:r>
    </w:p>
    <w:p>
      <w:pPr>
        <w:spacing w:after="0" w:line="238" w:lineRule="auto"/>
        <w:rPr>
          <w:sz w:val="20"/>
          <w:szCs w:val="20"/>
          <w:color w:val="auto"/>
        </w:rPr>
      </w:pPr>
      <w:r>
        <w:rPr>
          <w:rFonts w:ascii="Courier New" w:cs="Courier New" w:eastAsia="Courier New" w:hAnsi="Courier New"/>
          <w:sz w:val="17"/>
          <w:szCs w:val="17"/>
          <w:color w:val="auto"/>
        </w:rPr>
        <w:t>---------------------------------------------</w:t>
      </w:r>
    </w:p>
    <w:p>
      <w:pPr>
        <w:ind w:left="1100"/>
        <w:spacing w:after="0" w:line="238" w:lineRule="auto"/>
        <w:tabs>
          <w:tab w:leader="none" w:pos="3360" w:val="left"/>
        </w:tabs>
        <w:rPr>
          <w:sz w:val="20"/>
          <w:szCs w:val="20"/>
          <w:color w:val="auto"/>
        </w:rPr>
      </w:pP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7"/>
          <w:szCs w:val="17"/>
          <w:color w:val="auto"/>
        </w:rPr>
        <w:t>2000</w:t>
      </w:r>
    </w:p>
    <w:p>
      <w:pPr>
        <w:spacing w:after="0"/>
        <w:tabs>
          <w:tab w:leader="none" w:pos="2260" w:val="left"/>
        </w:tabs>
        <w:rPr>
          <w:sz w:val="20"/>
          <w:szCs w:val="20"/>
          <w:color w:val="auto"/>
        </w:rPr>
      </w:pPr>
      <w:r>
        <w:rPr>
          <w:rFonts w:ascii="Courier New" w:cs="Courier New" w:eastAsia="Courier New" w:hAnsi="Courier New"/>
          <w:sz w:val="17"/>
          <w:szCs w:val="17"/>
          <w:color w:val="auto"/>
        </w:rPr>
        <w:t>---------------------</w:t>
        <w:tab/>
        <w:t>----------------------</w:t>
      </w:r>
    </w:p>
    <w:p>
      <w:pPr>
        <w:ind w:left="400"/>
        <w:spacing w:after="0" w:line="237" w:lineRule="auto"/>
        <w:tabs>
          <w:tab w:leader="none" w:pos="1580" w:val="left"/>
        </w:tabs>
        <w:rPr>
          <w:sz w:val="20"/>
          <w:szCs w:val="20"/>
          <w:color w:val="auto"/>
        </w:rPr>
      </w:pPr>
      <w:r>
        <w:rPr>
          <w:rFonts w:ascii="Courier New" w:cs="Courier New" w:eastAsia="Courier New" w:hAnsi="Courier New"/>
          <w:sz w:val="17"/>
          <w:szCs w:val="17"/>
          <w:color w:val="auto"/>
        </w:rPr>
        <w:t>SC</w:t>
      </w:r>
      <w:r>
        <w:rPr>
          <w:sz w:val="20"/>
          <w:szCs w:val="20"/>
          <w:color w:val="auto"/>
        </w:rPr>
        <w:tab/>
      </w:r>
      <w:r>
        <w:rPr>
          <w:rFonts w:ascii="Courier New" w:cs="Courier New" w:eastAsia="Courier New" w:hAnsi="Courier New"/>
          <w:sz w:val="17"/>
          <w:szCs w:val="17"/>
          <w:color w:val="auto"/>
        </w:rPr>
        <w:t>cost</w:t>
      </w:r>
    </w:p>
    <w:p>
      <w:pPr>
        <w:ind w:left="100"/>
        <w:spacing w:after="0"/>
        <w:tabs>
          <w:tab w:leader="none" w:pos="1380" w:val="left"/>
          <w:tab w:leader="none" w:pos="2660" w:val="left"/>
          <w:tab w:leader="none" w:pos="3760" w:val="left"/>
        </w:tabs>
        <w:rPr>
          <w:sz w:val="20"/>
          <w:szCs w:val="20"/>
          <w:color w:val="auto"/>
        </w:rPr>
      </w:pPr>
      <w:r>
        <w:rPr>
          <w:rFonts w:ascii="Courier New" w:cs="Courier New" w:eastAsia="Courier New" w:hAnsi="Courier New"/>
          <w:sz w:val="17"/>
          <w:szCs w:val="17"/>
          <w:color w:val="auto"/>
        </w:rPr>
        <w:t>operation</w:t>
      </w:r>
      <w:r>
        <w:rPr>
          <w:sz w:val="20"/>
          <w:szCs w:val="20"/>
          <w:color w:val="auto"/>
        </w:rPr>
        <w:tab/>
      </w:r>
      <w:r>
        <w:rPr>
          <w:rFonts w:ascii="Courier New" w:cs="Courier New" w:eastAsia="Courier New" w:hAnsi="Courier New"/>
          <w:sz w:val="17"/>
          <w:szCs w:val="17"/>
          <w:color w:val="auto"/>
        </w:rPr>
        <w:t>reduction</w:t>
      </w:r>
      <w:r>
        <w:rPr>
          <w:sz w:val="20"/>
          <w:szCs w:val="20"/>
          <w:color w:val="auto"/>
        </w:rPr>
        <w:tab/>
      </w:r>
      <w:r>
        <w:rPr>
          <w:rFonts w:ascii="Courier New" w:cs="Courier New" w:eastAsia="Courier New" w:hAnsi="Courier New"/>
          <w:sz w:val="17"/>
          <w:szCs w:val="17"/>
          <w:color w:val="auto"/>
        </w:rPr>
        <w:t>M&amp;C</w:t>
      </w:r>
      <w:r>
        <w:rPr>
          <w:sz w:val="20"/>
          <w:szCs w:val="20"/>
          <w:color w:val="auto"/>
        </w:rPr>
        <w:tab/>
      </w:r>
      <w:r>
        <w:rPr>
          <w:rFonts w:ascii="Courier New" w:cs="Courier New" w:eastAsia="Courier New" w:hAnsi="Courier New"/>
          <w:sz w:val="16"/>
          <w:szCs w:val="16"/>
          <w:color w:val="auto"/>
        </w:rPr>
        <w:t>SC and M&amp;C</w:t>
      </w:r>
    </w:p>
    <w:p>
      <w:pPr>
        <w:spacing w:after="0"/>
        <w:tabs>
          <w:tab w:leader="none" w:pos="1580" w:val="left"/>
          <w:tab w:leader="none" w:pos="2660" w:val="left"/>
          <w:tab w:leader="none" w:pos="3660" w:val="left"/>
        </w:tabs>
        <w:rPr>
          <w:sz w:val="20"/>
          <w:szCs w:val="20"/>
          <w:color w:val="auto"/>
        </w:rPr>
      </w:pPr>
      <w:r>
        <w:rPr>
          <w:rFonts w:ascii="Courier New" w:cs="Courier New" w:eastAsia="Courier New" w:hAnsi="Courier New"/>
          <w:sz w:val="17"/>
          <w:szCs w:val="17"/>
          <w:color w:val="auto"/>
        </w:rPr>
        <w:t>closing in</w:t>
      </w:r>
      <w:r>
        <w:rPr>
          <w:sz w:val="20"/>
          <w:szCs w:val="20"/>
          <w:color w:val="auto"/>
        </w:rPr>
        <w:tab/>
      </w:r>
      <w:r>
        <w:rPr>
          <w:rFonts w:ascii="Courier New" w:cs="Courier New" w:eastAsia="Courier New" w:hAnsi="Courier New"/>
          <w:sz w:val="17"/>
          <w:szCs w:val="17"/>
          <w:color w:val="auto"/>
        </w:rPr>
        <w:t>action</w:t>
      </w:r>
      <w:r>
        <w:rPr>
          <w:sz w:val="20"/>
          <w:szCs w:val="20"/>
          <w:color w:val="auto"/>
        </w:rPr>
        <w:tab/>
      </w:r>
      <w:r>
        <w:rPr>
          <w:rFonts w:ascii="Courier New" w:cs="Courier New" w:eastAsia="Courier New" w:hAnsi="Courier New"/>
          <w:sz w:val="17"/>
          <w:szCs w:val="17"/>
          <w:color w:val="auto"/>
        </w:rPr>
        <w:t>site</w:t>
      </w:r>
      <w:r>
        <w:rPr>
          <w:sz w:val="20"/>
          <w:szCs w:val="20"/>
          <w:color w:val="auto"/>
        </w:rPr>
        <w:tab/>
      </w:r>
      <w:r>
        <w:rPr>
          <w:rFonts w:ascii="Courier New" w:cs="Courier New" w:eastAsia="Courier New" w:hAnsi="Courier New"/>
          <w:sz w:val="16"/>
          <w:szCs w:val="16"/>
          <w:color w:val="auto"/>
        </w:rPr>
        <w:t>restructuring</w:t>
      </w:r>
    </w:p>
    <w:p>
      <w:pPr>
        <w:ind w:left="300"/>
        <w:spacing w:after="0"/>
        <w:tabs>
          <w:tab w:leader="none" w:pos="1580" w:val="left"/>
          <w:tab w:leader="none" w:pos="2560" w:val="left"/>
          <w:tab w:leader="none" w:pos="3960" w:val="left"/>
        </w:tabs>
        <w:rPr>
          <w:sz w:val="20"/>
          <w:szCs w:val="20"/>
          <w:color w:val="auto"/>
        </w:rPr>
      </w:pPr>
      <w:r>
        <w:rPr>
          <w:rFonts w:ascii="Courier New" w:cs="Courier New" w:eastAsia="Courier New" w:hAnsi="Courier New"/>
          <w:sz w:val="17"/>
          <w:szCs w:val="17"/>
          <w:color w:val="auto"/>
        </w:rPr>
        <w:t>Japan</w:t>
      </w:r>
      <w:r>
        <w:rPr>
          <w:sz w:val="20"/>
          <w:szCs w:val="20"/>
          <w:color w:val="auto"/>
        </w:rPr>
        <w:tab/>
      </w:r>
      <w:r>
        <w:rPr>
          <w:rFonts w:ascii="Courier New" w:cs="Courier New" w:eastAsia="Courier New" w:hAnsi="Courier New"/>
          <w:sz w:val="17"/>
          <w:szCs w:val="17"/>
          <w:color w:val="auto"/>
        </w:rPr>
        <w:t>in U.S.</w:t>
      </w:r>
      <w:r>
        <w:rPr>
          <w:sz w:val="20"/>
          <w:szCs w:val="20"/>
          <w:color w:val="auto"/>
        </w:rPr>
        <w:tab/>
      </w:r>
      <w:r>
        <w:rPr>
          <w:rFonts w:ascii="Courier New" w:cs="Courier New" w:eastAsia="Courier New" w:hAnsi="Courier New"/>
          <w:sz w:val="17"/>
          <w:szCs w:val="17"/>
          <w:color w:val="auto"/>
        </w:rPr>
        <w:t>closing</w:t>
      </w:r>
      <w:r>
        <w:rPr>
          <w:sz w:val="20"/>
          <w:szCs w:val="20"/>
          <w:color w:val="auto"/>
        </w:rPr>
        <w:tab/>
      </w:r>
      <w:r>
        <w:rPr>
          <w:rFonts w:ascii="Courier New" w:cs="Courier New" w:eastAsia="Courier New" w:hAnsi="Courier New"/>
          <w:sz w:val="16"/>
          <w:szCs w:val="16"/>
          <w:color w:val="auto"/>
        </w:rPr>
        <w:t>actions</w:t>
      </w:r>
    </w:p>
    <w:p>
      <w:pPr>
        <w:spacing w:after="0"/>
        <w:tabs>
          <w:tab w:leader="none" w:pos="1380" w:val="left"/>
          <w:tab w:leader="none" w:pos="2560" w:val="left"/>
          <w:tab w:leader="none" w:pos="366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w:t>
      </w:r>
    </w:p>
    <w:p>
      <w:pPr>
        <w:spacing w:after="0" w:line="189" w:lineRule="exact"/>
        <w:rPr>
          <w:sz w:val="20"/>
          <w:szCs w:val="20"/>
          <w:color w:val="auto"/>
        </w:rPr>
      </w:pPr>
    </w:p>
    <w:p>
      <w:pPr>
        <w:sectPr>
          <w:pgSz w:w="11900" w:h="16838" w:orient="portrait"/>
          <w:cols w:equalWidth="0" w:num="2">
            <w:col w:w="3260" w:space="720"/>
            <w:col w:w="6660"/>
          </w:cols>
          <w:pgMar w:left="240" w:top="881" w:right="101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DECEMBER 31, 1999...</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tab/>
        <w:t>6</w:t>
      </w:r>
    </w:p>
    <w:p>
      <w:pPr>
        <w:spacing w:after="0" w:line="204" w:lineRule="exact"/>
        <w:rPr>
          <w:sz w:val="20"/>
          <w:szCs w:val="20"/>
          <w:color w:val="auto"/>
        </w:rPr>
      </w:pPr>
    </w:p>
    <w:p>
      <w:pPr>
        <w:sectPr>
          <w:pgSz w:w="11900" w:h="16838" w:orient="portrait"/>
          <w:cols w:equalWidth="0" w:num="3">
            <w:col w:w="3560" w:space="720"/>
            <w:col w:w="680" w:space="720"/>
            <w:col w:w="4960"/>
          </w:cols>
          <w:pgMar w:left="240" w:top="881" w:right="1019" w:bottom="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CHARGES: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Severance ...................</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$ 12</w:t>
      </w:r>
    </w:p>
    <w:p>
      <w:pPr>
        <w:spacing w:after="0" w:line="195" w:lineRule="exact"/>
        <w:rPr>
          <w:sz w:val="20"/>
          <w:szCs w:val="20"/>
          <w:color w:val="auto"/>
        </w:rPr>
      </w:pPr>
    </w:p>
    <w:p>
      <w:pPr>
        <w:sectPr>
          <w:pgSz w:w="11900" w:h="16838" w:orient="portrait"/>
          <w:cols w:equalWidth="0" w:num="2">
            <w:col w:w="6040" w:space="720"/>
            <w:col w:w="3880"/>
          </w:cols>
          <w:pgMar w:left="240" w:top="881" w:right="1019"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Various charges .............</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48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jc w:val="right"/>
        <w:ind w:right="34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sectPr>
          <w:pgSz w:w="11900" w:h="16838" w:orient="portrait"/>
          <w:cols w:equalWidth="0" w:num="3">
            <w:col w:w="3560" w:space="720"/>
            <w:col w:w="1780" w:space="700"/>
            <w:col w:w="3880"/>
          </w:cols>
          <w:pgMar w:left="240" w:top="881" w:right="101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DISPOSITIONS: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Severance payments ..........</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BALANCE, MARCH 31, 2000</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(2)</w:t>
      </w:r>
    </w:p>
    <w:p>
      <w:pPr>
        <w:spacing w:after="0" w:line="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ind w:left="300"/>
        <w:spacing w:after="0" w:line="238" w:lineRule="auto"/>
        <w:tabs>
          <w:tab w:leader="none" w:pos="1660" w:val="left"/>
        </w:tabs>
        <w:rPr>
          <w:sz w:val="20"/>
          <w:szCs w:val="20"/>
          <w:color w:val="auto"/>
        </w:rPr>
      </w:pPr>
      <w:r>
        <w:rPr>
          <w:rFonts w:ascii="Courier New" w:cs="Courier New" w:eastAsia="Courier New" w:hAnsi="Courier New"/>
          <w:sz w:val="17"/>
          <w:szCs w:val="17"/>
          <w:color w:val="auto"/>
        </w:rPr>
        <w:t>2</w:t>
      </w:r>
      <w:r>
        <w:rPr>
          <w:sz w:val="20"/>
          <w:szCs w:val="20"/>
          <w:color w:val="auto"/>
        </w:rPr>
        <w:tab/>
      </w:r>
      <w:r>
        <w:rPr>
          <w:rFonts w:ascii="Courier New" w:cs="Courier New" w:eastAsia="Courier New" w:hAnsi="Courier New"/>
          <w:sz w:val="17"/>
          <w:szCs w:val="17"/>
          <w:color w:val="auto"/>
        </w:rPr>
        <w:t>4</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20"/>
          <w:szCs w:val="20"/>
          <w:color w:val="auto"/>
        </w:rPr>
      </w:pPr>
    </w:p>
    <w:p>
      <w:pPr>
        <w:jc w:val="right"/>
        <w:ind w:right="34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jc w:val="right"/>
        <w:ind w:right="3480"/>
        <w:spacing w:after="0"/>
        <w:rPr>
          <w:sz w:val="20"/>
          <w:szCs w:val="20"/>
          <w:color w:val="auto"/>
        </w:rPr>
      </w:pPr>
      <w:r>
        <w:rPr>
          <w:rFonts w:ascii="Courier New" w:cs="Courier New" w:eastAsia="Courier New" w:hAnsi="Courier New"/>
          <w:sz w:val="17"/>
          <w:szCs w:val="17"/>
          <w:color w:val="auto"/>
        </w:rPr>
        <w:t>13</w:t>
      </w:r>
    </w:p>
    <w:p>
      <w:pPr>
        <w:spacing w:after="0" w:line="190" w:lineRule="exact"/>
        <w:rPr>
          <w:sz w:val="20"/>
          <w:szCs w:val="20"/>
          <w:color w:val="auto"/>
        </w:rPr>
      </w:pPr>
    </w:p>
    <w:p>
      <w:pPr>
        <w:sectPr>
          <w:pgSz w:w="11900" w:h="16838" w:orient="portrait"/>
          <w:cols w:equalWidth="0" w:num="3">
            <w:col w:w="3560" w:space="720"/>
            <w:col w:w="1880" w:space="600"/>
            <w:col w:w="3880"/>
          </w:cols>
          <w:pgMar w:left="240" w:top="881" w:right="101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DISPOSITIONS: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Severance payments ..........</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2">
            <w:col w:w="5140" w:space="720"/>
            <w:col w:w="4780"/>
          </w:cols>
          <w:pgMar w:left="240" w:top="881" w:right="1019"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Various payments ............</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83"/>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Adjustments - net</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9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reversal to income ........</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w:t>
            </w:r>
          </w:p>
        </w:tc>
        <w:tc>
          <w:tcPr>
            <w:tcW w:w="860" w:type="dxa"/>
            <w:vAlign w:val="bottom"/>
          </w:tcPr>
          <w:p>
            <w:pPr>
              <w:spacing w:after="0"/>
              <w:rPr>
                <w:sz w:val="16"/>
                <w:szCs w:val="16"/>
                <w:color w:val="auto"/>
              </w:rPr>
            </w:pPr>
          </w:p>
        </w:tc>
      </w:tr>
      <w:tr>
        <w:trPr>
          <w:trHeight w:val="191"/>
        </w:trPr>
        <w:tc>
          <w:tcPr>
            <w:tcW w:w="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6"/>
                <w:szCs w:val="16"/>
                <w:color w:val="auto"/>
              </w:rPr>
            </w:pPr>
          </w:p>
        </w:tc>
      </w:tr>
      <w:tr>
        <w:trPr>
          <w:trHeight w:val="191"/>
        </w:trPr>
        <w:tc>
          <w:tcPr>
            <w:tcW w:w="3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BALANCE, JUNE 30, 2000</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12</w:t>
            </w:r>
          </w:p>
        </w:tc>
        <w:tc>
          <w:tcPr>
            <w:tcW w:w="860" w:type="dxa"/>
            <w:vAlign w:val="bottom"/>
          </w:tcPr>
          <w:p>
            <w:pPr>
              <w:spacing w:after="0"/>
              <w:rPr>
                <w:sz w:val="16"/>
                <w:szCs w:val="16"/>
                <w:color w:val="auto"/>
              </w:rPr>
            </w:pPr>
          </w:p>
        </w:tc>
      </w:tr>
      <w:tr>
        <w:trPr>
          <w:trHeight w:val="191"/>
        </w:trPr>
        <w:tc>
          <w:tcPr>
            <w:tcW w:w="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spacing w:after="0"/>
              <w:rPr>
                <w:sz w:val="16"/>
                <w:szCs w:val="16"/>
                <w:color w:val="auto"/>
              </w:rPr>
            </w:pPr>
          </w:p>
        </w:tc>
      </w:tr>
      <w:tr>
        <w:trPr>
          <w:trHeight w:val="383"/>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CHARGES:</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Severance ...................</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w:t>
            </w:r>
          </w:p>
        </w:tc>
      </w:tr>
      <w:tr>
        <w:trPr>
          <w:trHeight w:val="383"/>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DISPOSITIONS:</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Severance payments ..........</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83"/>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Various payments ............</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3"/>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Adjustments - net</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39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reversal to income ........</w:t>
            </w:r>
          </w:p>
        </w:tc>
        <w:tc>
          <w:tcPr>
            <w:tcW w:w="12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(2)</w:t>
            </w:r>
          </w:p>
        </w:tc>
        <w:tc>
          <w:tcPr>
            <w:tcW w:w="12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  -</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$ 12</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$ 19</w:t>
            </w:r>
          </w:p>
        </w:tc>
      </w:tr>
      <w:tr>
        <w:trPr>
          <w:trHeight w:val="191"/>
        </w:trPr>
        <w:tc>
          <w:tcPr>
            <w:tcW w:w="39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BALANCE, SEPTEMBER 30, 2000</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3980" w:type="dxa"/>
            <w:vAlign w:val="bottom"/>
            <w:gridSpan w:val="2"/>
          </w:tcPr>
          <w:p>
            <w:pPr>
              <w:spacing w:after="0"/>
              <w:rPr>
                <w:sz w:val="20"/>
                <w:szCs w:val="20"/>
                <w:color w:val="auto"/>
              </w:rPr>
            </w:pPr>
            <w:r>
              <w:rPr>
                <w:rFonts w:ascii="Courier New" w:cs="Courier New" w:eastAsia="Courier New" w:hAnsi="Courier New"/>
                <w:sz w:val="17"/>
                <w:szCs w:val="17"/>
                <w:color w:val="auto"/>
              </w:rPr>
              <w:t>*Abbreviations</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SC</w:t>
            </w:r>
          </w:p>
        </w:tc>
        <w:tc>
          <w:tcPr>
            <w:tcW w:w="35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Semiconductor Business</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1"/>
        </w:trPr>
        <w:tc>
          <w:tcPr>
            <w:tcW w:w="440" w:type="dxa"/>
            <w:vAlign w:val="bottom"/>
          </w:tcPr>
          <w:p>
            <w:pPr>
              <w:spacing w:after="0" w:line="191" w:lineRule="exact"/>
              <w:rPr>
                <w:sz w:val="20"/>
                <w:szCs w:val="20"/>
                <w:color w:val="auto"/>
              </w:rPr>
            </w:pPr>
            <w:r>
              <w:rPr>
                <w:rFonts w:ascii="Courier New" w:cs="Courier New" w:eastAsia="Courier New" w:hAnsi="Courier New"/>
                <w:sz w:val="17"/>
                <w:szCs w:val="17"/>
                <w:color w:val="auto"/>
              </w:rPr>
              <w:t>M&amp;C</w:t>
            </w:r>
          </w:p>
        </w:tc>
        <w:tc>
          <w:tcPr>
            <w:tcW w:w="354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Materials &amp; Controls Business</w:t>
            </w: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238" w:lineRule="auto"/>
        <w:rPr>
          <w:sz w:val="20"/>
          <w:szCs w:val="20"/>
          <w:color w:val="auto"/>
        </w:rPr>
      </w:pPr>
      <w:r>
        <w:rPr>
          <w:rFonts w:ascii="Courier New" w:cs="Courier New" w:eastAsia="Courier New" w:hAnsi="Courier New"/>
          <w:sz w:val="17"/>
          <w:szCs w:val="17"/>
          <w:color w:val="auto"/>
        </w:rPr>
        <w:t>Corp. = Corporate Division</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135" w:right="1440" w:bottom="1440" w:gutter="0" w:footer="0" w:header="0"/>
        </w:sectPr>
      </w:pPr>
    </w:p>
    <w:bookmarkStart w:id="11" w:name="page12"/>
    <w:bookmarkEnd w:id="11"/>
    <w:p>
      <w:pPr>
        <w:ind w:right="2359" w:firstLine="2"/>
        <w:spacing w:after="0" w:line="237" w:lineRule="auto"/>
        <w:tabs>
          <w:tab w:leader="none" w:pos="3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its third quarter, 2000 pooling of interests acquisition of Burr-Brown Corporation (now known as TI Tucson), Texas Instruments Incorporated (TI), the parent, has fully and unconditionally guaranteed payment of the principal, premium, if any, and interest under TI Tucson's $250 million principal amount of 4 1/4% Convertible Subordinated Notes issued February 24, 2000, and due 2007. Such guarantee is subordinated to TI's existing and future senior indebtedness.</w:t>
      </w:r>
    </w:p>
    <w:p>
      <w:pPr>
        <w:spacing w:after="0" w:line="199"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In lieu of providing separate audited financial statements of TI Tucson, TI has included the accompanying unaudited consolidating condensed financial statements in accordance with Rule 3-10(c) of the SEC's Regulation S-X.</w:t>
      </w:r>
    </w:p>
    <w:p>
      <w:pPr>
        <w:spacing w:after="0" w:line="200" w:lineRule="exact"/>
        <w:rPr>
          <w:sz w:val="20"/>
          <w:szCs w:val="20"/>
          <w:color w:val="auto"/>
        </w:rPr>
      </w:pPr>
    </w:p>
    <w:p>
      <w:pPr>
        <w:spacing w:after="0" w:line="37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881" w:right="1440" w:bottom="1440" w:gutter="0" w:footer="0" w:header="0"/>
        </w:sectPr>
      </w:pPr>
    </w:p>
    <w:bookmarkStart w:id="12" w:name="page13"/>
    <w:bookmarkEnd w:id="12"/>
    <w:p>
      <w:pPr>
        <w:jc w:val="center"/>
        <w:ind w:left="620"/>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left="620"/>
        <w:spacing w:after="0" w:line="238" w:lineRule="auto"/>
        <w:rPr>
          <w:sz w:val="20"/>
          <w:szCs w:val="20"/>
          <w:color w:val="auto"/>
        </w:rPr>
      </w:pPr>
      <w:r>
        <w:rPr>
          <w:rFonts w:ascii="Courier New" w:cs="Courier New" w:eastAsia="Courier New" w:hAnsi="Courier New"/>
          <w:sz w:val="17"/>
          <w:szCs w:val="17"/>
          <w:color w:val="auto"/>
        </w:rPr>
        <w:t>Unaudited Consolidating Condensed Statement of Income</w:t>
      </w:r>
    </w:p>
    <w:p>
      <w:pPr>
        <w:jc w:val="center"/>
        <w:ind w:left="620"/>
        <w:spacing w:after="0" w:line="238" w:lineRule="auto"/>
        <w:rPr>
          <w:sz w:val="20"/>
          <w:szCs w:val="20"/>
          <w:color w:val="auto"/>
        </w:rPr>
      </w:pPr>
      <w:r>
        <w:rPr>
          <w:rFonts w:ascii="Courier New" w:cs="Courier New" w:eastAsia="Courier New" w:hAnsi="Courier New"/>
          <w:sz w:val="17"/>
          <w:szCs w:val="17"/>
          <w:color w:val="auto"/>
        </w:rPr>
        <w:t>For Three Months Ended September 30, 2000</w:t>
      </w: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4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8"/>
              </w:rPr>
              <w:t>(In millions of dollars)</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383"/>
        </w:trPr>
        <w:tc>
          <w:tcPr>
            <w:tcW w:w="3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257"/>
              <w:spacing w:after="0"/>
              <w:rPr>
                <w:sz w:val="20"/>
                <w:szCs w:val="20"/>
                <w:color w:val="auto"/>
              </w:rPr>
            </w:pPr>
            <w:r>
              <w:rPr>
                <w:rFonts w:ascii="Courier New" w:cs="Courier New" w:eastAsia="Courier New" w:hAnsi="Courier New"/>
                <w:sz w:val="17"/>
                <w:szCs w:val="17"/>
                <w:color w:val="auto"/>
                <w:w w:val="95"/>
              </w:rPr>
              <w:t>TI Tucson</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tcPr>
          <w:p>
            <w:pPr>
              <w:jc w:val="center"/>
              <w:ind w:left="21"/>
              <w:spacing w:after="0"/>
              <w:rPr>
                <w:sz w:val="20"/>
                <w:szCs w:val="20"/>
                <w:color w:val="auto"/>
              </w:rPr>
            </w:pPr>
            <w:r>
              <w:rPr>
                <w:rFonts w:ascii="Courier New" w:cs="Courier New" w:eastAsia="Courier New" w:hAnsi="Courier New"/>
                <w:sz w:val="6"/>
                <w:szCs w:val="6"/>
                <w:color w:val="auto"/>
                <w:w w:val="81"/>
              </w:rPr>
              <w:t>------------------------------</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w w:val="88"/>
              </w:rPr>
              <w:t>Non-</w:t>
            </w:r>
          </w:p>
        </w:tc>
        <w:tc>
          <w:tcPr>
            <w:tcW w:w="132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TI</w:t>
            </w:r>
          </w:p>
        </w:tc>
        <w:tc>
          <w:tcPr>
            <w:tcW w:w="14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guarantor</w:t>
            </w:r>
          </w:p>
        </w:tc>
        <w:tc>
          <w:tcPr>
            <w:tcW w:w="132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Texas</w:t>
            </w: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6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Tucson</w:t>
            </w:r>
          </w:p>
        </w:tc>
        <w:tc>
          <w:tcPr>
            <w:tcW w:w="14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subsidiaries</w:t>
            </w:r>
          </w:p>
        </w:tc>
        <w:tc>
          <w:tcPr>
            <w:tcW w:w="132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Instruments</w:t>
            </w:r>
          </w:p>
        </w:tc>
        <w:tc>
          <w:tcPr>
            <w:tcW w:w="980" w:type="dxa"/>
            <w:vAlign w:val="bottom"/>
            <w:gridSpan w:val="2"/>
          </w:tcPr>
          <w:p>
            <w:pPr>
              <w:jc w:val="center"/>
              <w:ind w:left="21"/>
              <w:spacing w:after="0" w:line="191" w:lineRule="exact"/>
              <w:rPr>
                <w:sz w:val="20"/>
                <w:szCs w:val="20"/>
                <w:color w:val="auto"/>
              </w:rPr>
            </w:pPr>
            <w:r>
              <w:rPr>
                <w:rFonts w:ascii="Courier New" w:cs="Courier New" w:eastAsia="Courier New" w:hAnsi="Courier New"/>
                <w:sz w:val="17"/>
                <w:szCs w:val="17"/>
                <w:color w:val="auto"/>
                <w:w w:val="95"/>
              </w:rPr>
              <w:t>Operating</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Special</w:t>
            </w:r>
          </w:p>
        </w:tc>
        <w:tc>
          <w:tcPr>
            <w:tcW w:w="96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w:t>
            </w:r>
          </w:p>
        </w:tc>
        <w:tc>
          <w:tcPr>
            <w:tcW w:w="400" w:type="dxa"/>
            <w:vAlign w:val="bottom"/>
          </w:tcPr>
          <w:p>
            <w:pPr>
              <w:spacing w:after="0"/>
              <w:rPr>
                <w:sz w:val="16"/>
                <w:szCs w:val="16"/>
                <w:color w:val="auto"/>
              </w:rPr>
            </w:pPr>
          </w:p>
        </w:tc>
        <w:tc>
          <w:tcPr>
            <w:tcW w:w="104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and</w:t>
            </w:r>
          </w:p>
        </w:tc>
        <w:tc>
          <w:tcPr>
            <w:tcW w:w="132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Incorporated</w:t>
            </w:r>
          </w:p>
        </w:tc>
        <w:tc>
          <w:tcPr>
            <w:tcW w:w="980" w:type="dxa"/>
            <w:vAlign w:val="bottom"/>
            <w:gridSpan w:val="2"/>
          </w:tcPr>
          <w:p>
            <w:pPr>
              <w:jc w:val="center"/>
              <w:ind w:left="21"/>
              <w:spacing w:after="0" w:line="191" w:lineRule="exact"/>
              <w:rPr>
                <w:sz w:val="20"/>
                <w:szCs w:val="20"/>
                <w:color w:val="auto"/>
              </w:rPr>
            </w:pPr>
            <w:r>
              <w:rPr>
                <w:rFonts w:ascii="Courier New" w:cs="Courier New" w:eastAsia="Courier New" w:hAnsi="Courier New"/>
                <w:sz w:val="17"/>
                <w:szCs w:val="17"/>
                <w:color w:val="auto"/>
                <w:w w:val="95"/>
              </w:rPr>
              <w:t>results</w:t>
            </w:r>
          </w:p>
        </w:tc>
        <w:tc>
          <w:tcPr>
            <w:tcW w:w="124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items</w:t>
            </w:r>
          </w:p>
        </w:tc>
        <w:tc>
          <w:tcPr>
            <w:tcW w:w="96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idated</w:t>
            </w:r>
          </w:p>
        </w:tc>
        <w:tc>
          <w:tcPr>
            <w:tcW w:w="14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eliminations</w:t>
            </w:r>
          </w:p>
        </w:tc>
        <w:tc>
          <w:tcPr>
            <w:tcW w:w="1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center"/>
              <w:ind w:left="21"/>
              <w:spacing w:after="0" w:line="191" w:lineRule="exact"/>
              <w:rPr>
                <w:sz w:val="20"/>
                <w:szCs w:val="20"/>
                <w:color w:val="auto"/>
              </w:rPr>
            </w:pPr>
            <w:r>
              <w:rPr>
                <w:rFonts w:ascii="Courier New" w:cs="Courier New" w:eastAsia="Courier New" w:hAnsi="Courier New"/>
                <w:sz w:val="17"/>
                <w:szCs w:val="17"/>
                <w:color w:val="auto"/>
                <w:w w:val="95"/>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w w:val="87"/>
              </w:rPr>
              <w:t>Net revenues...............................</w:t>
            </w:r>
          </w:p>
        </w:tc>
        <w:tc>
          <w:tcPr>
            <w:tcW w:w="800" w:type="dxa"/>
            <w:vAlign w:val="bottom"/>
          </w:tcPr>
          <w:p>
            <w:pPr>
              <w:ind w:left="7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w w:val="94"/>
              </w:rPr>
              <w:t>2,862</w:t>
            </w:r>
          </w:p>
        </w:tc>
        <w:tc>
          <w:tcPr>
            <w:tcW w:w="580" w:type="dxa"/>
            <w:vAlign w:val="bottom"/>
          </w:tcPr>
          <w:p>
            <w:pPr>
              <w:jc w:val="right"/>
              <w:ind w:right="121"/>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1"/>
              </w:rPr>
              <w:t>112</w:t>
            </w:r>
          </w:p>
        </w:tc>
        <w:tc>
          <w:tcPr>
            <w:tcW w:w="660" w:type="dxa"/>
            <w:vAlign w:val="bottom"/>
          </w:tcPr>
          <w:p>
            <w:pPr>
              <w:ind w:left="400"/>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15</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127</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171</w:t>
            </w:r>
          </w:p>
        </w:tc>
        <w:tc>
          <w:tcPr>
            <w:tcW w:w="132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$3,160</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costs and expenses:</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Cost of revenues.........................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1,490</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46</w:t>
            </w:r>
          </w:p>
        </w:tc>
        <w:tc>
          <w:tcPr>
            <w:tcW w:w="660" w:type="dxa"/>
            <w:vAlign w:val="bottom"/>
          </w:tcPr>
          <w:p>
            <w:pPr>
              <w:spacing w:after="0"/>
              <w:rPr>
                <w:sz w:val="16"/>
                <w:szCs w:val="16"/>
                <w:color w:val="auto"/>
              </w:rPr>
            </w:pPr>
          </w:p>
        </w:tc>
        <w:tc>
          <w:tcPr>
            <w:tcW w:w="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19</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65</w:t>
            </w:r>
          </w:p>
        </w:tc>
        <w:tc>
          <w:tcPr>
            <w:tcW w:w="4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89</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1,644</w:t>
            </w: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361</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15</w:t>
            </w:r>
          </w:p>
        </w:tc>
        <w:tc>
          <w:tcPr>
            <w:tcW w:w="660" w:type="dxa"/>
            <w:vAlign w:val="bottom"/>
          </w:tcPr>
          <w:p>
            <w:pPr>
              <w:spacing w:after="0"/>
              <w:rPr>
                <w:sz w:val="16"/>
                <w:szCs w:val="16"/>
                <w:color w:val="auto"/>
              </w:rPr>
            </w:pPr>
          </w:p>
        </w:tc>
        <w:tc>
          <w:tcPr>
            <w:tcW w:w="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15</w:t>
            </w:r>
          </w:p>
        </w:tc>
        <w:tc>
          <w:tcPr>
            <w:tcW w:w="4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157</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533</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Marketing, general and administrative</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261</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18</w:t>
            </w:r>
          </w:p>
        </w:tc>
        <w:tc>
          <w:tcPr>
            <w:tcW w:w="660" w:type="dxa"/>
            <w:vAlign w:val="bottom"/>
          </w:tcPr>
          <w:p>
            <w:pPr>
              <w:spacing w:after="0"/>
              <w:rPr>
                <w:sz w:val="16"/>
                <w:szCs w:val="16"/>
                <w:color w:val="auto"/>
              </w:rPr>
            </w:pPr>
          </w:p>
        </w:tc>
        <w:tc>
          <w:tcPr>
            <w:tcW w:w="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w:t>
            </w:r>
          </w:p>
        </w:tc>
        <w:tc>
          <w:tcPr>
            <w:tcW w:w="4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156</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453</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2,112</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79</w:t>
            </w:r>
          </w:p>
        </w:tc>
        <w:tc>
          <w:tcPr>
            <w:tcW w:w="660" w:type="dxa"/>
            <w:vAlign w:val="bottom"/>
          </w:tcPr>
          <w:p>
            <w:pPr>
              <w:spacing w:after="0"/>
              <w:rPr>
                <w:sz w:val="16"/>
                <w:szCs w:val="16"/>
                <w:color w:val="auto"/>
              </w:rPr>
            </w:pPr>
          </w:p>
        </w:tc>
        <w:tc>
          <w:tcPr>
            <w:tcW w:w="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116</w:t>
            </w:r>
          </w:p>
        </w:tc>
        <w:tc>
          <w:tcPr>
            <w:tcW w:w="4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402</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2,630</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7"/>
              </w:rPr>
              <w:t>Profit (loss) from operations..............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750</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33</w:t>
            </w:r>
          </w:p>
        </w:tc>
        <w:tc>
          <w:tcPr>
            <w:tcW w:w="660" w:type="dxa"/>
            <w:vAlign w:val="bottom"/>
          </w:tcPr>
          <w:p>
            <w:pPr>
              <w:spacing w:after="0"/>
              <w:rPr>
                <w:sz w:val="16"/>
                <w:szCs w:val="16"/>
                <w:color w:val="auto"/>
              </w:rPr>
            </w:pPr>
          </w:p>
        </w:tc>
        <w:tc>
          <w:tcPr>
            <w:tcW w:w="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(22)</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w:t>
            </w:r>
          </w:p>
        </w:tc>
        <w:tc>
          <w:tcPr>
            <w:tcW w:w="40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(231)</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530</w:t>
            </w: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7"/>
              </w:rPr>
              <w:t>Other income (expense) net.................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737</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w:t>
            </w:r>
          </w:p>
        </w:tc>
        <w:tc>
          <w:tcPr>
            <w:tcW w:w="660" w:type="dxa"/>
            <w:vAlign w:val="bottom"/>
          </w:tcPr>
          <w:p>
            <w:pPr>
              <w:spacing w:after="0"/>
              <w:rPr>
                <w:sz w:val="16"/>
                <w:szCs w:val="16"/>
                <w:color w:val="auto"/>
              </w:rPr>
            </w:pPr>
          </w:p>
        </w:tc>
        <w:tc>
          <w:tcPr>
            <w:tcW w:w="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w:t>
            </w:r>
          </w:p>
        </w:tc>
        <w:tc>
          <w:tcPr>
            <w:tcW w:w="40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(180)</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565</w:t>
            </w: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7"/>
              </w:rPr>
              <w:t>Interest on loans..........................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w:t>
            </w:r>
          </w:p>
        </w:tc>
        <w:tc>
          <w:tcPr>
            <w:tcW w:w="660" w:type="dxa"/>
            <w:vAlign w:val="bottom"/>
          </w:tcPr>
          <w:p>
            <w:pPr>
              <w:spacing w:after="0"/>
              <w:rPr>
                <w:sz w:val="16"/>
                <w:szCs w:val="16"/>
                <w:color w:val="auto"/>
              </w:rPr>
            </w:pPr>
          </w:p>
        </w:tc>
        <w:tc>
          <w:tcPr>
            <w:tcW w:w="5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c>
          <w:tcPr>
            <w:tcW w:w="40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17</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provision for</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income taxes.............................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1,468</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w:t>
            </w:r>
          </w:p>
        </w:tc>
        <w:tc>
          <w:tcPr>
            <w:tcW w:w="660" w:type="dxa"/>
            <w:vAlign w:val="bottom"/>
          </w:tcPr>
          <w:p>
            <w:pPr>
              <w:spacing w:after="0"/>
              <w:rPr>
                <w:sz w:val="16"/>
                <w:szCs w:val="16"/>
                <w:color w:val="auto"/>
              </w:rPr>
            </w:pPr>
          </w:p>
        </w:tc>
        <w:tc>
          <w:tcPr>
            <w:tcW w:w="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16</w:t>
            </w:r>
          </w:p>
        </w:tc>
        <w:tc>
          <w:tcPr>
            <w:tcW w:w="40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(406)</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1,078</w:t>
            </w: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w w:val="97"/>
              </w:rPr>
              <w:t>Provision (credit) for income taxes........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317</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w:t>
            </w:r>
          </w:p>
        </w:tc>
        <w:tc>
          <w:tcPr>
            <w:tcW w:w="660" w:type="dxa"/>
            <w:vAlign w:val="bottom"/>
          </w:tcPr>
          <w:p>
            <w:pPr>
              <w:spacing w:after="0"/>
              <w:rPr>
                <w:sz w:val="16"/>
                <w:szCs w:val="16"/>
                <w:color w:val="auto"/>
              </w:rPr>
            </w:pPr>
          </w:p>
        </w:tc>
        <w:tc>
          <w:tcPr>
            <w:tcW w:w="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w:t>
            </w:r>
          </w:p>
        </w:tc>
        <w:tc>
          <w:tcPr>
            <w:tcW w:w="4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76</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399</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equity in earnings of</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91"/>
        </w:trPr>
        <w:tc>
          <w:tcPr>
            <w:tcW w:w="468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subsidiaries.............................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1,151</w:t>
            </w:r>
          </w:p>
        </w:tc>
        <w:tc>
          <w:tcPr>
            <w:tcW w:w="580" w:type="dxa"/>
            <w:vAlign w:val="bottom"/>
          </w:tcPr>
          <w:p>
            <w:pPr>
              <w:spacing w:after="0"/>
              <w:rPr>
                <w:sz w:val="16"/>
                <w:szCs w:val="16"/>
                <w:color w:val="auto"/>
              </w:rPr>
            </w:pP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w:t>
            </w:r>
          </w:p>
        </w:tc>
        <w:tc>
          <w:tcPr>
            <w:tcW w:w="660" w:type="dxa"/>
            <w:vAlign w:val="bottom"/>
          </w:tcPr>
          <w:p>
            <w:pPr>
              <w:spacing w:after="0"/>
              <w:rPr>
                <w:sz w:val="16"/>
                <w:szCs w:val="16"/>
                <w:color w:val="auto"/>
              </w:rPr>
            </w:pPr>
          </w:p>
        </w:tc>
        <w:tc>
          <w:tcPr>
            <w:tcW w:w="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w:t>
            </w:r>
          </w:p>
        </w:tc>
        <w:tc>
          <w:tcPr>
            <w:tcW w:w="300" w:type="dxa"/>
            <w:vAlign w:val="bottom"/>
          </w:tcPr>
          <w:p>
            <w:pPr>
              <w:spacing w:after="0"/>
              <w:rPr>
                <w:sz w:val="16"/>
                <w:szCs w:val="16"/>
                <w:color w:val="auto"/>
              </w:rPr>
            </w:pP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w:t>
            </w:r>
          </w:p>
        </w:tc>
        <w:tc>
          <w:tcPr>
            <w:tcW w:w="400" w:type="dxa"/>
            <w:vAlign w:val="bottom"/>
          </w:tcPr>
          <w:p>
            <w:pPr>
              <w:spacing w:after="0"/>
              <w:rPr>
                <w:sz w:val="16"/>
                <w:szCs w:val="16"/>
                <w:color w:val="auto"/>
              </w:rPr>
            </w:pP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(482)</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679</w:t>
            </w:r>
          </w:p>
        </w:tc>
      </w:tr>
      <w:tr>
        <w:trPr>
          <w:trHeight w:val="383"/>
        </w:trPr>
        <w:tc>
          <w:tcPr>
            <w:tcW w:w="4680" w:type="dxa"/>
            <w:vAlign w:val="bottom"/>
            <w:gridSpan w:val="2"/>
          </w:tcPr>
          <w:p>
            <w:pPr>
              <w:jc w:val="right"/>
              <w:ind w:right="317"/>
              <w:spacing w:after="0"/>
              <w:rPr>
                <w:sz w:val="20"/>
                <w:szCs w:val="20"/>
                <w:color w:val="auto"/>
              </w:rPr>
            </w:pPr>
            <w:r>
              <w:rPr>
                <w:rFonts w:ascii="Courier New" w:cs="Courier New" w:eastAsia="Courier New" w:hAnsi="Courier New"/>
                <w:sz w:val="17"/>
                <w:szCs w:val="17"/>
                <w:color w:val="auto"/>
                <w:w w:val="97"/>
              </w:rPr>
              <w:t>Equity in earnings of subsidiaries.........</w:t>
            </w: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(472)</w:t>
            </w:r>
          </w:p>
        </w:tc>
        <w:tc>
          <w:tcPr>
            <w:tcW w:w="580" w:type="dxa"/>
            <w:vAlign w:val="bottom"/>
          </w:tcPr>
          <w:p>
            <w:pPr>
              <w:spacing w:after="0"/>
              <w:rPr>
                <w:sz w:val="24"/>
                <w:szCs w:val="24"/>
                <w:color w:val="auto"/>
              </w:rPr>
            </w:pPr>
          </w:p>
        </w:tc>
        <w:tc>
          <w:tcPr>
            <w:tcW w:w="4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24"/>
                <w:szCs w:val="24"/>
                <w:color w:val="auto"/>
              </w:rPr>
            </w:pPr>
          </w:p>
        </w:tc>
        <w:tc>
          <w:tcPr>
            <w:tcW w:w="5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66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24"/>
                <w:szCs w:val="24"/>
                <w:color w:val="auto"/>
              </w:rPr>
            </w:pPr>
          </w:p>
        </w:tc>
        <w:tc>
          <w:tcPr>
            <w:tcW w:w="1040" w:type="dxa"/>
            <w:vAlign w:val="bottom"/>
          </w:tcPr>
          <w:p>
            <w:pPr>
              <w:jc w:val="right"/>
              <w:ind w:right="477"/>
              <w:spacing w:after="0"/>
              <w:rPr>
                <w:sz w:val="20"/>
                <w:szCs w:val="20"/>
                <w:color w:val="auto"/>
              </w:rPr>
            </w:pPr>
            <w:r>
              <w:rPr>
                <w:rFonts w:ascii="Courier New" w:cs="Courier New" w:eastAsia="Courier New" w:hAnsi="Courier New"/>
                <w:sz w:val="17"/>
                <w:szCs w:val="17"/>
                <w:color w:val="auto"/>
              </w:rPr>
              <w:t>472</w:t>
            </w:r>
          </w:p>
        </w:tc>
        <w:tc>
          <w:tcPr>
            <w:tcW w:w="132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477"/>
              <w:spacing w:after="0" w:line="191" w:lineRule="exact"/>
              <w:rPr>
                <w:sz w:val="20"/>
                <w:szCs w:val="20"/>
                <w:color w:val="auto"/>
              </w:rPr>
            </w:pPr>
            <w:r>
              <w:rPr>
                <w:rFonts w:ascii="Courier New" w:cs="Courier New" w:eastAsia="Courier New" w:hAnsi="Courier New"/>
                <w:sz w:val="17"/>
                <w:szCs w:val="17"/>
                <w:color w:val="auto"/>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w w:val="87"/>
              </w:rPr>
              <w:t>Net income.................................</w:t>
            </w:r>
          </w:p>
        </w:tc>
        <w:tc>
          <w:tcPr>
            <w:tcW w:w="8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679</w:t>
            </w:r>
          </w:p>
        </w:tc>
        <w:tc>
          <w:tcPr>
            <w:tcW w:w="580" w:type="dxa"/>
            <w:vAlign w:val="bottom"/>
          </w:tcPr>
          <w:p>
            <w:pPr>
              <w:jc w:val="right"/>
              <w:ind w:right="121"/>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23</w:t>
            </w:r>
          </w:p>
        </w:tc>
        <w:tc>
          <w:tcPr>
            <w:tcW w:w="66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5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(13)</w:t>
            </w:r>
          </w:p>
        </w:tc>
        <w:tc>
          <w:tcPr>
            <w:tcW w:w="3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w:t>
            </w:r>
          </w:p>
        </w:tc>
        <w:tc>
          <w:tcPr>
            <w:tcW w:w="4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  679</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96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w w:val="90"/>
              </w:rPr>
              <w:t>=====</w:t>
            </w:r>
          </w:p>
        </w:tc>
        <w:tc>
          <w:tcPr>
            <w:tcW w:w="132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38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1066" w:right="139" w:bottom="1440" w:gutter="0" w:footer="0" w:header="0"/>
        </w:sectPr>
      </w:pPr>
    </w:p>
    <w:bookmarkStart w:id="13" w:name="page14"/>
    <w:bookmarkEnd w:id="13"/>
    <w:p>
      <w:pPr>
        <w:jc w:val="center"/>
        <w:ind w:left="620"/>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left="620"/>
        <w:spacing w:after="0" w:line="238" w:lineRule="auto"/>
        <w:rPr>
          <w:sz w:val="20"/>
          <w:szCs w:val="20"/>
          <w:color w:val="auto"/>
        </w:rPr>
      </w:pPr>
      <w:r>
        <w:rPr>
          <w:rFonts w:ascii="Courier New" w:cs="Courier New" w:eastAsia="Courier New" w:hAnsi="Courier New"/>
          <w:sz w:val="17"/>
          <w:szCs w:val="17"/>
          <w:color w:val="auto"/>
        </w:rPr>
        <w:t>Unaudited Consolidating Condensed Statement of Income</w:t>
      </w:r>
    </w:p>
    <w:p>
      <w:pPr>
        <w:jc w:val="center"/>
        <w:ind w:left="620"/>
        <w:spacing w:after="0" w:line="238" w:lineRule="auto"/>
        <w:rPr>
          <w:sz w:val="20"/>
          <w:szCs w:val="20"/>
          <w:color w:val="auto"/>
        </w:rPr>
      </w:pPr>
      <w:r>
        <w:rPr>
          <w:rFonts w:ascii="Courier New" w:cs="Courier New" w:eastAsia="Courier New" w:hAnsi="Courier New"/>
          <w:sz w:val="17"/>
          <w:szCs w:val="17"/>
          <w:color w:val="auto"/>
        </w:rPr>
        <w:t>For Three Months Ended September 30, 1999</w:t>
      </w: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20" w:type="dxa"/>
            <w:vAlign w:val="bottom"/>
            <w:gridSpan w:val="5"/>
          </w:tcPr>
          <w:p>
            <w:pPr>
              <w:jc w:val="right"/>
              <w:ind w:right="457"/>
              <w:spacing w:after="0"/>
              <w:rPr>
                <w:sz w:val="20"/>
                <w:szCs w:val="20"/>
                <w:color w:val="auto"/>
              </w:rPr>
            </w:pPr>
            <w:r>
              <w:rPr>
                <w:rFonts w:ascii="Courier New" w:cs="Courier New" w:eastAsia="Courier New" w:hAnsi="Courier New"/>
                <w:sz w:val="17"/>
                <w:szCs w:val="17"/>
                <w:color w:val="auto"/>
              </w:rPr>
              <w:t>(In millions of dollars)</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83"/>
        </w:trPr>
        <w:tc>
          <w:tcPr>
            <w:tcW w:w="3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gridSpan w:val="2"/>
          </w:tcPr>
          <w:p>
            <w:pPr>
              <w:jc w:val="right"/>
              <w:ind w:right="157"/>
              <w:spacing w:after="0"/>
              <w:rPr>
                <w:sz w:val="20"/>
                <w:szCs w:val="20"/>
                <w:color w:val="auto"/>
              </w:rPr>
            </w:pPr>
            <w:r>
              <w:rPr>
                <w:rFonts w:ascii="Courier New" w:cs="Courier New" w:eastAsia="Courier New" w:hAnsi="Courier New"/>
                <w:sz w:val="17"/>
                <w:szCs w:val="17"/>
                <w:color w:val="auto"/>
                <w:w w:val="95"/>
              </w:rPr>
              <w:t>TI Tucson</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1"/>
        </w:trPr>
        <w:tc>
          <w:tcPr>
            <w:tcW w:w="3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9"/>
              </w:rPr>
              <w:t>------------------------------</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Non-</w:t>
            </w:r>
          </w:p>
        </w:tc>
        <w:tc>
          <w:tcPr>
            <w:tcW w:w="13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TI</w:t>
            </w:r>
          </w:p>
        </w:tc>
        <w:tc>
          <w:tcPr>
            <w:tcW w:w="13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guarantor</w:t>
            </w:r>
          </w:p>
        </w:tc>
        <w:tc>
          <w:tcPr>
            <w:tcW w:w="13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700"/>
              <w:spacing w:after="0" w:line="191" w:lineRule="exact"/>
              <w:rPr>
                <w:sz w:val="20"/>
                <w:szCs w:val="20"/>
                <w:color w:val="auto"/>
              </w:rPr>
            </w:pPr>
            <w:r>
              <w:rPr>
                <w:rFonts w:ascii="Courier New" w:cs="Courier New" w:eastAsia="Courier New" w:hAnsi="Courier New"/>
                <w:sz w:val="17"/>
                <w:szCs w:val="17"/>
                <w:color w:val="auto"/>
              </w:rPr>
              <w:t>Texas</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Tucson</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subsidiaries</w:t>
            </w:r>
          </w:p>
        </w:tc>
        <w:tc>
          <w:tcPr>
            <w:tcW w:w="13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Instruments</w:t>
            </w:r>
          </w:p>
        </w:tc>
        <w:tc>
          <w:tcPr>
            <w:tcW w:w="9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Operating</w:t>
            </w:r>
          </w:p>
        </w:tc>
        <w:tc>
          <w:tcPr>
            <w:tcW w:w="300" w:type="dxa"/>
            <w:vAlign w:val="bottom"/>
          </w:tcPr>
          <w:p>
            <w:pPr>
              <w:spacing w:after="0"/>
              <w:rPr>
                <w:sz w:val="16"/>
                <w:szCs w:val="16"/>
                <w:color w:val="auto"/>
              </w:rPr>
            </w:pPr>
          </w:p>
        </w:tc>
        <w:tc>
          <w:tcPr>
            <w:tcW w:w="8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Special</w:t>
            </w:r>
          </w:p>
        </w:tc>
        <w:tc>
          <w:tcPr>
            <w:tcW w:w="260" w:type="dxa"/>
            <w:vAlign w:val="bottom"/>
          </w:tcPr>
          <w:p>
            <w:pPr>
              <w:spacing w:after="0"/>
              <w:rPr>
                <w:sz w:val="16"/>
                <w:szCs w:val="16"/>
                <w:color w:val="auto"/>
              </w:rPr>
            </w:pP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consol-</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and</w:t>
            </w:r>
          </w:p>
        </w:tc>
        <w:tc>
          <w:tcPr>
            <w:tcW w:w="13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Incorporated</w:t>
            </w:r>
          </w:p>
        </w:tc>
        <w:tc>
          <w:tcPr>
            <w:tcW w:w="200" w:type="dxa"/>
            <w:vAlign w:val="bottom"/>
          </w:tcPr>
          <w:p>
            <w:pPr>
              <w:spacing w:after="0"/>
              <w:rPr>
                <w:sz w:val="16"/>
                <w:szCs w:val="16"/>
                <w:color w:val="auto"/>
              </w:rPr>
            </w:pPr>
          </w:p>
        </w:tc>
        <w:tc>
          <w:tcPr>
            <w:tcW w:w="7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2"/>
              </w:rPr>
              <w:t>results</w:t>
            </w:r>
          </w:p>
        </w:tc>
        <w:tc>
          <w:tcPr>
            <w:tcW w:w="300" w:type="dxa"/>
            <w:vAlign w:val="bottom"/>
          </w:tcPr>
          <w:p>
            <w:pPr>
              <w:spacing w:after="0"/>
              <w:rPr>
                <w:sz w:val="16"/>
                <w:szCs w:val="16"/>
                <w:color w:val="auto"/>
              </w:rPr>
            </w:pPr>
          </w:p>
        </w:tc>
        <w:tc>
          <w:tcPr>
            <w:tcW w:w="8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items</w:t>
            </w:r>
          </w:p>
        </w:tc>
        <w:tc>
          <w:tcPr>
            <w:tcW w:w="260" w:type="dxa"/>
            <w:vAlign w:val="bottom"/>
          </w:tcPr>
          <w:p>
            <w:pPr>
              <w:spacing w:after="0"/>
              <w:rPr>
                <w:sz w:val="16"/>
                <w:szCs w:val="16"/>
                <w:color w:val="auto"/>
              </w:rPr>
            </w:pP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idated</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eliminations</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3880" w:type="dxa"/>
            <w:vAlign w:val="bottom"/>
          </w:tcPr>
          <w:p>
            <w:pPr>
              <w:spacing w:after="0"/>
              <w:rPr>
                <w:sz w:val="16"/>
                <w:szCs w:val="16"/>
                <w:color w:val="auto"/>
              </w:rPr>
            </w:pPr>
          </w:p>
        </w:tc>
        <w:tc>
          <w:tcPr>
            <w:tcW w:w="17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3"/>
              </w:rPr>
              <w:t>---------</w:t>
            </w:r>
          </w:p>
        </w:tc>
        <w:tc>
          <w:tcPr>
            <w:tcW w:w="300" w:type="dxa"/>
            <w:vAlign w:val="bottom"/>
          </w:tcPr>
          <w:p>
            <w:pPr>
              <w:spacing w:after="0"/>
              <w:rPr>
                <w:sz w:val="16"/>
                <w:szCs w:val="16"/>
                <w:color w:val="auto"/>
              </w:rPr>
            </w:pPr>
          </w:p>
        </w:tc>
        <w:tc>
          <w:tcPr>
            <w:tcW w:w="840" w:type="dxa"/>
            <w:vAlign w:val="bottom"/>
          </w:tcPr>
          <w:p>
            <w:pPr>
              <w:jc w:val="center"/>
              <w:ind w:right="57"/>
              <w:spacing w:after="0" w:line="191" w:lineRule="exact"/>
              <w:rPr>
                <w:sz w:val="20"/>
                <w:szCs w:val="20"/>
                <w:color w:val="auto"/>
              </w:rPr>
            </w:pPr>
            <w:r>
              <w:rPr>
                <w:rFonts w:ascii="Courier New" w:cs="Courier New" w:eastAsia="Courier New" w:hAnsi="Courier New"/>
                <w:sz w:val="17"/>
                <w:szCs w:val="17"/>
                <w:color w:val="auto"/>
                <w:w w:val="97"/>
              </w:rPr>
              <w:t>-------</w:t>
            </w:r>
          </w:p>
        </w:tc>
        <w:tc>
          <w:tcPr>
            <w:tcW w:w="260" w:type="dxa"/>
            <w:vAlign w:val="bottom"/>
          </w:tcPr>
          <w:p>
            <w:pPr>
              <w:spacing w:after="0"/>
              <w:rPr>
                <w:sz w:val="16"/>
                <w:szCs w:val="16"/>
                <w:color w:val="auto"/>
              </w:rPr>
            </w:pP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w w:val="87"/>
              </w:rPr>
              <w:t>Net revenues...............................</w:t>
            </w:r>
          </w:p>
        </w:tc>
        <w:tc>
          <w:tcPr>
            <w:tcW w:w="800" w:type="dxa"/>
            <w:vAlign w:val="bottom"/>
          </w:tcPr>
          <w:p>
            <w:pPr>
              <w:ind w:left="700"/>
              <w:spacing w:after="0"/>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w w:val="94"/>
              </w:rPr>
              <w:t>2,089</w:t>
            </w:r>
          </w:p>
        </w:tc>
        <w:tc>
          <w:tcPr>
            <w:tcW w:w="200" w:type="dxa"/>
            <w:vAlign w:val="bottom"/>
          </w:tcPr>
          <w:p>
            <w:pPr>
              <w:ind w:left="100"/>
              <w:spacing w:after="0"/>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78</w:t>
            </w:r>
          </w:p>
        </w:tc>
        <w:tc>
          <w:tcPr>
            <w:tcW w:w="340" w:type="dxa"/>
            <w:vAlign w:val="bottom"/>
          </w:tcPr>
          <w:p>
            <w:pPr>
              <w:ind w:left="200"/>
              <w:spacing w:after="0"/>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348</w:t>
            </w:r>
          </w:p>
        </w:tc>
        <w:tc>
          <w:tcPr>
            <w:tcW w:w="138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$2,515</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costs and expenses:</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4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Cost of revenues........................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988</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37</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282</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1,307</w:t>
            </w:r>
          </w:p>
        </w:tc>
      </w:tr>
      <w:tr>
        <w:trPr>
          <w:trHeight w:val="191"/>
        </w:trPr>
        <w:tc>
          <w:tcPr>
            <w:tcW w:w="4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339</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w:t>
            </w:r>
          </w:p>
        </w:tc>
        <w:tc>
          <w:tcPr>
            <w:tcW w:w="3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350</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6"/>
              </w:rPr>
              <w:t>Marketing, general and administrative</w:t>
            </w:r>
          </w:p>
        </w:tc>
        <w:tc>
          <w:tcPr>
            <w:tcW w:w="8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248</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138</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398</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1,575</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61</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61</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419</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2,055</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Profit (loss) from operations..............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514</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17</w:t>
            </w:r>
          </w:p>
        </w:tc>
        <w:tc>
          <w:tcPr>
            <w:tcW w:w="3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(71)</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460</w:t>
            </w:r>
          </w:p>
        </w:tc>
      </w:tr>
      <w:tr>
        <w:trPr>
          <w:trHeight w:val="191"/>
        </w:trPr>
        <w:tc>
          <w:tcPr>
            <w:tcW w:w="4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Other income (expense) net.................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150</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156</w:t>
            </w:r>
          </w:p>
        </w:tc>
      </w:tr>
      <w:tr>
        <w:trPr>
          <w:trHeight w:val="191"/>
        </w:trPr>
        <w:tc>
          <w:tcPr>
            <w:tcW w:w="4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Interest on loans..........................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18</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provision for</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4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income taxes.............................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648</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w:t>
            </w:r>
          </w:p>
        </w:tc>
        <w:tc>
          <w:tcPr>
            <w:tcW w:w="3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(68)</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598</w:t>
            </w:r>
          </w:p>
        </w:tc>
      </w:tr>
      <w:tr>
        <w:trPr>
          <w:trHeight w:val="191"/>
        </w:trPr>
        <w:tc>
          <w:tcPr>
            <w:tcW w:w="468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Provision for income taxes.................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145</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w:t>
            </w:r>
          </w:p>
        </w:tc>
        <w:tc>
          <w:tcPr>
            <w:tcW w:w="340" w:type="dxa"/>
            <w:vAlign w:val="bottom"/>
          </w:tcPr>
          <w:p>
            <w:pPr>
              <w:spacing w:after="0"/>
              <w:rPr>
                <w:sz w:val="16"/>
                <w:szCs w:val="16"/>
                <w:color w:val="auto"/>
              </w:rPr>
            </w:pPr>
          </w:p>
        </w:tc>
        <w:tc>
          <w:tcPr>
            <w:tcW w:w="10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46</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196</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equity in earnings of</w:t>
            </w: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1"/>
        </w:trPr>
        <w:tc>
          <w:tcPr>
            <w:tcW w:w="468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subsidiaries.............................</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503</w:t>
            </w:r>
          </w:p>
        </w:tc>
        <w:tc>
          <w:tcPr>
            <w:tcW w:w="200" w:type="dxa"/>
            <w:vAlign w:val="bottom"/>
          </w:tcPr>
          <w:p>
            <w:pPr>
              <w:spacing w:after="0"/>
              <w:rPr>
                <w:sz w:val="16"/>
                <w:szCs w:val="16"/>
                <w:color w:val="auto"/>
              </w:rPr>
            </w:pP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w:t>
            </w:r>
          </w:p>
        </w:tc>
        <w:tc>
          <w:tcPr>
            <w:tcW w:w="30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w:t>
            </w:r>
          </w:p>
        </w:tc>
        <w:tc>
          <w:tcPr>
            <w:tcW w:w="340" w:type="dxa"/>
            <w:vAlign w:val="bottom"/>
          </w:tcPr>
          <w:p>
            <w:pPr>
              <w:spacing w:after="0"/>
              <w:rPr>
                <w:sz w:val="16"/>
                <w:szCs w:val="16"/>
                <w:color w:val="auto"/>
              </w:rPr>
            </w:pP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(114)</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402</w:t>
            </w:r>
          </w:p>
        </w:tc>
      </w:tr>
      <w:tr>
        <w:trPr>
          <w:trHeight w:val="382"/>
        </w:trPr>
        <w:tc>
          <w:tcPr>
            <w:tcW w:w="4680" w:type="dxa"/>
            <w:vAlign w:val="bottom"/>
            <w:gridSpan w:val="2"/>
          </w:tcPr>
          <w:p>
            <w:pPr>
              <w:spacing w:after="0"/>
              <w:rPr>
                <w:sz w:val="20"/>
                <w:szCs w:val="20"/>
                <w:color w:val="auto"/>
              </w:rPr>
            </w:pPr>
            <w:r>
              <w:rPr>
                <w:rFonts w:ascii="Courier New" w:cs="Courier New" w:eastAsia="Courier New" w:hAnsi="Courier New"/>
                <w:sz w:val="17"/>
                <w:szCs w:val="17"/>
                <w:color w:val="auto"/>
              </w:rPr>
              <w:t>Equity in earnings of subsidiaries.........</w:t>
            </w:r>
          </w:p>
        </w:tc>
        <w:tc>
          <w:tcPr>
            <w:tcW w:w="9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(101)</w:t>
            </w:r>
          </w:p>
        </w:tc>
        <w:tc>
          <w:tcPr>
            <w:tcW w:w="200" w:type="dxa"/>
            <w:vAlign w:val="bottom"/>
          </w:tcPr>
          <w:p>
            <w:pPr>
              <w:spacing w:after="0"/>
              <w:rPr>
                <w:sz w:val="24"/>
                <w:szCs w:val="24"/>
                <w:color w:val="auto"/>
              </w:rPr>
            </w:pP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8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8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340" w:type="dxa"/>
            <w:vAlign w:val="bottom"/>
          </w:tcPr>
          <w:p>
            <w:pPr>
              <w:spacing w:after="0"/>
              <w:rPr>
                <w:sz w:val="24"/>
                <w:szCs w:val="24"/>
                <w:color w:val="auto"/>
              </w:rPr>
            </w:pPr>
          </w:p>
        </w:tc>
        <w:tc>
          <w:tcPr>
            <w:tcW w:w="10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101</w:t>
            </w:r>
          </w:p>
        </w:tc>
        <w:tc>
          <w:tcPr>
            <w:tcW w:w="138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w w:val="87"/>
              </w:rPr>
              <w:t>Net income.................................</w:t>
            </w:r>
          </w:p>
        </w:tc>
        <w:tc>
          <w:tcPr>
            <w:tcW w:w="80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w w:val="77"/>
              </w:rPr>
              <w:t>$</w:t>
            </w: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402</w:t>
            </w:r>
          </w:p>
        </w:tc>
        <w:tc>
          <w:tcPr>
            <w:tcW w:w="2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w w:val="77"/>
              </w:rPr>
              <w:t>$</w:t>
            </w:r>
          </w:p>
        </w:tc>
        <w:tc>
          <w:tcPr>
            <w:tcW w:w="7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w:t>
            </w:r>
          </w:p>
        </w:tc>
        <w:tc>
          <w:tcPr>
            <w:tcW w:w="3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(13)</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  402</w:t>
            </w:r>
          </w:p>
        </w:tc>
      </w:tr>
      <w:tr>
        <w:trPr>
          <w:trHeight w:val="191"/>
        </w:trPr>
        <w:tc>
          <w:tcPr>
            <w:tcW w:w="3880" w:type="dxa"/>
            <w:vAlign w:val="bottom"/>
          </w:tcPr>
          <w:p>
            <w:pPr>
              <w:spacing w:after="0"/>
              <w:rPr>
                <w:sz w:val="16"/>
                <w:szCs w:val="16"/>
                <w:color w:val="auto"/>
              </w:rPr>
            </w:pPr>
          </w:p>
        </w:tc>
        <w:tc>
          <w:tcPr>
            <w:tcW w:w="170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59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880" w:type="dxa"/>
            <w:vAlign w:val="bottom"/>
          </w:tcPr>
          <w:p>
            <w:pPr>
              <w:spacing w:after="0"/>
              <w:rPr>
                <w:sz w:val="24"/>
                <w:szCs w:val="24"/>
                <w:color w:val="auto"/>
              </w:rPr>
            </w:pPr>
          </w:p>
        </w:tc>
        <w:tc>
          <w:tcPr>
            <w:tcW w:w="800" w:type="dxa"/>
            <w:vAlign w:val="bottom"/>
          </w:tcPr>
          <w:p>
            <w:pPr>
              <w:spacing w:after="0"/>
              <w:rPr>
                <w:sz w:val="20"/>
                <w:szCs w:val="20"/>
                <w:color w:val="auto"/>
              </w:rPr>
            </w:pPr>
            <w:r>
              <w:rPr>
                <w:rFonts w:ascii="Courier New" w:cs="Courier New" w:eastAsia="Courier New" w:hAnsi="Courier New"/>
                <w:sz w:val="17"/>
                <w:szCs w:val="17"/>
                <w:color w:val="auto"/>
              </w:rPr>
              <w:t>12</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520"/>
          </w:cols>
          <w:pgMar w:left="240" w:top="1066" w:right="139" w:bottom="1440" w:gutter="0" w:footer="0" w:header="0"/>
        </w:sectPr>
      </w:pPr>
    </w:p>
    <w:bookmarkStart w:id="14" w:name="page15"/>
    <w:bookmarkEnd w:id="14"/>
    <w:p>
      <w:pPr>
        <w:jc w:val="center"/>
        <w:ind w:right="-199"/>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3080"/>
        <w:spacing w:after="0" w:line="238" w:lineRule="auto"/>
        <w:rPr>
          <w:sz w:val="20"/>
          <w:szCs w:val="20"/>
          <w:color w:val="auto"/>
        </w:rPr>
      </w:pPr>
      <w:r>
        <w:rPr>
          <w:rFonts w:ascii="Courier New" w:cs="Courier New" w:eastAsia="Courier New" w:hAnsi="Courier New"/>
          <w:sz w:val="17"/>
          <w:szCs w:val="17"/>
          <w:color w:val="auto"/>
        </w:rPr>
        <w:t>Unaudited Consolidating Condensed Statement of Income</w:t>
      </w:r>
    </w:p>
    <w:p>
      <w:pPr>
        <w:ind w:left="3680"/>
        <w:spacing w:after="0" w:line="238" w:lineRule="auto"/>
        <w:rPr>
          <w:sz w:val="20"/>
          <w:szCs w:val="20"/>
          <w:color w:val="auto"/>
        </w:rPr>
      </w:pPr>
      <w:r>
        <w:rPr>
          <w:rFonts w:ascii="Courier New" w:cs="Courier New" w:eastAsia="Courier New" w:hAnsi="Courier New"/>
          <w:sz w:val="17"/>
          <w:szCs w:val="17"/>
          <w:color w:val="auto"/>
        </w:rPr>
        <w:t>For Nine Months Ended September 30, 2000</w:t>
      </w:r>
    </w:p>
    <w:p>
      <w:pPr>
        <w:jc w:val="center"/>
        <w:ind w:right="-99"/>
        <w:spacing w:after="0"/>
        <w:rPr>
          <w:sz w:val="20"/>
          <w:szCs w:val="20"/>
          <w:color w:val="auto"/>
        </w:rPr>
      </w:pPr>
      <w:r>
        <w:rPr>
          <w:rFonts w:ascii="Courier New" w:cs="Courier New" w:eastAsia="Courier New" w:hAnsi="Courier New"/>
          <w:sz w:val="17"/>
          <w:szCs w:val="17"/>
          <w:color w:val="auto"/>
        </w:rPr>
        <w:t>(In millions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2"/>
          </w:tcPr>
          <w:p>
            <w:pPr>
              <w:jc w:val="center"/>
              <w:ind w:right="17"/>
              <w:spacing w:after="0"/>
              <w:rPr>
                <w:sz w:val="20"/>
                <w:szCs w:val="20"/>
                <w:color w:val="auto"/>
              </w:rPr>
            </w:pPr>
            <w:r>
              <w:rPr>
                <w:rFonts w:ascii="Courier New" w:cs="Courier New" w:eastAsia="Courier New" w:hAnsi="Courier New"/>
                <w:sz w:val="17"/>
                <w:szCs w:val="17"/>
                <w:color w:val="auto"/>
                <w:w w:val="97"/>
              </w:rPr>
              <w:t>TI Tucson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8"/>
              </w:rPr>
              <w: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rPr>
              <w:t>Non-</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w w:val="87"/>
              </w:rPr>
              <w:t>TI</w:t>
            </w:r>
          </w:p>
        </w:tc>
        <w:tc>
          <w:tcPr>
            <w:tcW w:w="13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guarantor</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Texas</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Tucson</w:t>
            </w:r>
          </w:p>
        </w:tc>
        <w:tc>
          <w:tcPr>
            <w:tcW w:w="13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subsidiaries</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Instruments</w:t>
            </w:r>
          </w:p>
        </w:tc>
        <w:tc>
          <w:tcPr>
            <w:tcW w:w="10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Operating</w:t>
            </w:r>
          </w:p>
        </w:tc>
        <w:tc>
          <w:tcPr>
            <w:tcW w:w="1080" w:type="dxa"/>
            <w:vAlign w:val="bottom"/>
            <w:gridSpan w:val="2"/>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Special</w:t>
            </w:r>
          </w:p>
        </w:tc>
        <w:tc>
          <w:tcPr>
            <w:tcW w:w="9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w:t>
            </w:r>
          </w:p>
        </w:tc>
        <w:tc>
          <w:tcPr>
            <w:tcW w:w="460" w:type="dxa"/>
            <w:vAlign w:val="bottom"/>
          </w:tcPr>
          <w:p>
            <w:pPr>
              <w:spacing w:after="0"/>
              <w:rPr>
                <w:sz w:val="16"/>
                <w:szCs w:val="16"/>
                <w:color w:val="auto"/>
              </w:rPr>
            </w:pPr>
          </w:p>
        </w:tc>
        <w:tc>
          <w:tcPr>
            <w:tcW w:w="88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w w:val="91"/>
              </w:rPr>
              <w:t>and</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w:t>
            </w:r>
          </w:p>
        </w:tc>
        <w:tc>
          <w:tcPr>
            <w:tcW w:w="10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results</w:t>
            </w:r>
          </w:p>
        </w:tc>
        <w:tc>
          <w:tcPr>
            <w:tcW w:w="240" w:type="dxa"/>
            <w:vAlign w:val="bottom"/>
          </w:tcPr>
          <w:p>
            <w:pPr>
              <w:spacing w:after="0"/>
              <w:rPr>
                <w:sz w:val="16"/>
                <w:szCs w:val="16"/>
                <w:color w:val="auto"/>
              </w:rPr>
            </w:pPr>
          </w:p>
        </w:tc>
        <w:tc>
          <w:tcPr>
            <w:tcW w:w="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items</w:t>
            </w:r>
          </w:p>
        </w:tc>
        <w:tc>
          <w:tcPr>
            <w:tcW w:w="9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idated</w:t>
            </w:r>
          </w:p>
        </w:tc>
        <w:tc>
          <w:tcPr>
            <w:tcW w:w="13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eliminations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4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w w:val="97"/>
              </w:rPr>
              <w:t>Net revenues...............................</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$7,757</w:t>
            </w:r>
          </w:p>
        </w:tc>
        <w:tc>
          <w:tcPr>
            <w:tcW w:w="3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1"/>
              </w:rPr>
              <w:t>306</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15</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321</w:t>
            </w:r>
          </w:p>
        </w:tc>
        <w:tc>
          <w:tcPr>
            <w:tcW w:w="460" w:type="dxa"/>
            <w:vAlign w:val="bottom"/>
          </w:tcPr>
          <w:p>
            <w:pPr>
              <w:ind w:left="360"/>
              <w:spacing w:after="0"/>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773</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$8,851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costs and expenses:</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Cost of revenues........................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4,269</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131</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19</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150</w:t>
            </w:r>
          </w:p>
        </w:tc>
        <w:tc>
          <w:tcPr>
            <w:tcW w:w="460" w:type="dxa"/>
            <w:vAlign w:val="bottom"/>
          </w:tcPr>
          <w:p>
            <w:pPr>
              <w:spacing w:after="0"/>
              <w:rPr>
                <w:sz w:val="16"/>
                <w:szCs w:val="16"/>
                <w:color w:val="auto"/>
              </w:rPr>
            </w:pPr>
          </w:p>
        </w:tc>
        <w:tc>
          <w:tcPr>
            <w:tcW w:w="8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129</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4,548</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922</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43</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43</w:t>
            </w:r>
          </w:p>
        </w:tc>
        <w:tc>
          <w:tcPr>
            <w:tcW w:w="460" w:type="dxa"/>
            <w:vAlign w:val="bottom"/>
          </w:tcPr>
          <w:p>
            <w:pPr>
              <w:spacing w:after="0"/>
              <w:rPr>
                <w:sz w:val="16"/>
                <w:szCs w:val="16"/>
                <w:color w:val="auto"/>
              </w:rPr>
            </w:pPr>
          </w:p>
        </w:tc>
        <w:tc>
          <w:tcPr>
            <w:tcW w:w="8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341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1,306</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Marketing, general and administrative....</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760</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45</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18</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63</w:t>
            </w:r>
          </w:p>
        </w:tc>
        <w:tc>
          <w:tcPr>
            <w:tcW w:w="460" w:type="dxa"/>
            <w:vAlign w:val="bottom"/>
          </w:tcPr>
          <w:p>
            <w:pPr>
              <w:spacing w:after="0"/>
              <w:rPr>
                <w:sz w:val="16"/>
                <w:szCs w:val="16"/>
                <w:color w:val="auto"/>
              </w:rPr>
            </w:pPr>
          </w:p>
        </w:tc>
        <w:tc>
          <w:tcPr>
            <w:tcW w:w="8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445</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1,268</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5,951</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219</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37</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256</w:t>
            </w:r>
          </w:p>
        </w:tc>
        <w:tc>
          <w:tcPr>
            <w:tcW w:w="460" w:type="dxa"/>
            <w:vAlign w:val="bottom"/>
          </w:tcPr>
          <w:p>
            <w:pPr>
              <w:spacing w:after="0"/>
              <w:rPr>
                <w:sz w:val="16"/>
                <w:szCs w:val="16"/>
                <w:color w:val="auto"/>
              </w:rPr>
            </w:pPr>
          </w:p>
        </w:tc>
        <w:tc>
          <w:tcPr>
            <w:tcW w:w="8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915</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7,122</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Profit (loss) from operations..............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1,806</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87</w:t>
            </w:r>
          </w:p>
        </w:tc>
        <w:tc>
          <w:tcPr>
            <w:tcW w:w="24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65</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(142)</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1,729</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income (expense) net.................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2,057</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14</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2,040</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Interest on loans..........................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64</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6</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58</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provision for</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taxes.............................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3,799</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95</w:t>
            </w:r>
          </w:p>
        </w:tc>
        <w:tc>
          <w:tcPr>
            <w:tcW w:w="24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75</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(163)</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3,711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Provision (credit) for income taxes........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1,089</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30</w:t>
            </w:r>
          </w:p>
        </w:tc>
        <w:tc>
          <w:tcPr>
            <w:tcW w:w="24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23</w:t>
            </w:r>
          </w:p>
        </w:tc>
        <w:tc>
          <w:tcPr>
            <w:tcW w:w="460" w:type="dxa"/>
            <w:vAlign w:val="bottom"/>
          </w:tcPr>
          <w:p>
            <w:pPr>
              <w:spacing w:after="0"/>
              <w:rPr>
                <w:sz w:val="16"/>
                <w:szCs w:val="16"/>
                <w:color w:val="auto"/>
              </w:rPr>
            </w:pPr>
          </w:p>
        </w:tc>
        <w:tc>
          <w:tcPr>
            <w:tcW w:w="88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174</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1,286</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equity in earnings of</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subsidiaries.............................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2,710</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65</w:t>
            </w:r>
          </w:p>
        </w:tc>
        <w:tc>
          <w:tcPr>
            <w:tcW w:w="240" w:type="dxa"/>
            <w:vAlign w:val="bottom"/>
          </w:tcPr>
          <w:p>
            <w:pPr>
              <w:spacing w:after="0"/>
              <w:rPr>
                <w:sz w:val="16"/>
                <w:szCs w:val="16"/>
                <w:color w:val="auto"/>
              </w:rPr>
            </w:pP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w:t>
            </w:r>
          </w:p>
        </w:tc>
        <w:tc>
          <w:tcPr>
            <w:tcW w:w="260" w:type="dxa"/>
            <w:vAlign w:val="bottom"/>
          </w:tcPr>
          <w:p>
            <w:pPr>
              <w:spacing w:after="0"/>
              <w:rPr>
                <w:sz w:val="16"/>
                <w:szCs w:val="16"/>
                <w:color w:val="auto"/>
              </w:rPr>
            </w:pP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52</w:t>
            </w:r>
          </w:p>
        </w:tc>
        <w:tc>
          <w:tcPr>
            <w:tcW w:w="460" w:type="dxa"/>
            <w:vAlign w:val="bottom"/>
          </w:tcPr>
          <w:p>
            <w:pPr>
              <w:spacing w:after="0"/>
              <w:rPr>
                <w:sz w:val="16"/>
                <w:szCs w:val="16"/>
                <w:color w:val="auto"/>
              </w:rPr>
            </w:pP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(337)</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2,425</w:t>
            </w:r>
          </w:p>
        </w:tc>
      </w:tr>
      <w:tr>
        <w:trPr>
          <w:trHeight w:val="383"/>
        </w:trPr>
        <w:tc>
          <w:tcPr>
            <w:tcW w:w="4280" w:type="dxa"/>
            <w:vAlign w:val="bottom"/>
          </w:tcPr>
          <w:p>
            <w:pPr>
              <w:jc w:val="right"/>
              <w:spacing w:after="0"/>
              <w:rPr>
                <w:sz w:val="20"/>
                <w:szCs w:val="20"/>
                <w:color w:val="auto"/>
              </w:rPr>
            </w:pPr>
            <w:r>
              <w:rPr>
                <w:rFonts w:ascii="Courier New" w:cs="Courier New" w:eastAsia="Courier New" w:hAnsi="Courier New"/>
                <w:sz w:val="17"/>
                <w:szCs w:val="17"/>
                <w:color w:val="auto"/>
                <w:w w:val="97"/>
              </w:rPr>
              <w:t>Equity in earnings of subsidiaries.........</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(285)</w:t>
            </w:r>
          </w:p>
        </w:tc>
        <w:tc>
          <w:tcPr>
            <w:tcW w:w="380" w:type="dxa"/>
            <w:vAlign w:val="bottom"/>
          </w:tcPr>
          <w:p>
            <w:pPr>
              <w:spacing w:after="0"/>
              <w:rPr>
                <w:sz w:val="24"/>
                <w:szCs w:val="24"/>
                <w:color w:val="auto"/>
              </w:rPr>
            </w:pPr>
          </w:p>
        </w:tc>
        <w:tc>
          <w:tcPr>
            <w:tcW w:w="6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24"/>
                <w:szCs w:val="24"/>
                <w:color w:val="auto"/>
              </w:rPr>
            </w:pPr>
          </w:p>
        </w:tc>
        <w:tc>
          <w:tcPr>
            <w:tcW w:w="8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24"/>
                <w:szCs w:val="24"/>
                <w:color w:val="auto"/>
              </w:rPr>
            </w:pPr>
          </w:p>
        </w:tc>
        <w:tc>
          <w:tcPr>
            <w:tcW w:w="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460" w:type="dxa"/>
            <w:vAlign w:val="bottom"/>
          </w:tcPr>
          <w:p>
            <w:pPr>
              <w:spacing w:after="0"/>
              <w:rPr>
                <w:sz w:val="24"/>
                <w:szCs w:val="24"/>
                <w:color w:val="auto"/>
              </w:rPr>
            </w:pPr>
          </w:p>
        </w:tc>
        <w:tc>
          <w:tcPr>
            <w:tcW w:w="88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285</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income.................................</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$2,425</w:t>
            </w:r>
          </w:p>
        </w:tc>
        <w:tc>
          <w:tcPr>
            <w:tcW w:w="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65</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w:t>
            </w:r>
          </w:p>
        </w:tc>
        <w:tc>
          <w:tcPr>
            <w:tcW w:w="26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w w:val="77"/>
              </w:rPr>
              <w:t>$</w:t>
            </w:r>
          </w:p>
        </w:tc>
        <w:tc>
          <w:tcPr>
            <w:tcW w:w="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52</w:t>
            </w:r>
          </w:p>
        </w:tc>
        <w:tc>
          <w:tcPr>
            <w:tcW w:w="46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w w:val="77"/>
              </w:rPr>
              <w:t>$</w:t>
            </w:r>
          </w:p>
        </w:tc>
        <w:tc>
          <w:tcPr>
            <w:tcW w:w="8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(52)</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$2,425</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1240"/>
          </w:cols>
          <w:pgMar w:left="240" w:top="1066" w:right="419" w:bottom="1440" w:gutter="0" w:footer="0" w:header="0"/>
        </w:sectPr>
      </w:pPr>
    </w:p>
    <w:bookmarkStart w:id="15" w:name="page16"/>
    <w:bookmarkEnd w:id="15"/>
    <w:p>
      <w:pPr>
        <w:jc w:val="center"/>
        <w:ind w:right="-199"/>
        <w:spacing w:after="0"/>
        <w:rPr>
          <w:sz w:val="20"/>
          <w:szCs w:val="20"/>
          <w:color w:val="auto"/>
        </w:rPr>
      </w:pPr>
      <w:r>
        <w:rPr>
          <w:rFonts w:ascii="Courier New" w:cs="Courier New" w:eastAsia="Courier New" w:hAnsi="Courier New"/>
          <w:sz w:val="17"/>
          <w:szCs w:val="17"/>
          <w:color w:val="auto"/>
        </w:rPr>
        <w:t>TEXAS INSTRUMENTS INCORPORATED AND SUBSIDIARIES</w:t>
      </w:r>
    </w:p>
    <w:p>
      <w:pPr>
        <w:ind w:left="3080"/>
        <w:spacing w:after="0" w:line="238" w:lineRule="auto"/>
        <w:rPr>
          <w:sz w:val="20"/>
          <w:szCs w:val="20"/>
          <w:color w:val="auto"/>
        </w:rPr>
      </w:pPr>
      <w:r>
        <w:rPr>
          <w:rFonts w:ascii="Courier New" w:cs="Courier New" w:eastAsia="Courier New" w:hAnsi="Courier New"/>
          <w:sz w:val="17"/>
          <w:szCs w:val="17"/>
          <w:color w:val="auto"/>
        </w:rPr>
        <w:t>Unaudited Consolidating Condensed Statement of Income</w:t>
      </w:r>
    </w:p>
    <w:p>
      <w:pPr>
        <w:ind w:left="3680"/>
        <w:spacing w:after="0" w:line="238" w:lineRule="auto"/>
        <w:rPr>
          <w:sz w:val="20"/>
          <w:szCs w:val="20"/>
          <w:color w:val="auto"/>
        </w:rPr>
      </w:pPr>
      <w:r>
        <w:rPr>
          <w:rFonts w:ascii="Courier New" w:cs="Courier New" w:eastAsia="Courier New" w:hAnsi="Courier New"/>
          <w:sz w:val="17"/>
          <w:szCs w:val="17"/>
          <w:color w:val="auto"/>
        </w:rPr>
        <w:t>For Nine Months Ended September 30, 1999</w:t>
      </w:r>
    </w:p>
    <w:p>
      <w:pPr>
        <w:jc w:val="center"/>
        <w:ind w:right="-99"/>
        <w:spacing w:after="0"/>
        <w:rPr>
          <w:sz w:val="20"/>
          <w:szCs w:val="20"/>
          <w:color w:val="auto"/>
        </w:rPr>
      </w:pPr>
      <w:r>
        <w:rPr>
          <w:rFonts w:ascii="Courier New" w:cs="Courier New" w:eastAsia="Courier New" w:hAnsi="Courier New"/>
          <w:sz w:val="17"/>
          <w:szCs w:val="17"/>
          <w:color w:val="auto"/>
        </w:rPr>
        <w:t>(In millions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gridSpan w:val="2"/>
          </w:tcPr>
          <w:p>
            <w:pPr>
              <w:jc w:val="center"/>
              <w:ind w:right="17"/>
              <w:spacing w:after="0"/>
              <w:rPr>
                <w:sz w:val="20"/>
                <w:szCs w:val="20"/>
                <w:color w:val="auto"/>
              </w:rPr>
            </w:pPr>
            <w:r>
              <w:rPr>
                <w:rFonts w:ascii="Courier New" w:cs="Courier New" w:eastAsia="Courier New" w:hAnsi="Courier New"/>
                <w:sz w:val="17"/>
                <w:szCs w:val="17"/>
                <w:color w:val="auto"/>
                <w:w w:val="97"/>
              </w:rPr>
              <w:t>TI Tucson</w:t>
            </w: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8"/>
              </w:rPr>
              <w:t>----------------------------</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Non-</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TI</w:t>
            </w: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guarantor</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Texas</w:t>
            </w: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Tucson</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subsidiaries</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Instruments</w:t>
            </w:r>
          </w:p>
        </w:tc>
        <w:tc>
          <w:tcPr>
            <w:tcW w:w="10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Operating</w:t>
            </w:r>
          </w:p>
        </w:tc>
        <w:tc>
          <w:tcPr>
            <w:tcW w:w="1080" w:type="dxa"/>
            <w:vAlign w:val="bottom"/>
            <w:gridSpan w:val="2"/>
          </w:tcPr>
          <w:p>
            <w:pPr>
              <w:jc w:val="center"/>
              <w:ind w:right="17"/>
              <w:spacing w:after="0" w:line="191" w:lineRule="exact"/>
              <w:rPr>
                <w:sz w:val="20"/>
                <w:szCs w:val="20"/>
                <w:color w:val="auto"/>
              </w:rPr>
            </w:pPr>
            <w:r>
              <w:rPr>
                <w:rFonts w:ascii="Courier New" w:cs="Courier New" w:eastAsia="Courier New" w:hAnsi="Courier New"/>
                <w:sz w:val="17"/>
                <w:szCs w:val="17"/>
                <w:color w:val="auto"/>
                <w:w w:val="97"/>
              </w:rPr>
              <w:t>Special</w:t>
            </w:r>
          </w:p>
        </w:tc>
        <w:tc>
          <w:tcPr>
            <w:tcW w:w="9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consol-</w:t>
            </w:r>
          </w:p>
        </w:tc>
        <w:tc>
          <w:tcPr>
            <w:tcW w:w="1340" w:type="dxa"/>
            <w:vAlign w:val="bottom"/>
          </w:tcPr>
          <w:p>
            <w:pPr>
              <w:jc w:val="right"/>
              <w:ind w:right="497"/>
              <w:spacing w:after="0" w:line="191" w:lineRule="exact"/>
              <w:rPr>
                <w:sz w:val="20"/>
                <w:szCs w:val="20"/>
                <w:color w:val="auto"/>
              </w:rPr>
            </w:pPr>
            <w:r>
              <w:rPr>
                <w:rFonts w:ascii="Courier New" w:cs="Courier New" w:eastAsia="Courier New" w:hAnsi="Courier New"/>
                <w:sz w:val="17"/>
                <w:szCs w:val="17"/>
                <w:color w:val="auto"/>
              </w:rPr>
              <w:t>and</w:t>
            </w:r>
          </w:p>
        </w:tc>
        <w:tc>
          <w:tcPr>
            <w:tcW w:w="13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Incorporated</w:t>
            </w:r>
          </w:p>
        </w:tc>
        <w:tc>
          <w:tcPr>
            <w:tcW w:w="10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results</w:t>
            </w:r>
          </w:p>
        </w:tc>
        <w:tc>
          <w:tcPr>
            <w:tcW w:w="240" w:type="dxa"/>
            <w:vAlign w:val="bottom"/>
          </w:tcPr>
          <w:p>
            <w:pPr>
              <w:spacing w:after="0"/>
              <w:rPr>
                <w:sz w:val="16"/>
                <w:szCs w:val="16"/>
                <w:color w:val="auto"/>
              </w:rPr>
            </w:pPr>
          </w:p>
        </w:tc>
        <w:tc>
          <w:tcPr>
            <w:tcW w:w="840" w:type="dxa"/>
            <w:vAlign w:val="bottom"/>
          </w:tcPr>
          <w:p>
            <w:pPr>
              <w:jc w:val="center"/>
              <w:ind w:right="257"/>
              <w:spacing w:after="0" w:line="191" w:lineRule="exact"/>
              <w:rPr>
                <w:sz w:val="20"/>
                <w:szCs w:val="20"/>
                <w:color w:val="auto"/>
              </w:rPr>
            </w:pPr>
            <w:r>
              <w:rPr>
                <w:rFonts w:ascii="Courier New" w:cs="Courier New" w:eastAsia="Courier New" w:hAnsi="Courier New"/>
                <w:sz w:val="17"/>
                <w:szCs w:val="17"/>
                <w:color w:val="auto"/>
                <w:w w:val="97"/>
              </w:rPr>
              <w:t>items</w:t>
            </w:r>
          </w:p>
        </w:tc>
        <w:tc>
          <w:tcPr>
            <w:tcW w:w="90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idated</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eliminations</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4280" w:type="dxa"/>
            <w:vAlign w:val="bottom"/>
          </w:tcPr>
          <w:p>
            <w:pPr>
              <w:spacing w:after="0"/>
              <w:rPr>
                <w:sz w:val="16"/>
                <w:szCs w:val="16"/>
                <w:color w:val="auto"/>
              </w:rPr>
            </w:pPr>
          </w:p>
        </w:tc>
        <w:tc>
          <w:tcPr>
            <w:tcW w:w="13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9"/>
              </w:rPr>
              <w:t>------------</w:t>
            </w: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w w:val="97"/>
              </w:rPr>
              <w:t>Net revenues...............................</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$5,913</w:t>
            </w:r>
          </w:p>
        </w:tc>
        <w:tc>
          <w:tcPr>
            <w:tcW w:w="38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77"/>
              <w:spacing w:after="0"/>
              <w:rPr>
                <w:sz w:val="20"/>
                <w:szCs w:val="20"/>
                <w:color w:val="auto"/>
              </w:rPr>
            </w:pPr>
            <w:r>
              <w:rPr>
                <w:rFonts w:ascii="Courier New" w:cs="Courier New" w:eastAsia="Courier New" w:hAnsi="Courier New"/>
                <w:sz w:val="17"/>
                <w:szCs w:val="17"/>
                <w:color w:val="auto"/>
                <w:w w:val="91"/>
              </w:rPr>
              <w:t>207</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207</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$1,001</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$7,121</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Operating costs and expenses:</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Cost of revenues........................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3,221</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99</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99</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406</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3,726</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Research and development.................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862</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33</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33</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1,046</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Marketing, general and administrative....</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670</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35</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35</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391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1,096</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4,753</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w w:val="91"/>
              </w:rPr>
              <w:t>167</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167</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948</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5,868</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Profit (loss) from operations..............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1,160</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40</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40</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53</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1,253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income (expense) net.................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359</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w:t>
            </w: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(48)</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313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Interest on loans..........................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47</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55</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(loss) before provision for</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income taxes.............................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1,472</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42</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42</w:t>
            </w: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1,511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Provision for income taxes.................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336</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11</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11</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158</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505</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equity in earnings of</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subsidiaries.............................</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1,136</w:t>
            </w:r>
          </w:p>
        </w:tc>
        <w:tc>
          <w:tcPr>
            <w:tcW w:w="380" w:type="dxa"/>
            <w:vAlign w:val="bottom"/>
          </w:tcPr>
          <w:p>
            <w:pPr>
              <w:spacing w:after="0"/>
              <w:rPr>
                <w:sz w:val="16"/>
                <w:szCs w:val="16"/>
                <w:color w:val="auto"/>
              </w:rPr>
            </w:pP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31</w:t>
            </w:r>
          </w:p>
        </w:tc>
        <w:tc>
          <w:tcPr>
            <w:tcW w:w="240" w:type="dxa"/>
            <w:vAlign w:val="bottom"/>
          </w:tcPr>
          <w:p>
            <w:pPr>
              <w:spacing w:after="0"/>
              <w:rPr>
                <w:sz w:val="16"/>
                <w:szCs w:val="16"/>
                <w:color w:val="auto"/>
              </w:rPr>
            </w:pP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6"/>
                <w:szCs w:val="16"/>
                <w:color w:val="auto"/>
              </w:rPr>
            </w:pP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w:t>
            </w: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1,006</w:t>
            </w:r>
          </w:p>
        </w:tc>
      </w:tr>
      <w:tr>
        <w:trPr>
          <w:trHeight w:val="383"/>
        </w:trPr>
        <w:tc>
          <w:tcPr>
            <w:tcW w:w="4280" w:type="dxa"/>
            <w:vAlign w:val="bottom"/>
          </w:tcPr>
          <w:p>
            <w:pPr>
              <w:jc w:val="right"/>
              <w:spacing w:after="0"/>
              <w:rPr>
                <w:sz w:val="20"/>
                <w:szCs w:val="20"/>
                <w:color w:val="auto"/>
              </w:rPr>
            </w:pPr>
            <w:r>
              <w:rPr>
                <w:rFonts w:ascii="Courier New" w:cs="Courier New" w:eastAsia="Courier New" w:hAnsi="Courier New"/>
                <w:sz w:val="17"/>
                <w:szCs w:val="17"/>
                <w:color w:val="auto"/>
                <w:w w:val="97"/>
              </w:rPr>
              <w:t>Equity in earnings of subsidiaries.........</w:t>
            </w:r>
          </w:p>
        </w:tc>
        <w:tc>
          <w:tcPr>
            <w:tcW w:w="13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(130)</w:t>
            </w:r>
          </w:p>
        </w:tc>
        <w:tc>
          <w:tcPr>
            <w:tcW w:w="380" w:type="dxa"/>
            <w:vAlign w:val="bottom"/>
          </w:tcPr>
          <w:p>
            <w:pPr>
              <w:spacing w:after="0"/>
              <w:rPr>
                <w:sz w:val="24"/>
                <w:szCs w:val="24"/>
                <w:color w:val="auto"/>
              </w:rPr>
            </w:pPr>
          </w:p>
        </w:tc>
        <w:tc>
          <w:tcPr>
            <w:tcW w:w="66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w:t>
            </w:r>
          </w:p>
        </w:tc>
        <w:tc>
          <w:tcPr>
            <w:tcW w:w="240" w:type="dxa"/>
            <w:vAlign w:val="bottom"/>
          </w:tcPr>
          <w:p>
            <w:pPr>
              <w:spacing w:after="0"/>
              <w:rPr>
                <w:sz w:val="24"/>
                <w:szCs w:val="24"/>
                <w:color w:val="auto"/>
              </w:rPr>
            </w:pPr>
          </w:p>
        </w:tc>
        <w:tc>
          <w:tcPr>
            <w:tcW w:w="8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24"/>
                <w:szCs w:val="24"/>
                <w:color w:val="auto"/>
              </w:rPr>
            </w:pPr>
          </w:p>
        </w:tc>
        <w:tc>
          <w:tcPr>
            <w:tcW w:w="6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130</w:t>
            </w:r>
          </w:p>
        </w:tc>
        <w:tc>
          <w:tcPr>
            <w:tcW w:w="13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income.................................</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$1,006</w:t>
            </w:r>
          </w:p>
        </w:tc>
        <w:tc>
          <w:tcPr>
            <w:tcW w:w="3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31</w:t>
            </w:r>
          </w:p>
        </w:tc>
        <w:tc>
          <w:tcPr>
            <w:tcW w:w="24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3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6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31</w:t>
            </w:r>
          </w:p>
        </w:tc>
        <w:tc>
          <w:tcPr>
            <w:tcW w:w="13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(31)</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$1,006</w:t>
            </w:r>
          </w:p>
        </w:tc>
      </w:tr>
      <w:tr>
        <w:trPr>
          <w:trHeight w:val="191"/>
        </w:trPr>
        <w:tc>
          <w:tcPr>
            <w:tcW w:w="4280" w:type="dxa"/>
            <w:vAlign w:val="bottom"/>
          </w:tcPr>
          <w:p>
            <w:pPr>
              <w:spacing w:after="0"/>
              <w:rPr>
                <w:sz w:val="16"/>
                <w:szCs w:val="16"/>
                <w:color w:val="auto"/>
              </w:rPr>
            </w:pP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gridSpan w:val="2"/>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gridSpan w:val="2"/>
          </w:tcPr>
          <w:p>
            <w:pPr>
              <w:jc w:val="right"/>
              <w:ind w:right="25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1240"/>
          </w:cols>
          <w:pgMar w:left="240" w:top="1066" w:right="419" w:bottom="1440" w:gutter="0" w:footer="0" w:header="0"/>
        </w:sectPr>
      </w:pPr>
    </w:p>
    <w:bookmarkStart w:id="16" w:name="page17"/>
    <w:bookmarkEnd w:id="16"/>
    <w:p>
      <w:pPr>
        <w:jc w:val="center"/>
        <w:ind w:right="-19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199"/>
        <w:spacing w:after="0" w:line="238" w:lineRule="auto"/>
        <w:rPr>
          <w:sz w:val="20"/>
          <w:szCs w:val="20"/>
          <w:color w:val="auto"/>
        </w:rPr>
      </w:pPr>
      <w:r>
        <w:rPr>
          <w:rFonts w:ascii="Courier New" w:cs="Courier New" w:eastAsia="Courier New" w:hAnsi="Courier New"/>
          <w:sz w:val="17"/>
          <w:szCs w:val="17"/>
          <w:color w:val="auto"/>
        </w:rPr>
        <w:t>Unaudited Consolidating Condensed Balance Sheet</w:t>
      </w:r>
    </w:p>
    <w:p>
      <w:pPr>
        <w:jc w:val="center"/>
        <w:ind w:right="-99"/>
        <w:spacing w:after="0" w:line="238" w:lineRule="auto"/>
        <w:rPr>
          <w:sz w:val="20"/>
          <w:szCs w:val="20"/>
          <w:color w:val="auto"/>
        </w:rPr>
      </w:pPr>
      <w:r>
        <w:rPr>
          <w:rFonts w:ascii="Courier New" w:cs="Courier New" w:eastAsia="Courier New" w:hAnsi="Courier New"/>
          <w:sz w:val="17"/>
          <w:szCs w:val="17"/>
          <w:color w:val="auto"/>
        </w:rPr>
        <w:t>September 30, 2000</w:t>
      </w:r>
    </w:p>
    <w:p>
      <w:pPr>
        <w:jc w:val="center"/>
        <w:ind w:right="-99"/>
        <w:spacing w:after="0"/>
        <w:rPr>
          <w:sz w:val="20"/>
          <w:szCs w:val="20"/>
          <w:color w:val="auto"/>
        </w:rPr>
      </w:pPr>
      <w:r>
        <w:rPr>
          <w:rFonts w:ascii="Courier New" w:cs="Courier New" w:eastAsia="Courier New" w:hAnsi="Courier New"/>
          <w:sz w:val="17"/>
          <w:szCs w:val="17"/>
          <w:color w:val="auto"/>
        </w:rPr>
        <w:t>(In millions of dollars)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jc w:val="center"/>
              <w:ind w:right="657"/>
              <w:spacing w:after="0"/>
              <w:rPr>
                <w:sz w:val="20"/>
                <w:szCs w:val="20"/>
                <w:color w:val="auto"/>
              </w:rPr>
            </w:pPr>
            <w:r>
              <w:rPr>
                <w:rFonts w:ascii="Courier New" w:cs="Courier New" w:eastAsia="Courier New" w:hAnsi="Courier New"/>
                <w:sz w:val="17"/>
                <w:szCs w:val="17"/>
                <w:color w:val="auto"/>
                <w:w w:val="97"/>
              </w:rPr>
              <w:t>Non-</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TI</w:t>
            </w:r>
          </w:p>
        </w:tc>
        <w:tc>
          <w:tcPr>
            <w:tcW w:w="188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guarantor</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w w:val="94"/>
              </w:rPr>
              <w:t>Texas</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Tucson</w:t>
            </w:r>
          </w:p>
        </w:tc>
        <w:tc>
          <w:tcPr>
            <w:tcW w:w="18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subsidiaries</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Instruments</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consol-</w:t>
            </w:r>
          </w:p>
        </w:tc>
        <w:tc>
          <w:tcPr>
            <w:tcW w:w="740" w:type="dxa"/>
            <w:vAlign w:val="bottom"/>
          </w:tcPr>
          <w:p>
            <w:pPr>
              <w:spacing w:after="0"/>
              <w:rPr>
                <w:sz w:val="16"/>
                <w:szCs w:val="16"/>
                <w:color w:val="auto"/>
              </w:rPr>
            </w:pPr>
          </w:p>
        </w:tc>
        <w:tc>
          <w:tcPr>
            <w:tcW w:w="11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w w:val="91"/>
              </w:rPr>
              <w:t>and</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idated</w:t>
            </w:r>
          </w:p>
        </w:tc>
        <w:tc>
          <w:tcPr>
            <w:tcW w:w="18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eliminations</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422</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506</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938</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Short-term investments...................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3,473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158</w:t>
            </w:r>
          </w:p>
        </w:tc>
        <w:tc>
          <w:tcPr>
            <w:tcW w:w="740" w:type="dxa"/>
            <w:vAlign w:val="bottom"/>
          </w:tcPr>
          <w:p>
            <w:pPr>
              <w:spacing w:after="0"/>
              <w:rPr>
                <w:sz w:val="16"/>
                <w:szCs w:val="16"/>
                <w:color w:val="auto"/>
              </w:rPr>
            </w:pPr>
          </w:p>
        </w:tc>
        <w:tc>
          <w:tcPr>
            <w:tcW w:w="1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(14)</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3,617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1,543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76</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743</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2,362</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Inventories..............................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585</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59</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478</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1,122</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Prepaid expenses.........................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36</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17</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551</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569</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6,083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325</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2,300</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8,708</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Property, plant and equipment (net)........</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3,357</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97</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1,401</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4,855</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Investments................................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2,616</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665</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3,297</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and other acquisition-related</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intangibles..............................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1,017</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1,017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53</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assets...............................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383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17</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409</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Investment in subsidiaries.................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3,159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(3,159)</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Intercompany accounts (net)................</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(75)</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266</w:t>
            </w:r>
          </w:p>
        </w:tc>
        <w:tc>
          <w:tcPr>
            <w:tcW w:w="740" w:type="dxa"/>
            <w:vAlign w:val="bottom"/>
          </w:tcPr>
          <w:p>
            <w:pPr>
              <w:spacing w:after="0"/>
              <w:rPr>
                <w:sz w:val="16"/>
                <w:szCs w:val="16"/>
                <w:color w:val="auto"/>
              </w:rPr>
            </w:pPr>
          </w:p>
        </w:tc>
        <w:tc>
          <w:tcPr>
            <w:tcW w:w="1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(191)</w:t>
            </w:r>
          </w:p>
        </w:tc>
        <w:tc>
          <w:tcPr>
            <w:tcW w:w="540" w:type="dxa"/>
            <w:vAlign w:val="bottom"/>
          </w:tcPr>
          <w:p>
            <w:pPr>
              <w:spacing w:after="0"/>
              <w:rPr>
                <w:sz w:val="16"/>
                <w:szCs w:val="16"/>
                <w:color w:val="auto"/>
              </w:rPr>
            </w:pP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assets...........................</w:t>
            </w: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$15,523</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721</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$2,095</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$ 18,339</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 and Stockholders' Equity</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jc w:val="right"/>
              <w:ind w:right="2097"/>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Loans payable and current portion</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long-term debt.........................</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154</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47</w:t>
            </w:r>
          </w:p>
        </w:tc>
        <w:tc>
          <w:tcPr>
            <w:tcW w:w="5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204</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470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26</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332</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828</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and other current liabilities....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646</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28</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1,163</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1,837</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1,270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57</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1,542</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2,869</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Long-term debt.............................</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888</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251</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74</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1,213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Accrued retirement costs...................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519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168</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687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546</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269</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822</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credits and other liabilities.....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297</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9</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307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Stockholders' equity.......................</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12,003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405</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33</w:t>
            </w:r>
          </w:p>
        </w:tc>
        <w:tc>
          <w:tcPr>
            <w:tcW w:w="540" w:type="dxa"/>
            <w:vAlign w:val="bottom"/>
          </w:tcPr>
          <w:p>
            <w:pPr>
              <w:spacing w:after="0"/>
              <w:rPr>
                <w:sz w:val="16"/>
                <w:szCs w:val="16"/>
                <w:color w:val="auto"/>
              </w:rPr>
            </w:pPr>
          </w:p>
        </w:tc>
        <w:tc>
          <w:tcPr>
            <w:tcW w:w="10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w w:val="94"/>
              </w:rPr>
              <w:t>12,441</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Total liabilities and stockholders' equity.</w:t>
            </w: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$15,523</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721</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$2,095</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$18,339</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640"/>
          </w:cols>
          <w:pgMar w:left="240" w:top="1066" w:right="1019" w:bottom="1440" w:gutter="0" w:footer="0" w:header="0"/>
        </w:sectPr>
      </w:pPr>
    </w:p>
    <w:bookmarkStart w:id="17" w:name="page18"/>
    <w:bookmarkEnd w:id="17"/>
    <w:p>
      <w:pPr>
        <w:jc w:val="center"/>
        <w:ind w:right="-19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199"/>
        <w:spacing w:after="0" w:line="238" w:lineRule="auto"/>
        <w:rPr>
          <w:sz w:val="20"/>
          <w:szCs w:val="20"/>
          <w:color w:val="auto"/>
        </w:rPr>
      </w:pPr>
      <w:r>
        <w:rPr>
          <w:rFonts w:ascii="Courier New" w:cs="Courier New" w:eastAsia="Courier New" w:hAnsi="Courier New"/>
          <w:sz w:val="17"/>
          <w:szCs w:val="17"/>
          <w:color w:val="auto"/>
        </w:rPr>
        <w:t>Unaudited Consolidating Condensed Balance Sheet</w:t>
      </w:r>
    </w:p>
    <w:p>
      <w:pPr>
        <w:jc w:val="center"/>
        <w:ind w:right="-199"/>
        <w:spacing w:after="0" w:line="238" w:lineRule="auto"/>
        <w:rPr>
          <w:sz w:val="20"/>
          <w:szCs w:val="20"/>
          <w:color w:val="auto"/>
        </w:rPr>
      </w:pPr>
      <w:r>
        <w:rPr>
          <w:rFonts w:ascii="Courier New" w:cs="Courier New" w:eastAsia="Courier New" w:hAnsi="Courier New"/>
          <w:sz w:val="17"/>
          <w:szCs w:val="17"/>
          <w:color w:val="auto"/>
        </w:rPr>
        <w:t>December 31, 1999</w:t>
      </w:r>
    </w:p>
    <w:tbl>
      <w:tblPr>
        <w:tblLayout w:type="fixed"/>
        <w:tblInd w:w="0" w:type="dxa"/>
        <w:tblCellMar>
          <w:top w:w="0" w:type="dxa"/>
          <w:left w:w="0" w:type="dxa"/>
          <w:bottom w:w="0" w:type="dxa"/>
          <w:right w:w="0" w:type="dxa"/>
        </w:tblCellMar>
      </w:tblPr>
      <w:tr>
        <w:trPr>
          <w:trHeight w:val="192"/>
        </w:trPr>
        <w:tc>
          <w:tcPr>
            <w:tcW w:w="7220" w:type="dxa"/>
            <w:vAlign w:val="bottom"/>
            <w:gridSpan w:val="5"/>
          </w:tcPr>
          <w:p>
            <w:pPr>
              <w:jc w:val="right"/>
              <w:ind w:right="577"/>
              <w:spacing w:after="0"/>
              <w:rPr>
                <w:sz w:val="20"/>
                <w:szCs w:val="20"/>
                <w:color w:val="auto"/>
              </w:rPr>
            </w:pPr>
            <w:r>
              <w:rPr>
                <w:rFonts w:ascii="Courier New" w:cs="Courier New" w:eastAsia="Courier New" w:hAnsi="Courier New"/>
                <w:sz w:val="17"/>
                <w:szCs w:val="17"/>
                <w:color w:val="auto"/>
              </w:rPr>
              <w:t>(In millions of dollars)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3"/>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center"/>
              <w:ind w:right="657"/>
              <w:spacing w:after="0"/>
              <w:rPr>
                <w:sz w:val="20"/>
                <w:szCs w:val="20"/>
                <w:color w:val="auto"/>
              </w:rPr>
            </w:pPr>
            <w:r>
              <w:rPr>
                <w:rFonts w:ascii="Courier New" w:cs="Courier New" w:eastAsia="Courier New" w:hAnsi="Courier New"/>
                <w:sz w:val="17"/>
                <w:szCs w:val="17"/>
                <w:color w:val="auto"/>
                <w:w w:val="97"/>
              </w:rPr>
              <w:t>Non-</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TI</w:t>
            </w:r>
          </w:p>
        </w:tc>
        <w:tc>
          <w:tcPr>
            <w:tcW w:w="188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guarantor</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w w:val="94"/>
              </w:rPr>
              <w:t>Texas</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Tucson</w:t>
            </w:r>
          </w:p>
        </w:tc>
        <w:tc>
          <w:tcPr>
            <w:tcW w:w="18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subsidiaries</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Instruments</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consol-</w:t>
            </w:r>
          </w:p>
        </w:tc>
        <w:tc>
          <w:tcPr>
            <w:tcW w:w="740" w:type="dxa"/>
            <w:vAlign w:val="bottom"/>
          </w:tcPr>
          <w:p>
            <w:pPr>
              <w:spacing w:after="0"/>
              <w:rPr>
                <w:sz w:val="16"/>
                <w:szCs w:val="16"/>
                <w:color w:val="auto"/>
              </w:rPr>
            </w:pPr>
          </w:p>
        </w:tc>
        <w:tc>
          <w:tcPr>
            <w:tcW w:w="1140" w:type="dxa"/>
            <w:vAlign w:val="bottom"/>
          </w:tcPr>
          <w:p>
            <w:pPr>
              <w:jc w:val="right"/>
              <w:ind w:right="757"/>
              <w:spacing w:after="0" w:line="191" w:lineRule="exact"/>
              <w:rPr>
                <w:sz w:val="20"/>
                <w:szCs w:val="20"/>
                <w:color w:val="auto"/>
              </w:rPr>
            </w:pPr>
            <w:r>
              <w:rPr>
                <w:rFonts w:ascii="Courier New" w:cs="Courier New" w:eastAsia="Courier New" w:hAnsi="Courier New"/>
                <w:sz w:val="17"/>
                <w:szCs w:val="17"/>
                <w:color w:val="auto"/>
                <w:w w:val="91"/>
              </w:rPr>
              <w:t>and</w:t>
            </w: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idated</w:t>
            </w:r>
          </w:p>
        </w:tc>
        <w:tc>
          <w:tcPr>
            <w:tcW w:w="18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eliminations</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Current assets: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194</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118</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469</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Short-term investments...................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1,979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45</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21</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2,045</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receivable......................</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1,189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66</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654</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1,909</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Inventories..............................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391</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50</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453</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894</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Prepaid expenses.........................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9</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40</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109</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605</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615</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3,813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298</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2,242</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6,353</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Property, plant and equipment (net)........</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2,751</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98</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1,084</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3,933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Investments................................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3,602</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602</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4,205</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Goodwill and other acquisition-related</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intangibles..............................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502</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502</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60</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Other assets...............................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721</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w:t>
            </w:r>
          </w:p>
        </w:tc>
        <w:tc>
          <w:tcPr>
            <w:tcW w:w="740" w:type="dxa"/>
            <w:vAlign w:val="bottom"/>
          </w:tcPr>
          <w:p>
            <w:pPr>
              <w:spacing w:after="0"/>
              <w:rPr>
                <w:sz w:val="16"/>
                <w:szCs w:val="16"/>
                <w:color w:val="auto"/>
              </w:rPr>
            </w:pPr>
          </w:p>
        </w:tc>
        <w:tc>
          <w:tcPr>
            <w:tcW w:w="11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(331)</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393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Investment in subsidiaries.................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1,829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457"/>
              <w:spacing w:after="0" w:line="191" w:lineRule="exact"/>
              <w:rPr>
                <w:sz w:val="20"/>
                <w:szCs w:val="20"/>
                <w:color w:val="auto"/>
              </w:rPr>
            </w:pPr>
            <w:r>
              <w:rPr>
                <w:rFonts w:ascii="Courier New" w:cs="Courier New" w:eastAsia="Courier New" w:hAnsi="Courier New"/>
                <w:sz w:val="17"/>
                <w:szCs w:val="17"/>
                <w:color w:val="auto"/>
              </w:rPr>
              <w:t>(1,829)</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Intercompany accounts (net)................</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(77)</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77</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assets...........................</w:t>
            </w: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$12,620</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400</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$ 2,407</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$15,427</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 and Stockholders' Equity</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jc w:val="right"/>
              <w:ind w:right="2017"/>
              <w:spacing w:after="0" w:line="191" w:lineRule="exact"/>
              <w:rPr>
                <w:sz w:val="20"/>
                <w:szCs w:val="20"/>
                <w:color w:val="auto"/>
              </w:rPr>
            </w:pPr>
            <w:r>
              <w:rPr>
                <w:rFonts w:ascii="Courier New" w:cs="Courier New" w:eastAsia="Courier New" w:hAnsi="Courier New"/>
                <w:sz w:val="17"/>
                <w:szCs w:val="17"/>
                <w:color w:val="auto"/>
              </w:rPr>
              <w:t>Current 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Loans payable and current portion</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long-term debt........................</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280</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18</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33</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331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Accounts payable.......................</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383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19</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285</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687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Accrued and other current liabilities..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758</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32</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889</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1,679</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1,421</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69</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w w:val="94"/>
              </w:rPr>
              <w:t>1,207</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2,697</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Long-term debt.............................</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993</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104</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1,099</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Accrued retirement costs...................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522</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275</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797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income taxes......................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770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222</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998</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Deferred credits and other liabilities.....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244</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14</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258</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Stockholders' equity.......................</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8,670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323</w:t>
            </w:r>
          </w:p>
        </w:tc>
        <w:tc>
          <w:tcPr>
            <w:tcW w:w="740" w:type="dxa"/>
            <w:vAlign w:val="bottom"/>
          </w:tcPr>
          <w:p>
            <w:pPr>
              <w:spacing w:after="0"/>
              <w:rPr>
                <w:sz w:val="16"/>
                <w:szCs w:val="16"/>
                <w:color w:val="auto"/>
              </w:rPr>
            </w:pPr>
          </w:p>
        </w:tc>
        <w:tc>
          <w:tcPr>
            <w:tcW w:w="11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585</w:t>
            </w:r>
          </w:p>
        </w:tc>
        <w:tc>
          <w:tcPr>
            <w:tcW w:w="700" w:type="dxa"/>
            <w:vAlign w:val="bottom"/>
          </w:tcPr>
          <w:p>
            <w:pPr>
              <w:spacing w:after="0"/>
              <w:rPr>
                <w:sz w:val="16"/>
                <w:szCs w:val="16"/>
                <w:color w:val="auto"/>
              </w:rPr>
            </w:pPr>
          </w:p>
        </w:tc>
        <w:tc>
          <w:tcPr>
            <w:tcW w:w="8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9,578</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Total liabilities and stockholders' equity.</w:t>
            </w: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$12,620</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400</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$ 2,407</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$15,427</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42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16</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640"/>
          </w:cols>
          <w:pgMar w:left="240" w:top="1066" w:right="1019" w:bottom="1440" w:gutter="0" w:footer="0" w:header="0"/>
        </w:sectPr>
      </w:pPr>
    </w:p>
    <w:bookmarkStart w:id="18" w:name="page19"/>
    <w:bookmarkEnd w:id="18"/>
    <w:p>
      <w:pPr>
        <w:ind w:left="2680" w:right="2380" w:firstLine="398"/>
        <w:spacing w:after="0" w:line="253" w:lineRule="auto"/>
        <w:rPr>
          <w:sz w:val="20"/>
          <w:szCs w:val="20"/>
          <w:color w:val="auto"/>
        </w:rPr>
      </w:pPr>
      <w:r>
        <w:rPr>
          <w:rFonts w:ascii="Courier New" w:cs="Courier New" w:eastAsia="Courier New" w:hAnsi="Courier New"/>
          <w:sz w:val="16"/>
          <w:szCs w:val="16"/>
          <w:color w:val="auto"/>
        </w:rPr>
        <w:t>TEXAS INSTRUMENTS INCORPORATED AND SUBSIDIARIES Unaudited Consolidating Condensed Statement of Cash Flows</w:t>
      </w:r>
    </w:p>
    <w:p>
      <w:pPr>
        <w:jc w:val="center"/>
        <w:spacing w:after="0" w:line="232" w:lineRule="auto"/>
        <w:rPr>
          <w:sz w:val="20"/>
          <w:szCs w:val="20"/>
          <w:color w:val="auto"/>
        </w:rPr>
      </w:pPr>
      <w:r>
        <w:rPr>
          <w:rFonts w:ascii="Courier New" w:cs="Courier New" w:eastAsia="Courier New" w:hAnsi="Courier New"/>
          <w:sz w:val="17"/>
          <w:szCs w:val="17"/>
          <w:color w:val="auto"/>
        </w:rPr>
        <w:t>For Nine Months Ended September 30, 2000</w:t>
      </w:r>
    </w:p>
    <w:p>
      <w:pPr>
        <w:jc w:val="center"/>
        <w:spacing w:after="0" w:line="238" w:lineRule="auto"/>
        <w:rPr>
          <w:sz w:val="20"/>
          <w:szCs w:val="20"/>
          <w:color w:val="auto"/>
        </w:rPr>
      </w:pPr>
      <w:r>
        <w:rPr>
          <w:rFonts w:ascii="Courier New" w:cs="Courier New" w:eastAsia="Courier New" w:hAnsi="Courier New"/>
          <w:sz w:val="17"/>
          <w:szCs w:val="17"/>
          <w:color w:val="auto"/>
        </w:rPr>
        <w:t>(In millions of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4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Non-</w:t>
            </w:r>
          </w:p>
        </w:tc>
        <w:tc>
          <w:tcPr>
            <w:tcW w:w="15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TI</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guarantor</w:t>
            </w:r>
          </w:p>
        </w:tc>
        <w:tc>
          <w:tcPr>
            <w:tcW w:w="15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w w:val="94"/>
              </w:rPr>
              <w:t>Texas</w:t>
            </w:r>
          </w:p>
        </w:tc>
        <w:tc>
          <w:tcPr>
            <w:tcW w:w="1440" w:type="dxa"/>
            <w:vAlign w:val="bottom"/>
            <w:gridSpan w:val="2"/>
          </w:tcPr>
          <w:p>
            <w:pPr>
              <w:ind w:left="380"/>
              <w:spacing w:after="0" w:line="191" w:lineRule="exact"/>
              <w:rPr>
                <w:sz w:val="20"/>
                <w:szCs w:val="20"/>
                <w:color w:val="auto"/>
              </w:rPr>
            </w:pPr>
            <w:r>
              <w:rPr>
                <w:rFonts w:ascii="Courier New" w:cs="Courier New" w:eastAsia="Courier New" w:hAnsi="Courier New"/>
                <w:sz w:val="17"/>
                <w:szCs w:val="17"/>
                <w:color w:val="auto"/>
              </w:rPr>
              <w:t>Tucson</w:t>
            </w:r>
          </w:p>
        </w:tc>
        <w:tc>
          <w:tcPr>
            <w:tcW w:w="19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subsidiaries</w:t>
            </w:r>
          </w:p>
        </w:tc>
        <w:tc>
          <w:tcPr>
            <w:tcW w:w="15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9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Instruments</w:t>
            </w:r>
          </w:p>
        </w:tc>
        <w:tc>
          <w:tcPr>
            <w:tcW w:w="1440" w:type="dxa"/>
            <w:vAlign w:val="bottom"/>
            <w:gridSpan w:val="2"/>
          </w:tcPr>
          <w:p>
            <w:pPr>
              <w:ind w:left="380"/>
              <w:spacing w:after="0" w:line="191" w:lineRule="exact"/>
              <w:rPr>
                <w:sz w:val="20"/>
                <w:szCs w:val="20"/>
                <w:color w:val="auto"/>
              </w:rPr>
            </w:pPr>
            <w:r>
              <w:rPr>
                <w:rFonts w:ascii="Courier New" w:cs="Courier New" w:eastAsia="Courier New" w:hAnsi="Courier New"/>
                <w:sz w:val="17"/>
                <w:szCs w:val="17"/>
                <w:color w:val="auto"/>
              </w:rPr>
              <w:t>consol-</w:t>
            </w:r>
          </w:p>
        </w:tc>
        <w:tc>
          <w:tcPr>
            <w:tcW w:w="1940" w:type="dxa"/>
            <w:vAlign w:val="bottom"/>
            <w:gridSpan w:val="2"/>
          </w:tcPr>
          <w:p>
            <w:pPr>
              <w:ind w:left="740"/>
              <w:spacing w:after="0" w:line="191" w:lineRule="exact"/>
              <w:rPr>
                <w:sz w:val="20"/>
                <w:szCs w:val="20"/>
                <w:color w:val="auto"/>
              </w:rPr>
            </w:pPr>
            <w:r>
              <w:rPr>
                <w:rFonts w:ascii="Courier New" w:cs="Courier New" w:eastAsia="Courier New" w:hAnsi="Courier New"/>
                <w:sz w:val="17"/>
                <w:szCs w:val="17"/>
                <w:color w:val="auto"/>
              </w:rPr>
              <w:t>and</w:t>
            </w:r>
          </w:p>
        </w:tc>
        <w:tc>
          <w:tcPr>
            <w:tcW w:w="158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19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Incorporated</w:t>
            </w:r>
          </w:p>
        </w:tc>
        <w:tc>
          <w:tcPr>
            <w:tcW w:w="1440" w:type="dxa"/>
            <w:vAlign w:val="bottom"/>
            <w:gridSpan w:val="2"/>
          </w:tcPr>
          <w:p>
            <w:pPr>
              <w:ind w:left="380"/>
              <w:spacing w:after="0" w:line="191" w:lineRule="exact"/>
              <w:rPr>
                <w:sz w:val="20"/>
                <w:szCs w:val="20"/>
                <w:color w:val="auto"/>
              </w:rPr>
            </w:pPr>
            <w:r>
              <w:rPr>
                <w:rFonts w:ascii="Courier New" w:cs="Courier New" w:eastAsia="Courier New" w:hAnsi="Courier New"/>
                <w:sz w:val="17"/>
                <w:szCs w:val="17"/>
                <w:color w:val="auto"/>
              </w:rPr>
              <w:t>idated</w:t>
            </w:r>
          </w:p>
        </w:tc>
        <w:tc>
          <w:tcPr>
            <w:tcW w:w="19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eliminations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3880" w:type="dxa"/>
            <w:vAlign w:val="bottom"/>
          </w:tcPr>
          <w:p>
            <w:pPr>
              <w:spacing w:after="0"/>
              <w:rPr>
                <w:sz w:val="16"/>
                <w:szCs w:val="16"/>
                <w:color w:val="auto"/>
              </w:rPr>
            </w:pPr>
          </w:p>
        </w:tc>
        <w:tc>
          <w:tcPr>
            <w:tcW w:w="1900" w:type="dxa"/>
            <w:vAlign w:val="bottom"/>
            <w:gridSpan w:val="2"/>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3880" w:type="dxa"/>
            <w:vAlign w:val="bottom"/>
          </w:tcPr>
          <w:p>
            <w:pPr>
              <w:spacing w:after="0"/>
              <w:rPr>
                <w:sz w:val="20"/>
                <w:szCs w:val="20"/>
                <w:color w:val="auto"/>
              </w:rPr>
            </w:pPr>
            <w:r>
              <w:rPr>
                <w:rFonts w:ascii="Courier New" w:cs="Courier New" w:eastAsia="Courier New" w:hAnsi="Courier New"/>
                <w:sz w:val="17"/>
                <w:szCs w:val="17"/>
                <w:color w:val="auto"/>
              </w:rPr>
              <w:t>Net cash provided by (used in)</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87"/>
              </w:rPr>
              <w:t>operating activities.....................</w:t>
            </w:r>
          </w:p>
        </w:tc>
        <w:tc>
          <w:tcPr>
            <w:tcW w:w="7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1,023</w:t>
            </w:r>
          </w:p>
        </w:tc>
        <w:tc>
          <w:tcPr>
            <w:tcW w:w="54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(210)</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717</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$ 1,530</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Additions to property, plant and</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equipment..............................</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5"/>
              </w:rPr>
              <w:t>(1,185)</w:t>
            </w:r>
          </w:p>
        </w:tc>
        <w:tc>
          <w:tcPr>
            <w:tcW w:w="54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(589)</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(1,789)</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Purchases of short-term investments......</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5"/>
              </w:rPr>
              <w:t>(4,119)</w:t>
            </w:r>
          </w:p>
        </w:tc>
        <w:tc>
          <w:tcPr>
            <w:tcW w:w="54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(163)</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(4,304)</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Sales and maturities of short-term</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investments............................</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2,623</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57</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50</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2,730</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Purchases of noncurrent investments......</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(61)</w:t>
            </w:r>
          </w:p>
        </w:tc>
        <w:tc>
          <w:tcPr>
            <w:tcW w:w="54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(22)</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(83)</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Sales of noncurrent investments..........</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2,154</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6</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2,160</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Acquisitions of businesses, net of</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cash acquired..........................</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w:t>
            </w:r>
          </w:p>
        </w:tc>
      </w:tr>
      <w:tr>
        <w:trPr>
          <w:trHeight w:val="191"/>
        </w:trPr>
        <w:tc>
          <w:tcPr>
            <w:tcW w:w="3880" w:type="dxa"/>
            <w:vAlign w:val="bottom"/>
          </w:tcPr>
          <w:p>
            <w:pPr>
              <w:spacing w:after="0"/>
              <w:rPr>
                <w:sz w:val="16"/>
                <w:szCs w:val="16"/>
                <w:color w:val="auto"/>
              </w:rPr>
            </w:pP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Net cash used in investing activities......</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(591)</w:t>
            </w:r>
          </w:p>
        </w:tc>
        <w:tc>
          <w:tcPr>
            <w:tcW w:w="54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(137)</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(561)</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(1,289)</w:t>
            </w:r>
          </w:p>
        </w:tc>
      </w:tr>
      <w:tr>
        <w:trPr>
          <w:trHeight w:val="382"/>
        </w:trPr>
        <w:tc>
          <w:tcPr>
            <w:tcW w:w="38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Additions to loan payables...............</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21</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Payments on loan payables................</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(19)</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Additions to long-term debt..............</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243</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6</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249</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Payments on long-term debt...............</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(230)</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(250)</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Dividends paid on common stock...........</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(104)</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(104)</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Sales and other common stock</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transactions...........................</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301</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12</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(122)</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191</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Common stock repurchase program..........</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(133)</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(133)</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Change in intercompany accounts..........</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rPr>
                <w:sz w:val="16"/>
                <w:szCs w:val="16"/>
                <w:color w:val="auto"/>
              </w:rPr>
            </w:pP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provided by (used in)</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(167)</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239</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(114)</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Effect of exchange rate changes on cash</w:t>
            </w:r>
          </w:p>
        </w:tc>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(37)</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(42)</w:t>
            </w:r>
          </w:p>
        </w:tc>
      </w:tr>
      <w:tr>
        <w:trPr>
          <w:trHeight w:val="191"/>
        </w:trPr>
        <w:tc>
          <w:tcPr>
            <w:tcW w:w="3880" w:type="dxa"/>
            <w:vAlign w:val="bottom"/>
          </w:tcPr>
          <w:p>
            <w:pPr>
              <w:spacing w:after="0"/>
              <w:rPr>
                <w:sz w:val="16"/>
                <w:szCs w:val="16"/>
                <w:color w:val="auto"/>
              </w:rPr>
            </w:pP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(decrease) in cash and</w:t>
            </w:r>
          </w:p>
        </w:tc>
        <w:tc>
          <w:tcPr>
            <w:tcW w:w="7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cash equivalents.........................</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228</w:t>
            </w:r>
          </w:p>
        </w:tc>
        <w:tc>
          <w:tcPr>
            <w:tcW w:w="54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(108)</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157</w:t>
            </w:r>
          </w:p>
        </w:tc>
      </w:tr>
      <w:tr>
        <w:trPr>
          <w:trHeight w:val="191"/>
        </w:trPr>
        <w:tc>
          <w:tcPr>
            <w:tcW w:w="45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w w:val="97"/>
              </w:rPr>
              <w:t>Cash and cash equivalents, January 1.......</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194</w:t>
            </w:r>
          </w:p>
        </w:tc>
        <w:tc>
          <w:tcPr>
            <w:tcW w:w="54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118</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469</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781</w:t>
            </w:r>
          </w:p>
        </w:tc>
      </w:tr>
      <w:tr>
        <w:trPr>
          <w:trHeight w:val="191"/>
        </w:trPr>
        <w:tc>
          <w:tcPr>
            <w:tcW w:w="3880" w:type="dxa"/>
            <w:vAlign w:val="bottom"/>
          </w:tcPr>
          <w:p>
            <w:pPr>
              <w:spacing w:after="0"/>
              <w:rPr>
                <w:sz w:val="16"/>
                <w:szCs w:val="16"/>
                <w:color w:val="auto"/>
              </w:rPr>
            </w:pP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w w:val="97"/>
              </w:rPr>
              <w:t>Cash and cash equivalents, September 30</w:t>
            </w:r>
          </w:p>
        </w:tc>
        <w:tc>
          <w:tcPr>
            <w:tcW w:w="700" w:type="dxa"/>
            <w:vAlign w:val="bottom"/>
          </w:tcPr>
          <w:p>
            <w:pPr>
              <w:spacing w:after="0" w:line="191" w:lineRule="exact"/>
              <w:rPr>
                <w:sz w:val="20"/>
                <w:szCs w:val="20"/>
                <w:color w:val="auto"/>
              </w:rPr>
            </w:pPr>
            <w:r>
              <w:rPr>
                <w:rFonts w:ascii="Courier New" w:cs="Courier New" w:eastAsia="Courier New" w:hAnsi="Courier New"/>
                <w:sz w:val="17"/>
                <w:szCs w:val="17"/>
                <w:color w:val="auto"/>
                <w:w w:val="95"/>
              </w:rPr>
              <w:t>....  $</w:t>
            </w:r>
          </w:p>
        </w:tc>
        <w:tc>
          <w:tcPr>
            <w:tcW w:w="120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422</w:t>
            </w:r>
          </w:p>
        </w:tc>
        <w:tc>
          <w:tcPr>
            <w:tcW w:w="540" w:type="dxa"/>
            <w:vAlign w:val="bottom"/>
          </w:tcPr>
          <w:p>
            <w:pPr>
              <w:ind w:left="38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w:t>
            </w:r>
          </w:p>
        </w:tc>
        <w:tc>
          <w:tcPr>
            <w:tcW w:w="88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506</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938</w:t>
            </w:r>
          </w:p>
        </w:tc>
      </w:tr>
      <w:tr>
        <w:trPr>
          <w:trHeight w:val="191"/>
        </w:trPr>
        <w:tc>
          <w:tcPr>
            <w:tcW w:w="3880" w:type="dxa"/>
            <w:vAlign w:val="bottom"/>
          </w:tcPr>
          <w:p>
            <w:pPr>
              <w:spacing w:after="0"/>
              <w:rPr>
                <w:sz w:val="16"/>
                <w:szCs w:val="16"/>
                <w:color w:val="auto"/>
              </w:rPr>
            </w:pPr>
          </w:p>
        </w:tc>
        <w:tc>
          <w:tcPr>
            <w:tcW w:w="190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38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Courier New" w:cs="Courier New" w:eastAsia="Courier New" w:hAnsi="Courier New"/>
                <w:sz w:val="17"/>
                <w:szCs w:val="17"/>
                <w:color w:val="auto"/>
              </w:rPr>
              <w:t>17</w:t>
            </w: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740"/>
          </w:cols>
          <w:pgMar w:left="240" w:top="1072" w:right="919" w:bottom="1440" w:gutter="0" w:footer="0" w:header="0"/>
        </w:sectPr>
      </w:pPr>
    </w:p>
    <w:bookmarkStart w:id="19" w:name="page20"/>
    <w:bookmarkEnd w:id="19"/>
    <w:p>
      <w:pPr>
        <w:ind w:left="2680" w:right="2380" w:firstLine="398"/>
        <w:spacing w:after="0" w:line="253" w:lineRule="auto"/>
        <w:rPr>
          <w:sz w:val="20"/>
          <w:szCs w:val="20"/>
          <w:color w:val="auto"/>
        </w:rPr>
      </w:pPr>
      <w:r>
        <w:rPr>
          <w:rFonts w:ascii="Courier New" w:cs="Courier New" w:eastAsia="Courier New" w:hAnsi="Courier New"/>
          <w:sz w:val="16"/>
          <w:szCs w:val="16"/>
          <w:color w:val="auto"/>
        </w:rPr>
        <w:t>TEXAS INSTRUMENTS INCORPORATED AND SUBSIDIARIES Unaudited Consolidating Condensed Statement of Cash Flows</w:t>
      </w:r>
    </w:p>
    <w:p>
      <w:pPr>
        <w:jc w:val="center"/>
        <w:spacing w:after="0" w:line="232" w:lineRule="auto"/>
        <w:rPr>
          <w:sz w:val="20"/>
          <w:szCs w:val="20"/>
          <w:color w:val="auto"/>
        </w:rPr>
      </w:pPr>
      <w:r>
        <w:rPr>
          <w:rFonts w:ascii="Courier New" w:cs="Courier New" w:eastAsia="Courier New" w:hAnsi="Courier New"/>
          <w:sz w:val="17"/>
          <w:szCs w:val="17"/>
          <w:color w:val="auto"/>
        </w:rPr>
        <w:t>For Nine Months Ended September 30, 1999</w:t>
      </w:r>
    </w:p>
    <w:p>
      <w:pPr>
        <w:jc w:val="center"/>
        <w:spacing w:after="0" w:line="238" w:lineRule="auto"/>
        <w:rPr>
          <w:sz w:val="20"/>
          <w:szCs w:val="20"/>
          <w:color w:val="auto"/>
        </w:rPr>
      </w:pPr>
      <w:r>
        <w:rPr>
          <w:rFonts w:ascii="Courier New" w:cs="Courier New" w:eastAsia="Courier New" w:hAnsi="Courier New"/>
          <w:sz w:val="17"/>
          <w:szCs w:val="17"/>
          <w:color w:val="auto"/>
        </w:rPr>
        <w:t>(In millions of dollars)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40" w:type="dxa"/>
            <w:vAlign w:val="bottom"/>
            <w:gridSpan w:val="2"/>
          </w:tcPr>
          <w:p>
            <w:pPr>
              <w:ind w:left="740"/>
              <w:spacing w:after="0"/>
              <w:rPr>
                <w:sz w:val="20"/>
                <w:szCs w:val="20"/>
                <w:color w:val="auto"/>
              </w:rPr>
            </w:pPr>
            <w:r>
              <w:rPr>
                <w:rFonts w:ascii="Courier New" w:cs="Courier New" w:eastAsia="Courier New" w:hAnsi="Courier New"/>
                <w:sz w:val="17"/>
                <w:szCs w:val="17"/>
                <w:color w:val="auto"/>
              </w:rPr>
              <w:t>Non-</w:t>
            </w:r>
          </w:p>
        </w:tc>
        <w:tc>
          <w:tcPr>
            <w:tcW w:w="158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TI</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guarantor</w:t>
            </w:r>
          </w:p>
        </w:tc>
        <w:tc>
          <w:tcPr>
            <w:tcW w:w="158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w w:val="94"/>
              </w:rPr>
              <w:t>Texas</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Tucson</w:t>
            </w:r>
          </w:p>
        </w:tc>
        <w:tc>
          <w:tcPr>
            <w:tcW w:w="19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subsidiaries</w:t>
            </w:r>
          </w:p>
        </w:tc>
        <w:tc>
          <w:tcPr>
            <w:tcW w:w="158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Instruments</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consol-</w:t>
            </w:r>
          </w:p>
        </w:tc>
        <w:tc>
          <w:tcPr>
            <w:tcW w:w="1940" w:type="dxa"/>
            <w:vAlign w:val="bottom"/>
            <w:gridSpan w:val="2"/>
          </w:tcPr>
          <w:p>
            <w:pPr>
              <w:ind w:left="740"/>
              <w:spacing w:after="0" w:line="191" w:lineRule="exact"/>
              <w:rPr>
                <w:sz w:val="20"/>
                <w:szCs w:val="20"/>
                <w:color w:val="auto"/>
              </w:rPr>
            </w:pPr>
            <w:r>
              <w:rPr>
                <w:rFonts w:ascii="Courier New" w:cs="Courier New" w:eastAsia="Courier New" w:hAnsi="Courier New"/>
                <w:sz w:val="17"/>
                <w:szCs w:val="17"/>
                <w:color w:val="auto"/>
              </w:rPr>
              <w:t>and</w:t>
            </w:r>
          </w:p>
        </w:tc>
        <w:tc>
          <w:tcPr>
            <w:tcW w:w="1580" w:type="dxa"/>
            <w:vAlign w:val="bottom"/>
          </w:tcPr>
          <w:p>
            <w:pPr>
              <w:spacing w:after="0"/>
              <w:rPr>
                <w:sz w:val="16"/>
                <w:szCs w:val="16"/>
                <w:color w:val="auto"/>
              </w:rPr>
            </w:pP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Incorporated</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idated</w:t>
            </w:r>
          </w:p>
        </w:tc>
        <w:tc>
          <w:tcPr>
            <w:tcW w:w="19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eliminations</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Consolidated</w:t>
            </w:r>
          </w:p>
        </w:tc>
      </w:tr>
      <w:tr>
        <w:trPr>
          <w:trHeight w:val="191"/>
        </w:trPr>
        <w:tc>
          <w:tcPr>
            <w:tcW w:w="4280" w:type="dxa"/>
            <w:vAlign w:val="bottom"/>
          </w:tcPr>
          <w:p>
            <w:pPr>
              <w:spacing w:after="0"/>
              <w:rPr>
                <w:sz w:val="16"/>
                <w:szCs w:val="16"/>
                <w:color w:val="auto"/>
              </w:rPr>
            </w:pPr>
          </w:p>
        </w:tc>
        <w:tc>
          <w:tcPr>
            <w:tcW w:w="15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4280" w:type="dxa"/>
            <w:vAlign w:val="bottom"/>
          </w:tcPr>
          <w:p>
            <w:pPr>
              <w:spacing w:after="0"/>
              <w:rPr>
                <w:sz w:val="20"/>
                <w:szCs w:val="20"/>
                <w:color w:val="auto"/>
              </w:rPr>
            </w:pPr>
            <w:r>
              <w:rPr>
                <w:rFonts w:ascii="Courier New" w:cs="Courier New" w:eastAsia="Courier New" w:hAnsi="Courier New"/>
                <w:sz w:val="17"/>
                <w:szCs w:val="17"/>
                <w:color w:val="auto"/>
              </w:rPr>
              <w:t>Net cash provided by (used in)</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4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7"/>
              </w:rPr>
              <w:t>operating activities.....................</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1,509</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42</w:t>
            </w:r>
          </w:p>
        </w:tc>
        <w:tc>
          <w:tcPr>
            <w:tcW w:w="8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(247)</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$ 1,304</w:t>
            </w:r>
          </w:p>
        </w:tc>
      </w:tr>
      <w:tr>
        <w:trPr>
          <w:trHeight w:val="383"/>
        </w:trPr>
        <w:tc>
          <w:tcPr>
            <w:tcW w:w="428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4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Additions to property, plant and</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equipment..............................</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(647)</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(15)</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(225)</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(887)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Purchases of short-term investments......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w w:val="95"/>
              </w:rPr>
              <w:t>(1,690)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(128)</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(1,818)</w:t>
            </w:r>
          </w:p>
        </w:tc>
      </w:tr>
      <w:tr>
        <w:trPr>
          <w:trHeight w:val="191"/>
        </w:trPr>
        <w:tc>
          <w:tcPr>
            <w:tcW w:w="4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Sales and maturities of short-term</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investments............................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1,670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18</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1,688</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Purchases of noncurrent investments......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(65)</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(9)</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(74)</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Sales of noncurrent investments..........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189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16</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4</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209</w:t>
            </w:r>
          </w:p>
        </w:tc>
      </w:tr>
      <w:tr>
        <w:trPr>
          <w:trHeight w:val="191"/>
        </w:trPr>
        <w:tc>
          <w:tcPr>
            <w:tcW w:w="4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Acquisitions of businesses, net of cash</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acquired...............................</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(469)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(469)</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Net cash used in investing activities......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w w:val="95"/>
              </w:rPr>
              <w:t>(1,012)</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(8)</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(331)</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(1,351)</w:t>
            </w:r>
          </w:p>
        </w:tc>
      </w:tr>
      <w:tr>
        <w:trPr>
          <w:trHeight w:val="382"/>
        </w:trPr>
        <w:tc>
          <w:tcPr>
            <w:tcW w:w="428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Additions to loan payables...............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11</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Payments on loan payables................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(13)</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(13)</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Additions to long-term debt..............</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400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400</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Payments on long-term debt...............</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(200)</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(53)</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(254)</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Dividends paid on common stock...........</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(100)</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(100)</w:t>
            </w:r>
          </w:p>
        </w:tc>
      </w:tr>
      <w:tr>
        <w:trPr>
          <w:trHeight w:val="191"/>
        </w:trPr>
        <w:tc>
          <w:tcPr>
            <w:tcW w:w="4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Sales and other common stock</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transactions...........................</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179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5</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182</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Common stock repurchase program..........</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(411)</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(5)</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(417)</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Change in intercompany accounts..........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(347)</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347</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cash provided by (used in)</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financing activities.....................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(479)</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(3)</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291</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(191)</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Effect of exchange rate changes on cash....</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(43)</w:t>
            </w:r>
          </w:p>
        </w:tc>
        <w:tc>
          <w:tcPr>
            <w:tcW w:w="500" w:type="dxa"/>
            <w:vAlign w:val="bottom"/>
          </w:tcPr>
          <w:p>
            <w:pPr>
              <w:spacing w:after="0"/>
              <w:rPr>
                <w:sz w:val="16"/>
                <w:szCs w:val="16"/>
                <w:color w:val="auto"/>
              </w:rPr>
            </w:pPr>
          </w:p>
        </w:tc>
        <w:tc>
          <w:tcPr>
            <w:tcW w:w="90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(1)</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(12)</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(56)</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increase (decrease) in cash and</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cash equivalents.........................</w:t>
            </w:r>
          </w:p>
        </w:tc>
        <w:tc>
          <w:tcPr>
            <w:tcW w:w="300" w:type="dxa"/>
            <w:vAlign w:val="bottom"/>
          </w:tcPr>
          <w:p>
            <w:pPr>
              <w:spacing w:after="0"/>
              <w:rPr>
                <w:sz w:val="16"/>
                <w:szCs w:val="16"/>
                <w:color w:val="auto"/>
              </w:rPr>
            </w:pPr>
          </w:p>
        </w:tc>
        <w:tc>
          <w:tcPr>
            <w:tcW w:w="124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(25)</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30</w:t>
            </w:r>
          </w:p>
        </w:tc>
        <w:tc>
          <w:tcPr>
            <w:tcW w:w="880" w:type="dxa"/>
            <w:vAlign w:val="bottom"/>
          </w:tcPr>
          <w:p>
            <w:pPr>
              <w:spacing w:after="0"/>
              <w:rPr>
                <w:sz w:val="16"/>
                <w:szCs w:val="16"/>
                <w:color w:val="auto"/>
              </w:rPr>
            </w:pPr>
          </w:p>
        </w:tc>
        <w:tc>
          <w:tcPr>
            <w:tcW w:w="106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(299)</w:t>
            </w:r>
          </w:p>
        </w:tc>
        <w:tc>
          <w:tcPr>
            <w:tcW w:w="158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(294)</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Cash and cash equivalents, January 1.......</w:t>
            </w:r>
          </w:p>
        </w:tc>
        <w:tc>
          <w:tcPr>
            <w:tcW w:w="300" w:type="dxa"/>
            <w:vAlign w:val="bottom"/>
          </w:tcPr>
          <w:p>
            <w:pPr>
              <w:spacing w:after="0"/>
              <w:rPr>
                <w:sz w:val="16"/>
                <w:szCs w:val="16"/>
                <w:color w:val="auto"/>
              </w:rPr>
            </w:pP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79</w:t>
            </w:r>
          </w:p>
        </w:tc>
        <w:tc>
          <w:tcPr>
            <w:tcW w:w="500" w:type="dxa"/>
            <w:vAlign w:val="bottom"/>
          </w:tcPr>
          <w:p>
            <w:pPr>
              <w:spacing w:after="0"/>
              <w:rPr>
                <w:sz w:val="16"/>
                <w:szCs w:val="16"/>
                <w:color w:val="auto"/>
              </w:rPr>
            </w:pP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72</w:t>
            </w:r>
          </w:p>
        </w:tc>
        <w:tc>
          <w:tcPr>
            <w:tcW w:w="880" w:type="dxa"/>
            <w:vAlign w:val="bottom"/>
          </w:tcPr>
          <w:p>
            <w:pPr>
              <w:spacing w:after="0"/>
              <w:rPr>
                <w:sz w:val="16"/>
                <w:szCs w:val="16"/>
                <w:color w:val="auto"/>
              </w:rPr>
            </w:pP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554</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705</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w w:val="97"/>
              </w:rPr>
              <w:t>Cash and cash equivalents, September 30....</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54</w:t>
            </w:r>
          </w:p>
        </w:tc>
        <w:tc>
          <w:tcPr>
            <w:tcW w:w="500" w:type="dxa"/>
            <w:vAlign w:val="bottom"/>
          </w:tcPr>
          <w:p>
            <w:pPr>
              <w:ind w:left="34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77"/>
              <w:spacing w:after="0" w:line="191" w:lineRule="exact"/>
              <w:rPr>
                <w:sz w:val="20"/>
                <w:szCs w:val="20"/>
                <w:color w:val="auto"/>
              </w:rPr>
            </w:pPr>
            <w:r>
              <w:rPr>
                <w:rFonts w:ascii="Courier New" w:cs="Courier New" w:eastAsia="Courier New" w:hAnsi="Courier New"/>
                <w:sz w:val="17"/>
                <w:szCs w:val="17"/>
                <w:color w:val="auto"/>
              </w:rPr>
              <w:t>102</w:t>
            </w:r>
          </w:p>
        </w:tc>
        <w:tc>
          <w:tcPr>
            <w:tcW w:w="88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255</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  411</w:t>
            </w:r>
          </w:p>
        </w:tc>
      </w:tr>
      <w:tr>
        <w:trPr>
          <w:trHeight w:val="191"/>
        </w:trPr>
        <w:tc>
          <w:tcPr>
            <w:tcW w:w="4280" w:type="dxa"/>
            <w:vAlign w:val="bottom"/>
          </w:tcPr>
          <w:p>
            <w:pPr>
              <w:spacing w:after="0"/>
              <w:rPr>
                <w:sz w:val="16"/>
                <w:szCs w:val="16"/>
                <w:color w:val="auto"/>
              </w:rPr>
            </w:pPr>
          </w:p>
        </w:tc>
        <w:tc>
          <w:tcPr>
            <w:tcW w:w="1540" w:type="dxa"/>
            <w:vAlign w:val="bottom"/>
            <w:gridSpan w:val="2"/>
          </w:tcPr>
          <w:p>
            <w:pPr>
              <w:jc w:val="right"/>
              <w:ind w:right="5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ind w:right="37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517"/>
              <w:spacing w:after="0" w:line="191" w:lineRule="exact"/>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428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18</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0740"/>
          </w:cols>
          <w:pgMar w:left="240" w:top="1072" w:right="919" w:bottom="1440" w:gutter="0" w:footer="0" w:header="0"/>
        </w:sectPr>
      </w:pPr>
    </w:p>
    <w:bookmarkStart w:id="20" w:name="page21"/>
    <w:bookmarkEnd w:id="20"/>
    <w:p>
      <w:pPr>
        <w:ind w:right="3159"/>
        <w:spacing w:after="0" w:line="235"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Registrant (the "company" or "TI") announced third-quarter 2000 financial results that show revenue growth for TI's semiconductor business accelerated in the third quarter to 8 percent sequentially and 29 percent over the same quarter last year. Growth was driven by demand for TI's DSP and Analog semiconductors, as well as demand across a breadth of TI's other semiconductor products.</w:t>
      </w:r>
    </w:p>
    <w:p>
      <w:pPr>
        <w:spacing w:after="0" w:line="198"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Wireless revenue grew 37 percent over the same quarter last year. Catalog revenue grew 56 percent over a year ago. Revenue from broadband communications grew 70 percent sequentially.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FINANCIAL RESULTS</w:t>
      </w:r>
    </w:p>
    <w:p>
      <w:pPr>
        <w:spacing w:after="0" w:line="19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Note: TI's financial results reflect the completed pooling of interests acquisition of Burr-Brown Corporation and the inclusion of its results in the Semiconductor segment. Historical results for this, as well as the May, 2000 two-for-one stock split, have been restated accordingly.</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third quarter of 2000, TI reported the following:</w:t>
      </w:r>
    </w:p>
    <w:p>
      <w:pPr>
        <w:spacing w:after="0" w:line="196" w:lineRule="exact"/>
        <w:rPr>
          <w:sz w:val="20"/>
          <w:szCs w:val="20"/>
          <w:color w:val="auto"/>
        </w:rPr>
      </w:pPr>
    </w:p>
    <w:p>
      <w:pPr>
        <w:ind w:right="2559"/>
        <w:spacing w:after="0" w:line="255" w:lineRule="auto"/>
        <w:rPr>
          <w:sz w:val="20"/>
          <w:szCs w:val="20"/>
          <w:color w:val="auto"/>
        </w:rPr>
      </w:pPr>
      <w:r>
        <w:rPr>
          <w:rFonts w:ascii="Courier New" w:cs="Courier New" w:eastAsia="Courier New" w:hAnsi="Courier New"/>
          <w:sz w:val="16"/>
          <w:szCs w:val="16"/>
          <w:color w:val="auto"/>
        </w:rPr>
        <w:t>Total revenue was $3160 million, up 26 percent from $2515 million in the year-ago quarter and up 7 percent sequentially due to increased growth in semiconductor revenue. Semiconductor revenue was $2718 million, up 29 percent from $2101 million in the same quarter of 1999 and up 8 percent sequentially.</w:t>
      </w:r>
    </w:p>
    <w:p>
      <w:pPr>
        <w:spacing w:after="0" w:line="18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Cost of revenues in the third quarter was $1644 million compared to $1307 million in the year-ago quarter. Cost of revenues increased about the same as the increase in revenues, on a percentage basis.</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Research and development (R&amp;D) totaled $533 million, including $112 million of purchased in-process R&amp;D costs from the Dot Wireless, Inc. and Alantro Communications, Inc. acquisitions, compared with $350 million in the third quarter of 1999, which included $16 million of purchased in-process R&amp;D costs from the Integrated Sensor Solutions, Inc. acquisition. The increase was primarily due to acquisition related in-process R&amp;D costs.</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Marketing, general and administrative expense in the quarter was $453 million, compared with $398 million in the year-ago quarter, primarily due to higher semiconductor expenditures, including marketing-related activities. The increase was less than the total increase in TI revenues, on a percentage basis.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Other income (expense) net increased from $156 million in the third quarter of 1999 to $565 million in the third quarter of 2000, primarily due to the sale of 5.6 million shares of Micron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income tax rate for the quarter was 37 percent.</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Orders in the third quarter were $3250 million, up 29 percent from $2511 million in the year-ago quarter due to semiconductor. Sequentially, TI orders were down 3 percent primarily due to seasonality in Educational &amp; Productivity Solutions and Materials &amp; Controls.</w:t>
      </w:r>
    </w:p>
    <w:p>
      <w:pPr>
        <w:spacing w:after="0" w:line="19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In addition to the $425 million gain associated with the sale of Micron common stock, results for this quarter include special charges of $112 million of purchased in-process R&amp;D costs, $41 million in pooling of</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21" w:name="page22"/>
    <w:bookmarkEnd w:id="21"/>
    <w:p>
      <w:pPr>
        <w:ind w:right="2459"/>
        <w:spacing w:after="0" w:line="236" w:lineRule="auto"/>
        <w:rPr>
          <w:sz w:val="20"/>
          <w:szCs w:val="20"/>
          <w:color w:val="auto"/>
        </w:rPr>
      </w:pPr>
      <w:r>
        <w:rPr>
          <w:rFonts w:ascii="Courier New" w:cs="Courier New" w:eastAsia="Courier New" w:hAnsi="Courier New"/>
          <w:sz w:val="17"/>
          <w:szCs w:val="17"/>
          <w:color w:val="auto"/>
        </w:rPr>
        <w:t>interests acquisition costs, $41 million of amortization of goodwill and other acquisition-related intangibles, and $10 million of net charges for restructuring and other actions.</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For the second quarter of 2000, results included an investment gain of $1211 million, included in other income, from the sale of 20 million shares of Micron common stock. Also included is amortization of goodwill and other acquisition-related intangibles of $25 million.</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first quarter of 2000, results included special charges of $29 million for actions including the closing of a Materials and Controls (M&amp;C) manufacturing facility in Versailles, Kentucky, and TI's acquisition of Toccata Technology ApS. Also included is amortization of goodwill and other acquisition-related intangibles of $25 million.</w:t>
      </w:r>
    </w:p>
    <w:p>
      <w:pPr>
        <w:spacing w:after="0" w:line="197"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third quarter of 1999, results included special charges of $54 million, primarily for in-process R&amp;D costs associated with TI's acquisition of Integrated Sensor Solutions, Inc. and costs associated with the pooling acquisition of Telogy Networks, Inc. Also included is amortization of goodwill and other acquisition-related intangibles of $24 million.</w:t>
      </w:r>
    </w:p>
    <w:p>
      <w:pPr>
        <w:spacing w:after="0" w:line="197"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For the second quarter of 1999, results included special charges of $52 million for in-process R&amp;D associated with the acquisition of Libit Signal Processing Ltd. Also included is amortization of goodwill and other acquisition-related intangibles of $9 million.</w:t>
      </w:r>
    </w:p>
    <w:p>
      <w:pPr>
        <w:spacing w:after="0" w:line="199" w:lineRule="exact"/>
        <w:rPr>
          <w:sz w:val="20"/>
          <w:szCs w:val="20"/>
          <w:color w:val="auto"/>
        </w:rPr>
      </w:pPr>
    </w:p>
    <w:p>
      <w:pPr>
        <w:ind w:right="3059"/>
        <w:spacing w:after="0" w:line="236" w:lineRule="auto"/>
        <w:rPr>
          <w:sz w:val="20"/>
          <w:szCs w:val="20"/>
          <w:color w:val="auto"/>
        </w:rPr>
      </w:pPr>
      <w:r>
        <w:rPr>
          <w:rFonts w:ascii="Courier New" w:cs="Courier New" w:eastAsia="Courier New" w:hAnsi="Courier New"/>
          <w:sz w:val="17"/>
          <w:szCs w:val="17"/>
          <w:color w:val="auto"/>
        </w:rPr>
        <w:t>For the first quarter of 1999, results included special charges of $25 million, primarily for a consolidation of semiconductor manufacturing operations in Japan. Also included is amortization of goodwill and other acquisition-related intangibles of $10 million.</w:t>
      </w:r>
    </w:p>
    <w:p>
      <w:pPr>
        <w:spacing w:after="0" w:line="199" w:lineRule="exact"/>
        <w:rPr>
          <w:sz w:val="20"/>
          <w:szCs w:val="20"/>
          <w:color w:val="auto"/>
        </w:rPr>
      </w:pPr>
    </w:p>
    <w:p>
      <w:pPr>
        <w:ind w:right="2459"/>
        <w:spacing w:after="0" w:line="235" w:lineRule="auto"/>
        <w:rPr>
          <w:sz w:val="20"/>
          <w:szCs w:val="20"/>
          <w:color w:val="auto"/>
        </w:rPr>
      </w:pPr>
      <w:r>
        <w:rPr>
          <w:rFonts w:ascii="Courier New" w:cs="Courier New" w:eastAsia="Courier New" w:hAnsi="Courier New"/>
          <w:sz w:val="17"/>
          <w:szCs w:val="17"/>
          <w:color w:val="auto"/>
        </w:rPr>
        <w:t>Additional information relating to these items appears below under the heading "Special Charges and Gains."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TI expects its semiconductor revenue to grow sequentially by a few percentage points in the fourth quarter. Revenue is expected to decline sequentially in Educational &amp; Productivity Solutions and in Materials &amp; Controls. TI expects the net result to be total revenue in the fourth quarter that is about even with total revenue in the third quarter.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Specifically, TI expects the following:</w:t>
      </w:r>
    </w:p>
    <w:p>
      <w:pPr>
        <w:spacing w:after="0" w:line="196"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Revenue from wireless will decline sequentially as certain major handset customers absorb semiconductor inventory in the fourth quarter, more than offsetting the continuing revenue growth in chipset and base-station products.</w:t>
      </w:r>
    </w:p>
    <w:p>
      <w:pPr>
        <w:spacing w:after="0" w:line="185"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Revenue from catalog DSP and Analog products is expected to grow as a result of new applications, new product introductions and increased demand for existing products.</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Revenue growth for broadband communications should reflect the continuing strong demand that is developing for TI's digital subscriber line (DSL) and cable modem products.</w:t>
      </w:r>
    </w:p>
    <w:p>
      <w:pPr>
        <w:spacing w:after="0" w:line="197"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Revenue for the Materials &amp; Controls business should be down from the third quarter reflecting the sale of the materials portion of this business. The sale is expected to close by October 31, 2000. The</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69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materials operation contributed about $95 million in trade revenue in 1999.</w:t>
      </w:r>
    </w:p>
    <w:p>
      <w:pPr>
        <w:spacing w:after="0" w:line="196"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Revenue for Educational &amp; Productivity Solutions in the fourth quarter is expected to be less than half of what it was in the third quarter, primarily due to the normal seasonal pattern in this business.</w:t>
      </w:r>
    </w:p>
    <w:p>
      <w:pPr>
        <w:spacing w:after="0" w:line="197"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R&amp;D is expected to be $1.6 billion, excluding acquisition-related in-process R&amp;D costs, up from the previously expected $1.5 billion, reflecting the acquisition of Burr-Brown.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SEMICONDUCTOR</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Semiconductor revenue was $2718 million in the third quarter, up 29 percent from the same period in 1999 and up 8 percent sequentially due primarily to strength in DSP and Analog, as well as growth across a breadth of TI's other semiconductor products. Semiconductor growth was constrained in the third quarter as demand for TI's advanced Analog products outpaced capacity. TI continues to aggressively convert several of its Analog fabrication facilities to more efficient 200-millimeter wafers, with early qualification of products well under way. Additionally, equipment is being installed in TI's first 300-millimeter wafer fabrication facility, located in Dallas, and is on schedule for production in the second half of 2001.</w:t>
      </w:r>
    </w:p>
    <w:p>
      <w:pPr>
        <w:spacing w:after="0" w:line="202"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Semiconductor operating profit for the third quarter was $693 million, or 25.5 percent of revenue, up 2.6 points from the same quarter a year ago and up slightly from last quarter's 25.3 percent.</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DSP revenue in the third quarter was up 36 percent from the same quarter a year ago and up 4 percent sequentially. Analog revenue was up 30 percent compared with the year-ago period and up 9 percent sequentially. DSP and Analog comprised about 65 percent of TI's semiconductor revenue. Revenue for TI's remaining semiconductor products increased from the year-ago quarter and from the second quarter of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TI's semiconductor revenue growth in key markets was as follows:</w:t>
      </w:r>
    </w:p>
    <w:p>
      <w:pPr>
        <w:spacing w:after="0" w:line="196" w:lineRule="exact"/>
        <w:rPr>
          <w:sz w:val="20"/>
          <w:szCs w:val="20"/>
          <w:color w:val="auto"/>
        </w:rPr>
      </w:pPr>
    </w:p>
    <w:p>
      <w:pPr>
        <w:ind w:left="400" w:right="2759" w:hanging="398"/>
        <w:spacing w:after="0" w:line="235" w:lineRule="auto"/>
        <w:tabs>
          <w:tab w:leader="none" w:pos="2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Wireless revenue increased 37 percent versus a year ago and 2 percent sequentially.</w:t>
      </w:r>
    </w:p>
    <w:p>
      <w:pPr>
        <w:spacing w:after="0" w:line="196" w:lineRule="exact"/>
        <w:rPr>
          <w:rFonts w:ascii="Courier New" w:cs="Courier New" w:eastAsia="Courier New" w:hAnsi="Courier New"/>
          <w:sz w:val="17"/>
          <w:szCs w:val="17"/>
          <w:color w:val="auto"/>
        </w:rPr>
      </w:pPr>
    </w:p>
    <w:p>
      <w:pPr>
        <w:ind w:left="400" w:right="2159" w:hanging="398"/>
        <w:spacing w:after="0" w:line="235" w:lineRule="auto"/>
        <w:tabs>
          <w:tab w:leader="none" w:pos="2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Revenue from TI's catalog products grew 56 percent versus a year ago and 13 percent sequentially.</w:t>
      </w:r>
    </w:p>
    <w:p>
      <w:pPr>
        <w:spacing w:after="0" w:line="196" w:lineRule="exact"/>
        <w:rPr>
          <w:rFonts w:ascii="Courier New" w:cs="Courier New" w:eastAsia="Courier New" w:hAnsi="Courier New"/>
          <w:sz w:val="17"/>
          <w:szCs w:val="17"/>
          <w:color w:val="auto"/>
        </w:rPr>
      </w:pPr>
    </w:p>
    <w:p>
      <w:pPr>
        <w:ind w:left="400" w:right="2459" w:hanging="398"/>
        <w:spacing w:after="0" w:line="235" w:lineRule="auto"/>
        <w:tabs>
          <w:tab w:leader="none" w:pos="2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Growth in broadband communications continued to accelerate, with revenue growing 70 percent sequentially.</w:t>
      </w:r>
    </w:p>
    <w:p>
      <w:pPr>
        <w:spacing w:after="0" w:line="196"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Revenue from hard-disk drive semiconductors grew at 4 percent sequentially.</w:t>
      </w:r>
    </w:p>
    <w:p>
      <w:pPr>
        <w:spacing w:after="0" w:line="10" w:lineRule="exact"/>
        <w:rPr>
          <w:rFonts w:ascii="Courier New" w:cs="Courier New" w:eastAsia="Courier New" w:hAnsi="Courier New"/>
          <w:sz w:val="16"/>
          <w:szCs w:val="16"/>
          <w:color w:val="auto"/>
        </w:rPr>
      </w:pPr>
    </w:p>
    <w:p>
      <w:pPr>
        <w:ind w:left="400" w:right="225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Revenue was down 31 percent versus a year ago. In the quarter, TI announced it has discontinued its development activity in read channel products for hard-disk drives and has redeployed more than 100 analog design engineers to higher-growth telecommunications and data networking markets.</w:t>
      </w:r>
    </w:p>
    <w:p>
      <w:pPr>
        <w:spacing w:after="0" w:line="186"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Semiconductor orders increased 34 percent from the year-ago quarter, primarily due to strength in DSP and Analog, and were about even with the second quarter of 2000.</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7"/>
          <w:szCs w:val="17"/>
          <w:color w:val="auto"/>
        </w:rPr>
        <w:t>MATERIALS &amp; CONTROLS (M&amp;C)</w:t>
      </w:r>
    </w:p>
    <w:p>
      <w:pPr>
        <w:spacing w:after="0" w:line="196"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M&amp;C revenue in the third quarter was $269 million, up 7 percent from $252 million in the same quarter a year ago, primarily due to growth in automotive sensor products. Sequentially, third-quarter revenue was down 9 percent due to seasonal patterns in the heating and air conditioning market.</w:t>
      </w:r>
    </w:p>
    <w:p>
      <w:pPr>
        <w:spacing w:after="0" w:line="19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Operating profit in the third quarter was $47 million, or 17.5 percent of revenue, up 1.3 percentage points from the third quarter of 1999, primarily due to increased revenue. Operating profit was down 2.1 points from the second quarter of 2000 due to lower revenue.</w:t>
      </w:r>
    </w:p>
    <w:p>
      <w:pPr>
        <w:spacing w:after="0" w:line="199"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During the quarter, TI announced an agreement to sell its specialty-clad metals and electrical contacts (or "materials") operation to an independent company financed by Blue Point Capital Partners. The sale is expected to close by October 31, 2000, and result in a gain.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EDUCATIONAL &amp; PRODUCTIVITY SOLUTIONS (E&amp;PS)</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Revenue for E&amp;PS in the third quarter of 2000 was $160 million, even with the same quarter last year. Sequentially, revenue increased 19 percent in what is the seasonally strongest quarter for this business. However, revenue in the third quarter was not as strong as expected due to weaker inventory replenishment following back-to-school sales.</w:t>
      </w:r>
    </w:p>
    <w:p>
      <w:pPr>
        <w:spacing w:after="0" w:line="197"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Operating margin for the quarter was 34.3 percent, up 4.9 percentage points from the year-ago period and up 5.7 points from the second quarter due to cost reductions.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ADDITIONAL FINANCIAL INFORMATION</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first nine months of 2000, TI revenue was $8851 million, up from $7121 million for the same period in 1999, due to semiconductor. Semiconductor revenue was $7596 million, up from $5947 million for the same period in 1999, primarily due to strength in DSP and Analog. M&amp;C revenue was $855 million, up from $754 million for the same period in 1999, primarily due to growth in automotive sensor products. E&amp;PS revenue was $382 million, down from $394 million for the same period in 1999, primarily due to the weaker inventory replenishment following back-to-school sales.</w:t>
      </w:r>
    </w:p>
    <w:p>
      <w:pPr>
        <w:spacing w:after="0" w:line="200"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Cost of revenues for the first nine months of 2000 was $4548 million compared with $3726 million in the year-ago period. Cost of revenues increased less than the increase in revenues, on a percentage basis, reflecting manufacturing efficiencies associated with higher product shipments.</w:t>
      </w:r>
    </w:p>
    <w:p>
      <w:pPr>
        <w:spacing w:after="0" w:line="186"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R&amp;D in the first nine months of 2000 totaled $1306 million, compared to $1046 million in the first nine months of 1999, including in-process R&amp;D costs from acquisitions. The increase was primarily due to semiconductor, including increased strategic investment for DSP and Analog.</w:t>
      </w:r>
    </w:p>
    <w:p>
      <w:pPr>
        <w:spacing w:after="0" w:line="199"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Marketing, general and administrative expense in the first nine months of 2000 was $1268 million, compared with $1096 million in the year-ago period, primarily due to higher semiconductor expenditures, including marketing-related activities. The increase was less than the increase in revenues, on a percentage basis.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83" w:right="1440" w:bottom="1440" w:gutter="0" w:footer="0" w:header="0"/>
        </w:sectPr>
      </w:pPr>
    </w:p>
    <w:bookmarkStart w:id="24" w:name="page25"/>
    <w:bookmarkEnd w:id="24"/>
    <w:p>
      <w:pPr>
        <w:ind w:right="2759"/>
        <w:spacing w:after="0" w:line="236" w:lineRule="auto"/>
        <w:rPr>
          <w:sz w:val="20"/>
          <w:szCs w:val="20"/>
          <w:color w:val="auto"/>
        </w:rPr>
      </w:pPr>
      <w:r>
        <w:rPr>
          <w:rFonts w:ascii="Courier New" w:cs="Courier New" w:eastAsia="Courier New" w:hAnsi="Courier New"/>
          <w:sz w:val="17"/>
          <w:szCs w:val="17"/>
          <w:color w:val="auto"/>
        </w:rPr>
        <w:t>Other income (expense) net increased from $313 million in the first nine months of 1999 to $2040 million in the first nine months of 2000, primarily due to the sale of 25.6 million shares of Micron common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income tax rate for the first nine months of 2000 was 35 percent.</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For the first nine months of 2000, TI orders were $9601 million, compared with $7496 million from the same period a year ago, primarily due to increased customer demand for semiconductor products. Semiconductor orders were $8396 million, up from $6336 million for the same period in 1999, primarily due to strength in DSP and Analog. M&amp;C orders were $859 million, up from $762 million for the same period in 1999, primarily due to growth in automotive sensor products. E&amp;PS orders were $382 million, down from $396 million for the same period in 1999, primarily due to the weaker inventory replenishment following back-to-school sales.</w:t>
      </w:r>
    </w:p>
    <w:p>
      <w:pPr>
        <w:spacing w:after="0" w:line="201" w:lineRule="exact"/>
        <w:rPr>
          <w:sz w:val="20"/>
          <w:szCs w:val="20"/>
          <w:color w:val="auto"/>
        </w:rPr>
      </w:pPr>
    </w:p>
    <w:p>
      <w:pPr>
        <w:ind w:right="2559"/>
        <w:spacing w:after="0" w:line="236" w:lineRule="auto"/>
        <w:rPr>
          <w:sz w:val="20"/>
          <w:szCs w:val="20"/>
          <w:color w:val="auto"/>
        </w:rPr>
      </w:pPr>
      <w:r>
        <w:rPr>
          <w:rFonts w:ascii="Courier New" w:cs="Courier New" w:eastAsia="Courier New" w:hAnsi="Courier New"/>
          <w:sz w:val="17"/>
          <w:szCs w:val="17"/>
          <w:color w:val="auto"/>
        </w:rPr>
        <w:t>In the first nine months of 2000, cash and cash equivalents plus short-term investments increased by $1729 million to $4555 million, primarily due to the sale of Micron common stock.</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Cash flow from operating activities was $1530 million in the first three quarters of 2000. Consistent with new accounting guidelines from the Emerging Issues Task Force (EITF), net cash provided by operating activities for 2000 includes $228 million of income tax benefit realized from the exercise of nonqualified employee stock options ($100 million benefit in 1999). Previously, the benefit was included in cash flows from financing activities. Capital expenditures totaled $1789 million in the three quarters of 2000, compared with $887 million in the first three quarters of 1999. Capital expenditures totaled $585 million in the third quarter of 2000 versus $360 million in the year-ago quarter.</w:t>
      </w:r>
    </w:p>
    <w:p>
      <w:pPr>
        <w:spacing w:after="0" w:line="202" w:lineRule="exact"/>
        <w:rPr>
          <w:sz w:val="20"/>
          <w:szCs w:val="20"/>
          <w:color w:val="auto"/>
        </w:rPr>
      </w:pPr>
    </w:p>
    <w:p>
      <w:pPr>
        <w:ind w:right="2459"/>
        <w:spacing w:after="0" w:line="256" w:lineRule="auto"/>
        <w:rPr>
          <w:sz w:val="20"/>
          <w:szCs w:val="20"/>
          <w:color w:val="auto"/>
        </w:rPr>
      </w:pPr>
      <w:r>
        <w:rPr>
          <w:rFonts w:ascii="Courier New" w:cs="Courier New" w:eastAsia="Courier New" w:hAnsi="Courier New"/>
          <w:sz w:val="16"/>
          <w:szCs w:val="16"/>
          <w:color w:val="auto"/>
        </w:rPr>
        <w:t>Depreciation for the first three quarters of 2000 was $869 million, compared with $735 million in the same period a year ago. Depreciation for the third quarter of 2000 was $319 million, versus $257 million in the year-ago quarter.</w:t>
      </w:r>
    </w:p>
    <w:p>
      <w:pPr>
        <w:spacing w:after="0" w:line="185"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7"/>
          <w:szCs w:val="17"/>
          <w:color w:val="auto"/>
        </w:rPr>
        <w:t>At the end of the third quarter, the debt-to-total-capital ratio was .10 versus .13 at the end of 1999.</w:t>
      </w:r>
    </w:p>
    <w:p>
      <w:pPr>
        <w:spacing w:after="0" w:line="19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In response to Micron's notice of intent to redeem its $740 million 6.5% convertible notes, TI presented the notes for conversion into 24.7 million Micron common shares on October 9, 2000. As a result, Micron will no longer have debt outstanding to TI from its 1998 purchase of TI's memory business. Accordingly, in the fourth quarter of 2000, TI plans to recognize a gain on that divestiture which was previously deferred pending repayment of the TI-provided financing.</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CHARGES AND GAINS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Third Quarter of 2000</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the third quarter of 2000, TI recorded investment gains of $425 million from the sale of 5.6 million shares of Micron Technology, Inc. (Micron) common stock, offset by special charges of $163 million, of which $112 million is for purchased in-process R&amp;D costs from the Dot Wireless, Inc. and Alantro Communications, Inc. acquisitions, $41 million for acquisition costs from the pooling of interests with Burr-Brown Corporation, and $10 million, net, for several Semiconductor and Materials &amp; Controls restructuring and other actions in the U.S., Japan</w:t>
      </w:r>
    </w:p>
    <w:p>
      <w:pPr>
        <w:spacing w:after="0" w:line="1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90" w:right="1440" w:bottom="1440" w:gutter="0" w:footer="0" w:header="0"/>
        </w:sectPr>
      </w:pPr>
    </w:p>
    <w:bookmarkStart w:id="25" w:name="page26"/>
    <w:bookmarkEnd w:id="25"/>
    <w:p>
      <w:pPr>
        <w:ind w:right="2459"/>
        <w:spacing w:after="0" w:line="237" w:lineRule="auto"/>
        <w:rPr>
          <w:sz w:val="20"/>
          <w:szCs w:val="20"/>
          <w:color w:val="auto"/>
        </w:rPr>
      </w:pPr>
      <w:r>
        <w:rPr>
          <w:rFonts w:ascii="Courier New" w:cs="Courier New" w:eastAsia="Courier New" w:hAnsi="Courier New"/>
          <w:sz w:val="17"/>
          <w:szCs w:val="17"/>
          <w:color w:val="auto"/>
        </w:rPr>
        <w:t>and Europe. Of the $163 million, $112 million is an increase in research and development expense, $46 million in marketing, general and administrative expense, $31 million in cost of revenues, $15 million in net revenues and $11 million in other income. The primary benefit from the above actions is reduced personnel costs, which are estimated to reach $31 million annually. The benefit is expected to begin in the fourth quarter of 2000.</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of 2000</w:t>
      </w:r>
    </w:p>
    <w:p>
      <w:pPr>
        <w:spacing w:after="0" w:line="196" w:lineRule="exact"/>
        <w:rPr>
          <w:sz w:val="20"/>
          <w:szCs w:val="20"/>
          <w:color w:val="auto"/>
        </w:rPr>
      </w:pPr>
    </w:p>
    <w:p>
      <w:pPr>
        <w:ind w:right="2459"/>
        <w:spacing w:after="0" w:line="255" w:lineRule="auto"/>
        <w:rPr>
          <w:sz w:val="20"/>
          <w:szCs w:val="20"/>
          <w:color w:val="auto"/>
        </w:rPr>
      </w:pPr>
      <w:r>
        <w:rPr>
          <w:rFonts w:ascii="Courier New" w:cs="Courier New" w:eastAsia="Courier New" w:hAnsi="Courier New"/>
          <w:sz w:val="16"/>
          <w:szCs w:val="16"/>
          <w:color w:val="auto"/>
        </w:rPr>
        <w:t>In the second quarter of 2000, a special investment gain of $1211 million was realized from the sale of 20 million shares of Micron common stock, which were part of the consideration received in TI's 1998 divestiture of the memory business to Micron. This $1211 million gain was included in other income.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First Quarter of 2000</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the first quarter of 2000, pretax charges of $29 million were taken, associated with actions including the closing of the M&amp;C manufacturing facility in Versailles, Kentucky, and TI's acquisition of Toccata Technology ApS. Of the $29 million charge, $12 million was for severance for the elimination of 480 jobs in Kentucky by the first quarter of 2001. At September 30, 2000, the pay-out of the severance cost obligation had not yet begun. Of the $29 million, $20 million is included in cost of revenues, $6 million in marketing, general and administrative expense and $3 million in research and development expense. The primary benefit from the Kentucky action is reduced personnel costs, which are estimated to reach $10 million annually. The benefit is expected to begin in the fourth quarter of 2000.</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Third Quarter of 1999</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the third quarter of 1999, severance actions were taken by TI's semiconductor operations in the U.S. These actions, taken in response to the continuing downturn in the hard disk drive market, affected 206 jobs. As a result, the TI took a pretax charge of $12 million in the third quarter, of which $10 million was included in cost of revenues and $2 million in marketing, general and administrative expense. Of the $12 million charge, $9 million was for severance, $2 million was for fixed asset write-downs for assets held for disposal, and $1 million was for vendor obligations. These fixed assets were sold for scrap value after being written down to zero, their sales value. All of the employees have left. At September 30, 2000, the pay-out of the severance is complete. The primary benefit from this action is reduced people costs, which are estimated to reach $22 million annually. The benefit began in the fourth quarter of 1999.</w:t>
      </w:r>
    </w:p>
    <w:p>
      <w:pPr>
        <w:spacing w:after="0" w:line="205"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the third quarter of 1999, additional severance actions were taken for the Japan manufacturing efficiency program announced during the first quarter of 1999 (program is more fully discussed below under First Quarter of 1999). This resulted in a pretax charge of $7 million in the third quarter for the elimination of an additional 105 jobs in Hatogaya, Japan. At September 30, 2000, the pay-out of the severance obligation was complete. The $7 million charge was included in cost of revenues.</w:t>
      </w:r>
    </w:p>
    <w:p>
      <w:pPr>
        <w:spacing w:after="0" w:line="199" w:lineRule="exact"/>
        <w:rPr>
          <w:sz w:val="20"/>
          <w:szCs w:val="20"/>
          <w:color w:val="auto"/>
        </w:rPr>
      </w:pPr>
    </w:p>
    <w:p>
      <w:pPr>
        <w:jc w:val="both"/>
        <w:ind w:right="2459"/>
        <w:spacing w:after="0" w:line="236" w:lineRule="auto"/>
        <w:rPr>
          <w:sz w:val="20"/>
          <w:szCs w:val="20"/>
          <w:color w:val="auto"/>
        </w:rPr>
      </w:pPr>
      <w:r>
        <w:rPr>
          <w:rFonts w:ascii="Courier New" w:cs="Courier New" w:eastAsia="Courier New" w:hAnsi="Courier New"/>
          <w:sz w:val="17"/>
          <w:szCs w:val="17"/>
          <w:color w:val="auto"/>
        </w:rPr>
        <w:t>Also included is $15 million of acquisition transaction costs from the pooling acquisition of Telogy Networks, Inc. and a $4 million pretax operating charge by Unitrode Corporation for a severance action.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9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First Quarter of 1999</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In the first quarter of 1999, the company announced a consolidation of semiconductor manufacturing operations in Japan to improve manufacturing efficiencies and reduce costs. This action resulted in a pretax charge of $14 million in the first quarter, of which $13 million was for severance for the elimination of 153 jobs in Hatogaya, Japan. At year-end 1999, this program was complete. Of the $14 million charge, $11 million was included in cost of revenues and $3 million in marketing, general and administrative expense. The primary benefit from this consolidation action was reduced personnel costs, which were estimated to reach $11 million annually. The benefit began in the fourth quarter of 1999.</w:t>
      </w:r>
    </w:p>
    <w:p>
      <w:pPr>
        <w:spacing w:after="0" w:line="202"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Year-to-date acquisition-related purchased in-process R&amp;D charges were $112 million in 2000 and $79 million in 1999. These charges are for research and development from business purchase acquisitions.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200"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Significant assumptions, detailed in the following table, used in determining the value of purchased R&amp;D included the discount rate, the estimated beginning date of projected operating cash flows, and the remaining cost and time, in engineer-months, to complete the R&amp;D projects. The term "engineer month" refers to the average amount of research work expected to be performed by an engineer in a month.</w:t>
      </w:r>
    </w:p>
    <w:p>
      <w:pPr>
        <w:spacing w:after="0" w:line="198"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The relative stage of completion and projected operating cash flows of the underlying in-process projects acquired were the most significant and uncertain assumptions utilized in the valuation analysis of the in-process R&amp;D. Such uncertainties could give rise to unforeseen budget overruns and/or revenue shortfalls in the event that TI is unable to successfully complete and commercialize the projects. TI management is primarily responsible for estimating the value of the purchased R&amp;D in all acquisitions accounted for under the purchase method. TI expects to essentially meet its original return expectations for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Millions of Dollars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257" w:right="1440" w:bottom="0" w:gutter="0" w:footer="0" w:header="0"/>
        </w:sectPr>
      </w:pPr>
    </w:p>
    <w:p>
      <w:pPr>
        <w:spacing w:after="0" w:line="386"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Entity</w:t>
      </w:r>
    </w:p>
    <w:p>
      <w:pPr>
        <w:spacing w:after="0" w:line="238" w:lineRule="auto"/>
        <w:rPr>
          <w:sz w:val="20"/>
          <w:szCs w:val="20"/>
          <w:color w:val="auto"/>
        </w:rPr>
      </w:pPr>
      <w:r>
        <w:rPr>
          <w:rFonts w:ascii="Courier New" w:cs="Courier New" w:eastAsia="Courier New" w:hAnsi="Courier New"/>
          <w:sz w:val="17"/>
          <w:szCs w:val="17"/>
          <w:color w:val="auto"/>
        </w:rPr>
        <w:t>acquired</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w:t>
      </w:r>
    </w:p>
    <w:p>
      <w:pPr>
        <w:ind w:left="300"/>
        <w:spacing w:after="0" w:line="238" w:lineRule="auto"/>
        <w:rPr>
          <w:sz w:val="20"/>
          <w:szCs w:val="20"/>
          <w:color w:val="auto"/>
        </w:rPr>
      </w:pPr>
      <w:r>
        <w:rPr>
          <w:rFonts w:ascii="Courier New" w:cs="Courier New" w:eastAsia="Courier New" w:hAnsi="Courier New"/>
          <w:sz w:val="17"/>
          <w:szCs w:val="17"/>
          <w:color w:val="auto"/>
        </w:rPr>
        <w:t>date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Consid-</w:t>
      </w:r>
    </w:p>
    <w:p>
      <w:pPr>
        <w:spacing w:after="0" w:line="238" w:lineRule="auto"/>
        <w:rPr>
          <w:sz w:val="20"/>
          <w:szCs w:val="20"/>
          <w:color w:val="auto"/>
        </w:rPr>
      </w:pPr>
      <w:r>
        <w:rPr>
          <w:rFonts w:ascii="Courier New" w:cs="Courier New" w:eastAsia="Courier New" w:hAnsi="Courier New"/>
          <w:sz w:val="17"/>
          <w:szCs w:val="17"/>
          <w:color w:val="auto"/>
        </w:rPr>
        <w:t>eration</w:t>
      </w:r>
    </w:p>
    <w:p>
      <w:pPr>
        <w:spacing w:after="0" w:line="19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w:t>
      </w:r>
    </w:p>
    <w:p>
      <w:pPr>
        <w:spacing w:after="0" w:line="19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238" w:lineRule="auto"/>
        <w:rPr>
          <w:sz w:val="20"/>
          <w:szCs w:val="20"/>
          <w:color w:val="auto"/>
        </w:rPr>
      </w:pPr>
      <w:r>
        <w:rPr>
          <w:rFonts w:ascii="Courier New" w:cs="Courier New" w:eastAsia="Courier New" w:hAnsi="Courier New"/>
          <w:sz w:val="17"/>
          <w:szCs w:val="17"/>
          <w:color w:val="auto"/>
        </w:rPr>
        <w:t>intan-</w:t>
      </w:r>
    </w:p>
    <w:p>
      <w:pPr>
        <w:spacing w:after="0" w:line="238" w:lineRule="auto"/>
        <w:rPr>
          <w:sz w:val="20"/>
          <w:szCs w:val="20"/>
          <w:color w:val="auto"/>
        </w:rPr>
      </w:pPr>
      <w:r>
        <w:rPr>
          <w:rFonts w:ascii="Courier New" w:cs="Courier New" w:eastAsia="Courier New" w:hAnsi="Courier New"/>
          <w:sz w:val="17"/>
          <w:szCs w:val="17"/>
          <w:color w:val="auto"/>
        </w:rPr>
        <w:t>gibles</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w:t>
      </w:r>
    </w:p>
    <w:p>
      <w:pPr>
        <w:spacing w:after="0" w:line="238" w:lineRule="auto"/>
        <w:rPr>
          <w:sz w:val="20"/>
          <w:szCs w:val="20"/>
          <w:color w:val="auto"/>
        </w:rPr>
      </w:pPr>
      <w:r>
        <w:rPr>
          <w:rFonts w:ascii="Courier New" w:cs="Courier New" w:eastAsia="Courier New" w:hAnsi="Courier New"/>
          <w:sz w:val="17"/>
          <w:szCs w:val="17"/>
          <w:color w:val="auto"/>
        </w:rPr>
        <w:t>compen-</w:t>
      </w:r>
    </w:p>
    <w:p>
      <w:pPr>
        <w:spacing w:after="0" w:line="238" w:lineRule="auto"/>
        <w:rPr>
          <w:sz w:val="20"/>
          <w:szCs w:val="20"/>
          <w:color w:val="auto"/>
        </w:rPr>
      </w:pPr>
      <w:r>
        <w:rPr>
          <w:rFonts w:ascii="Courier New" w:cs="Courier New" w:eastAsia="Courier New" w:hAnsi="Courier New"/>
          <w:sz w:val="17"/>
          <w:szCs w:val="17"/>
          <w:color w:val="auto"/>
        </w:rPr>
        <w:t>sation</w:t>
      </w:r>
    </w:p>
    <w:p>
      <w:pPr>
        <w:spacing w:after="0" w:line="6"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Purchased</w:t>
      </w:r>
    </w:p>
    <w:p>
      <w:pPr>
        <w:spacing w:after="0" w:line="238" w:lineRule="auto"/>
        <w:rPr>
          <w:sz w:val="20"/>
          <w:szCs w:val="20"/>
          <w:color w:val="auto"/>
        </w:rPr>
      </w:pPr>
      <w:r>
        <w:rPr>
          <w:rFonts w:ascii="Courier New" w:cs="Courier New" w:eastAsia="Courier New" w:hAnsi="Courier New"/>
          <w:sz w:val="17"/>
          <w:szCs w:val="17"/>
          <w:color w:val="auto"/>
        </w:rPr>
        <w:t>in-process</w:t>
      </w:r>
    </w:p>
    <w:p>
      <w:pPr>
        <w:spacing w:after="0" w:line="238" w:lineRule="auto"/>
        <w:rPr>
          <w:sz w:val="20"/>
          <w:szCs w:val="20"/>
          <w:color w:val="auto"/>
        </w:rPr>
      </w:pPr>
      <w:r>
        <w:rPr>
          <w:rFonts w:ascii="Courier New" w:cs="Courier New" w:eastAsia="Courier New" w:hAnsi="Courier New"/>
          <w:sz w:val="17"/>
          <w:szCs w:val="17"/>
          <w:color w:val="auto"/>
        </w:rPr>
        <w:t>R&amp;D charge</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Appraisal</w:t>
      </w:r>
    </w:p>
    <w:p>
      <w:pPr>
        <w:ind w:left="200"/>
        <w:spacing w:after="0" w:line="238" w:lineRule="auto"/>
        <w:rPr>
          <w:sz w:val="20"/>
          <w:szCs w:val="20"/>
          <w:color w:val="auto"/>
        </w:rPr>
      </w:pPr>
      <w:r>
        <w:rPr>
          <w:rFonts w:ascii="Courier New" w:cs="Courier New" w:eastAsia="Courier New" w:hAnsi="Courier New"/>
          <w:sz w:val="17"/>
          <w:szCs w:val="17"/>
          <w:color w:val="auto"/>
        </w:rPr>
        <w:t>method</w:t>
      </w:r>
    </w:p>
    <w:p>
      <w:pPr>
        <w:spacing w:after="0" w:line="19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8">
            <w:col w:w="1200" w:space="100"/>
            <w:col w:w="1280" w:space="100"/>
            <w:col w:w="1000" w:space="0"/>
            <w:col w:w="1000" w:space="200"/>
            <w:col w:w="800" w:space="180"/>
            <w:col w:w="1000" w:space="200"/>
            <w:col w:w="1200" w:space="100"/>
            <w:col w:w="1859"/>
          </w:cols>
          <w:pgMar w:left="240" w:top="1257" w:right="1440" w:bottom="0" w:gutter="0" w:footer="0" w:header="0"/>
          <w:type w:val="continuous"/>
        </w:sectPr>
      </w:pPr>
    </w:p>
    <w:p>
      <w:pPr>
        <w:spacing w:after="0" w:line="6" w:lineRule="exact"/>
        <w:rPr>
          <w:sz w:val="20"/>
          <w:szCs w:val="20"/>
          <w:color w:val="auto"/>
        </w:rPr>
      </w:pPr>
    </w:p>
    <w:p>
      <w:pPr>
        <w:ind w:left="100" w:hanging="98"/>
        <w:spacing w:after="0" w:line="253" w:lineRule="auto"/>
        <w:rPr>
          <w:sz w:val="20"/>
          <w:szCs w:val="20"/>
          <w:color w:val="auto"/>
        </w:rPr>
      </w:pPr>
      <w:r>
        <w:rPr>
          <w:rFonts w:ascii="Courier New" w:cs="Courier New" w:eastAsia="Courier New" w:hAnsi="Courier New"/>
          <w:sz w:val="16"/>
          <w:szCs w:val="16"/>
          <w:color w:val="auto"/>
        </w:rPr>
        <w:t>Butterfly VLSI,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$ 33</w:t>
      </w:r>
    </w:p>
    <w:p>
      <w:pPr>
        <w:spacing w:after="0" w:line="20" w:lineRule="exact"/>
        <w:rPr>
          <w:sz w:val="20"/>
          <w:szCs w:val="20"/>
          <w:color w:val="auto"/>
        </w:rPr>
      </w:pPr>
      <w:r>
        <w:rPr>
          <w:sz w:val="20"/>
          <w:szCs w:val="20"/>
          <w:color w:val="auto"/>
        </w:rPr>
        <w:br w:type="column"/>
      </w:r>
    </w:p>
    <w:p>
      <w:pPr>
        <w:spacing w:after="0"/>
        <w:tabs>
          <w:tab w:leader="none" w:pos="280" w:val="left"/>
        </w:tabs>
        <w:rPr>
          <w:sz w:val="20"/>
          <w:szCs w:val="20"/>
          <w:color w:val="auto"/>
        </w:rPr>
      </w:pPr>
      <w:r>
        <w:rPr>
          <w:rFonts w:ascii="Courier New" w:cs="Courier New" w:eastAsia="Courier New" w:hAnsi="Courier New"/>
          <w:sz w:val="16"/>
          <w:szCs w:val="16"/>
          <w:color w:val="auto"/>
        </w:rPr>
        <w:t>$</w:t>
        <w:tab/>
        <w:t>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Exclusion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approach</w:t>
      </w:r>
    </w:p>
    <w:p>
      <w:pPr>
        <w:spacing w:after="0" w:line="5" w:lineRule="exact"/>
        <w:rPr>
          <w:sz w:val="20"/>
          <w:szCs w:val="20"/>
          <w:color w:val="auto"/>
        </w:rPr>
      </w:pPr>
    </w:p>
    <w:p>
      <w:pPr>
        <w:sectPr>
          <w:pgSz w:w="11900" w:h="16838" w:orient="portrait"/>
          <w:cols w:equalWidth="0" w:num="8">
            <w:col w:w="900" w:space="500"/>
            <w:col w:w="700" w:space="480"/>
            <w:col w:w="480" w:space="720"/>
            <w:col w:w="400" w:space="700"/>
            <w:col w:w="460" w:space="720"/>
            <w:col w:w="380" w:space="720"/>
            <w:col w:w="480" w:space="720"/>
            <w:col w:w="1859"/>
          </w:cols>
          <w:pgMar w:left="240" w:top="1257" w:right="1440" w:bottom="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1999</w:t>
      </w:r>
    </w:p>
    <w:p>
      <w:pPr>
        <w:spacing w:after="0" w:line="200" w:lineRule="exact"/>
        <w:rPr>
          <w:sz w:val="20"/>
          <w:szCs w:val="20"/>
          <w:color w:val="auto"/>
        </w:rPr>
      </w:pPr>
    </w:p>
    <w:p>
      <w:pPr>
        <w:sectPr>
          <w:pgSz w:w="11900" w:h="16838" w:orient="portrait"/>
          <w:cols w:equalWidth="0" w:num="2">
            <w:col w:w="680" w:space="720"/>
            <w:col w:w="8819"/>
          </w:cols>
          <w:pgMar w:left="240" w:top="1257"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tcPr>
          <w:p>
            <w:pPr>
              <w:spacing w:after="0"/>
              <w:rPr>
                <w:sz w:val="20"/>
                <w:szCs w:val="20"/>
                <w:color w:val="auto"/>
              </w:rPr>
            </w:pPr>
            <w:r>
              <w:rPr>
                <w:rFonts w:ascii="Courier New" w:cs="Courier New" w:eastAsia="Courier New" w:hAnsi="Courier New"/>
                <w:sz w:val="17"/>
                <w:szCs w:val="17"/>
                <w:color w:val="auto"/>
              </w:rPr>
              <w:t>Libit Signal</w:t>
            </w:r>
          </w:p>
        </w:tc>
        <w:tc>
          <w:tcPr>
            <w:tcW w:w="1040" w:type="dxa"/>
            <w:vAlign w:val="bottom"/>
          </w:tcPr>
          <w:p>
            <w:pPr>
              <w:ind w:left="100"/>
              <w:spacing w:after="0"/>
              <w:rPr>
                <w:sz w:val="20"/>
                <w:szCs w:val="20"/>
                <w:color w:val="auto"/>
              </w:rPr>
            </w:pPr>
            <w:r>
              <w:rPr>
                <w:rFonts w:ascii="Courier New" w:cs="Courier New" w:eastAsia="Courier New" w:hAnsi="Courier New"/>
                <w:sz w:val="17"/>
                <w:szCs w:val="17"/>
                <w:color w:val="auto"/>
              </w:rPr>
              <w:t>Second</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$365</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$207</w:t>
            </w:r>
          </w:p>
        </w:tc>
        <w:tc>
          <w:tcPr>
            <w:tcW w:w="116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$106</w:t>
            </w:r>
          </w:p>
        </w:tc>
        <w:tc>
          <w:tcPr>
            <w:tcW w:w="10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$ 52</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Processing</w:t>
            </w:r>
          </w:p>
        </w:tc>
        <w:tc>
          <w:tcPr>
            <w:tcW w:w="10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quarter</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3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Ltd.</w:t>
            </w:r>
          </w:p>
        </w:tc>
        <w:tc>
          <w:tcPr>
            <w:tcW w:w="10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40" w:type="dxa"/>
            <w:vAlign w:val="bottom"/>
          </w:tcPr>
          <w:p>
            <w:pPr>
              <w:spacing w:after="0"/>
              <w:rPr>
                <w:sz w:val="20"/>
                <w:szCs w:val="20"/>
                <w:color w:val="auto"/>
              </w:rPr>
            </w:pPr>
            <w:r>
              <w:rPr>
                <w:rFonts w:ascii="Courier New" w:cs="Courier New" w:eastAsia="Courier New" w:hAnsi="Courier New"/>
                <w:sz w:val="17"/>
                <w:szCs w:val="17"/>
                <w:color w:val="auto"/>
              </w:rPr>
              <w:t>Integrated</w:t>
            </w:r>
          </w:p>
        </w:tc>
        <w:tc>
          <w:tcPr>
            <w:tcW w:w="1100" w:type="dxa"/>
            <w:vAlign w:val="bottom"/>
          </w:tcPr>
          <w:p>
            <w:pPr>
              <w:ind w:left="160"/>
              <w:spacing w:after="0"/>
              <w:rPr>
                <w:sz w:val="20"/>
                <w:szCs w:val="20"/>
                <w:color w:val="auto"/>
              </w:rPr>
            </w:pPr>
            <w:r>
              <w:rPr>
                <w:rFonts w:ascii="Courier New" w:cs="Courier New" w:eastAsia="Courier New" w:hAnsi="Courier New"/>
                <w:sz w:val="17"/>
                <w:szCs w:val="17"/>
                <w:color w:val="auto"/>
              </w:rPr>
              <w:t>Third</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$ 67</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$ 32</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11</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$ 16</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Sensor</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quarter</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Solutions,</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1999</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83"/>
        </w:trPr>
        <w:tc>
          <w:tcPr>
            <w:tcW w:w="1240" w:type="dxa"/>
            <w:vAlign w:val="bottom"/>
          </w:tcPr>
          <w:p>
            <w:pPr>
              <w:spacing w:after="0"/>
              <w:rPr>
                <w:sz w:val="20"/>
                <w:szCs w:val="20"/>
                <w:color w:val="auto"/>
              </w:rPr>
            </w:pPr>
            <w:r>
              <w:rPr>
                <w:rFonts w:ascii="Courier New" w:cs="Courier New" w:eastAsia="Courier New" w:hAnsi="Courier New"/>
                <w:sz w:val="17"/>
                <w:szCs w:val="17"/>
                <w:color w:val="auto"/>
              </w:rPr>
              <w:t>Alantro</w:t>
            </w:r>
          </w:p>
        </w:tc>
        <w:tc>
          <w:tcPr>
            <w:tcW w:w="1100" w:type="dxa"/>
            <w:vAlign w:val="bottom"/>
          </w:tcPr>
          <w:p>
            <w:pPr>
              <w:ind w:left="160"/>
              <w:spacing w:after="0"/>
              <w:rPr>
                <w:sz w:val="20"/>
                <w:szCs w:val="20"/>
                <w:color w:val="auto"/>
              </w:rPr>
            </w:pPr>
            <w:r>
              <w:rPr>
                <w:rFonts w:ascii="Courier New" w:cs="Courier New" w:eastAsia="Courier New" w:hAnsi="Courier New"/>
                <w:sz w:val="17"/>
                <w:szCs w:val="17"/>
                <w:color w:val="auto"/>
              </w:rPr>
              <w:t>Third</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$277</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$148</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58</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$ 32</w:t>
            </w:r>
          </w:p>
        </w:tc>
        <w:tc>
          <w:tcPr>
            <w:tcW w:w="12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$ 52</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Commun-</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quarter</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ications,</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74"/>
        </w:trPr>
        <w:tc>
          <w:tcPr>
            <w:tcW w:w="1240" w:type="dxa"/>
            <w:vAlign w:val="bottom"/>
          </w:tcPr>
          <w:p>
            <w:pPr>
              <w:spacing w:after="0"/>
              <w:rPr>
                <w:sz w:val="20"/>
                <w:szCs w:val="20"/>
                <w:color w:val="auto"/>
              </w:rPr>
            </w:pPr>
            <w:r>
              <w:rPr>
                <w:rFonts w:ascii="Courier New" w:cs="Courier New" w:eastAsia="Courier New" w:hAnsi="Courier New"/>
                <w:sz w:val="17"/>
                <w:szCs w:val="17"/>
                <w:color w:val="auto"/>
              </w:rPr>
              <w:t>Dot</w:t>
            </w:r>
          </w:p>
        </w:tc>
        <w:tc>
          <w:tcPr>
            <w:tcW w:w="1100" w:type="dxa"/>
            <w:vAlign w:val="bottom"/>
          </w:tcPr>
          <w:p>
            <w:pPr>
              <w:ind w:left="160"/>
              <w:spacing w:after="0"/>
              <w:rPr>
                <w:sz w:val="20"/>
                <w:szCs w:val="20"/>
                <w:color w:val="auto"/>
              </w:rPr>
            </w:pPr>
            <w:r>
              <w:rPr>
                <w:rFonts w:ascii="Courier New" w:cs="Courier New" w:eastAsia="Courier New" w:hAnsi="Courier New"/>
                <w:sz w:val="17"/>
                <w:szCs w:val="17"/>
                <w:color w:val="auto"/>
              </w:rPr>
              <w:t>Third</w:t>
            </w:r>
          </w:p>
        </w:tc>
        <w:tc>
          <w:tcPr>
            <w:tcW w:w="10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$467</w:t>
            </w:r>
          </w:p>
        </w:tc>
        <w:tc>
          <w:tcPr>
            <w:tcW w:w="114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$302</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6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46</w:t>
            </w:r>
          </w:p>
        </w:tc>
        <w:tc>
          <w:tcPr>
            <w:tcW w:w="1140" w:type="dxa"/>
            <w:vAlign w:val="bottom"/>
          </w:tcPr>
          <w:p>
            <w:pPr>
              <w:jc w:val="right"/>
              <w:ind w:right="377"/>
              <w:spacing w:after="0"/>
              <w:rPr>
                <w:sz w:val="20"/>
                <w:szCs w:val="20"/>
                <w:color w:val="auto"/>
              </w:rPr>
            </w:pPr>
            <w:r>
              <w:rPr>
                <w:rFonts w:ascii="Courier New" w:cs="Courier New" w:eastAsia="Courier New" w:hAnsi="Courier New"/>
                <w:sz w:val="17"/>
                <w:szCs w:val="17"/>
                <w:color w:val="auto"/>
              </w:rPr>
              <w:t>$119</w:t>
            </w:r>
          </w:p>
        </w:tc>
        <w:tc>
          <w:tcPr>
            <w:tcW w:w="12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$ 60</w:t>
            </w:r>
          </w:p>
        </w:tc>
        <w:tc>
          <w:tcPr>
            <w:tcW w:w="1300" w:type="dxa"/>
            <w:vAlign w:val="bottom"/>
          </w:tcPr>
          <w:p>
            <w:pPr>
              <w:ind w:left="400"/>
              <w:spacing w:after="0"/>
              <w:rPr>
                <w:sz w:val="20"/>
                <w:szCs w:val="20"/>
                <w:color w:val="auto"/>
              </w:rPr>
            </w:pPr>
            <w:r>
              <w:rPr>
                <w:rFonts w:ascii="Courier New" w:cs="Courier New" w:eastAsia="Courier New" w:hAnsi="Courier New"/>
                <w:sz w:val="17"/>
                <w:szCs w:val="17"/>
                <w:color w:val="auto"/>
                <w:w w:val="95"/>
              </w:rPr>
              <w:t>Exclusion</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Wireless,</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quarter</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approach</w:t>
            </w:r>
          </w:p>
        </w:tc>
      </w:tr>
      <w:tr>
        <w:trPr>
          <w:trHeight w:val="191"/>
        </w:trPr>
        <w:tc>
          <w:tcPr>
            <w:tcW w:w="12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1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2000</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gridSpan w:val="2"/>
          </w:tcPr>
          <w:p>
            <w:pPr>
              <w:jc w:val="right"/>
              <w:ind w:right="577"/>
              <w:spacing w:after="0"/>
              <w:rPr>
                <w:sz w:val="20"/>
                <w:szCs w:val="20"/>
                <w:color w:val="auto"/>
              </w:rPr>
            </w:pPr>
            <w:r>
              <w:rPr>
                <w:rFonts w:ascii="Courier New" w:cs="Courier New" w:eastAsia="Courier New" w:hAnsi="Courier New"/>
                <w:sz w:val="17"/>
                <w:szCs w:val="17"/>
                <w:color w:val="auto"/>
              </w:rPr>
              <w:t>Cost/time to</w:t>
            </w:r>
          </w:p>
        </w:tc>
        <w:tc>
          <w:tcPr>
            <w:tcW w:w="12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Year</w:t>
            </w:r>
          </w:p>
        </w:tc>
      </w:tr>
      <w:tr>
        <w:trPr>
          <w:trHeight w:val="191"/>
        </w:trPr>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complete R&amp;D projects</w:t>
            </w:r>
          </w:p>
        </w:tc>
        <w:tc>
          <w:tcPr>
            <w:tcW w:w="12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cash flows</w:t>
            </w: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Entity</w:t>
            </w:r>
          </w:p>
        </w:tc>
        <w:tc>
          <w:tcPr>
            <w:tcW w:w="158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R&amp;D</w:t>
            </w:r>
          </w:p>
        </w:tc>
        <w:tc>
          <w:tcPr>
            <w:tcW w:w="11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Discount</w:t>
            </w:r>
          </w:p>
        </w:tc>
        <w:tc>
          <w:tcPr>
            <w:tcW w:w="264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projected</w:t>
            </w: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acquired</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focus</w:t>
            </w:r>
          </w:p>
        </w:tc>
        <w:tc>
          <w:tcPr>
            <w:tcW w:w="11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rate</w:t>
            </w:r>
          </w:p>
        </w:tc>
        <w:tc>
          <w:tcPr>
            <w:tcW w:w="148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At</w:t>
            </w:r>
          </w:p>
        </w:tc>
        <w:tc>
          <w:tcPr>
            <w:tcW w:w="1160" w:type="dxa"/>
            <w:vAlign w:val="bottom"/>
          </w:tcPr>
          <w:p>
            <w:pPr>
              <w:jc w:val="right"/>
              <w:ind w:right="577"/>
              <w:spacing w:after="0" w:line="191" w:lineRule="exact"/>
              <w:rPr>
                <w:sz w:val="20"/>
                <w:szCs w:val="20"/>
                <w:color w:val="auto"/>
              </w:rPr>
            </w:pPr>
            <w:r>
              <w:rPr>
                <w:rFonts w:ascii="Courier New" w:cs="Courier New" w:eastAsia="Courier New" w:hAnsi="Courier New"/>
                <w:sz w:val="17"/>
                <w:szCs w:val="17"/>
                <w:color w:val="auto"/>
              </w:rPr>
              <w:t>At</w:t>
            </w:r>
          </w:p>
        </w:tc>
        <w:tc>
          <w:tcPr>
            <w:tcW w:w="1240" w:type="dxa"/>
            <w:vAlign w:val="bottom"/>
          </w:tcPr>
          <w:p>
            <w:pPr>
              <w:jc w:val="center"/>
              <w:ind w:right="77"/>
              <w:spacing w:after="0" w:line="191" w:lineRule="exact"/>
              <w:rPr>
                <w:sz w:val="20"/>
                <w:szCs w:val="20"/>
                <w:color w:val="auto"/>
              </w:rPr>
            </w:pPr>
            <w:r>
              <w:rPr>
                <w:rFonts w:ascii="Courier New" w:cs="Courier New" w:eastAsia="Courier New" w:hAnsi="Courier New"/>
                <w:sz w:val="17"/>
                <w:szCs w:val="17"/>
                <w:color w:val="auto"/>
                <w:w w:val="97"/>
              </w:rPr>
              <w:t>to begin</w:t>
            </w:r>
          </w:p>
        </w:tc>
      </w:tr>
      <w:tr>
        <w:trPr>
          <w:trHeight w:val="191"/>
        </w:trPr>
        <w:tc>
          <w:tcPr>
            <w:tcW w:w="17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acquisition</w:t>
            </w:r>
          </w:p>
        </w:tc>
        <w:tc>
          <w:tcPr>
            <w:tcW w:w="1160" w:type="dxa"/>
            <w:vAlign w:val="bottom"/>
          </w:tcPr>
          <w:p>
            <w:pPr>
              <w:spacing w:after="0" w:line="191" w:lineRule="exact"/>
              <w:rPr>
                <w:sz w:val="20"/>
                <w:szCs w:val="20"/>
                <w:color w:val="auto"/>
              </w:rPr>
            </w:pPr>
            <w:r>
              <w:rPr>
                <w:rFonts w:ascii="Courier New" w:cs="Courier New" w:eastAsia="Courier New" w:hAnsi="Courier New"/>
                <w:sz w:val="17"/>
                <w:szCs w:val="17"/>
                <w:color w:val="auto"/>
              </w:rPr>
              <w:t>Sept 2000</w:t>
            </w:r>
          </w:p>
        </w:tc>
        <w:tc>
          <w:tcPr>
            <w:tcW w:w="1240" w:type="dxa"/>
            <w:vAlign w:val="bottom"/>
          </w:tcPr>
          <w:p>
            <w:pPr>
              <w:spacing w:after="0"/>
              <w:rPr>
                <w:sz w:val="16"/>
                <w:szCs w:val="16"/>
                <w:color w:val="auto"/>
              </w:rPr>
            </w:pPr>
          </w:p>
        </w:tc>
      </w:tr>
      <w:tr>
        <w:trPr>
          <w:trHeight w:val="191"/>
        </w:trPr>
        <w:tc>
          <w:tcPr>
            <w:tcW w:w="170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580" w:type="dxa"/>
            <w:vAlign w:val="bottom"/>
          </w:tcPr>
          <w:p>
            <w:pPr>
              <w:ind w:left="680"/>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1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1700" w:type="dxa"/>
            <w:vAlign w:val="bottom"/>
          </w:tcPr>
          <w:p>
            <w:pPr>
              <w:spacing w:after="0"/>
              <w:rPr>
                <w:sz w:val="20"/>
                <w:szCs w:val="20"/>
                <w:color w:val="auto"/>
              </w:rPr>
            </w:pPr>
            <w:r>
              <w:rPr>
                <w:rFonts w:ascii="Courier New" w:cs="Courier New" w:eastAsia="Courier New" w:hAnsi="Courier New"/>
                <w:sz w:val="17"/>
                <w:szCs w:val="17"/>
                <w:color w:val="auto"/>
              </w:rPr>
              <w:t>Butterfly</w:t>
            </w:r>
          </w:p>
        </w:tc>
        <w:tc>
          <w:tcPr>
            <w:tcW w:w="1580" w:type="dxa"/>
            <w:vAlign w:val="bottom"/>
          </w:tcPr>
          <w:p>
            <w:pPr>
              <w:ind w:left="480"/>
              <w:spacing w:after="0"/>
              <w:rPr>
                <w:sz w:val="20"/>
                <w:szCs w:val="20"/>
                <w:color w:val="auto"/>
              </w:rPr>
            </w:pPr>
            <w:r>
              <w:rPr>
                <w:rFonts w:ascii="Courier New" w:cs="Courier New" w:eastAsia="Courier New" w:hAnsi="Courier New"/>
                <w:sz w:val="17"/>
                <w:szCs w:val="17"/>
                <w:color w:val="auto"/>
              </w:rPr>
              <w:t>Short</w:t>
            </w:r>
          </w:p>
        </w:tc>
        <w:tc>
          <w:tcPr>
            <w:tcW w:w="11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25%</w:t>
            </w:r>
          </w:p>
        </w:tc>
        <w:tc>
          <w:tcPr>
            <w:tcW w:w="1480" w:type="dxa"/>
            <w:vAlign w:val="bottom"/>
          </w:tcPr>
          <w:p>
            <w:pPr>
              <w:ind w:left="300"/>
              <w:spacing w:after="0"/>
              <w:rPr>
                <w:sz w:val="20"/>
                <w:szCs w:val="20"/>
                <w:color w:val="auto"/>
              </w:rPr>
            </w:pPr>
            <w:r>
              <w:rPr>
                <w:rFonts w:ascii="Courier New" w:cs="Courier New" w:eastAsia="Courier New" w:hAnsi="Courier New"/>
                <w:sz w:val="17"/>
                <w:szCs w:val="17"/>
                <w:color w:val="auto"/>
              </w:rPr>
              <w:t>$5/264</w:t>
            </w: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Project</w:t>
            </w:r>
          </w:p>
        </w:tc>
        <w:tc>
          <w:tcPr>
            <w:tcW w:w="12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VLSI,</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distance</w:t>
            </w:r>
          </w:p>
        </w:tc>
        <w:tc>
          <w:tcPr>
            <w:tcW w:w="1100" w:type="dxa"/>
            <w:vAlign w:val="bottom"/>
          </w:tcPr>
          <w:p>
            <w:pPr>
              <w:spacing w:after="0"/>
              <w:rPr>
                <w:sz w:val="16"/>
                <w:szCs w:val="16"/>
                <w:color w:val="auto"/>
              </w:rPr>
            </w:pP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engineer</w:t>
            </w:r>
          </w:p>
        </w:tc>
        <w:tc>
          <w:tcPr>
            <w:tcW w:w="1160" w:type="dxa"/>
            <w:vAlign w:val="bottom"/>
          </w:tcPr>
          <w:p>
            <w:pPr>
              <w:spacing w:after="0" w:line="191" w:lineRule="exact"/>
              <w:rPr>
                <w:sz w:val="20"/>
                <w:szCs w:val="20"/>
                <w:color w:val="auto"/>
              </w:rPr>
            </w:pPr>
            <w:r>
              <w:rPr>
                <w:rFonts w:ascii="Courier New" w:cs="Courier New" w:eastAsia="Courier New" w:hAnsi="Courier New"/>
                <w:sz w:val="17"/>
                <w:szCs w:val="17"/>
                <w:color w:val="auto"/>
              </w:rPr>
              <w:t>completed</w:t>
            </w:r>
          </w:p>
        </w:tc>
        <w:tc>
          <w:tcPr>
            <w:tcW w:w="1240" w:type="dxa"/>
            <w:vAlign w:val="bottom"/>
          </w:tcPr>
          <w:p>
            <w:pPr>
              <w:spacing w:after="0"/>
              <w:rPr>
                <w:sz w:val="16"/>
                <w:szCs w:val="16"/>
                <w:color w:val="auto"/>
              </w:rPr>
            </w:pP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Ltd.</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wireless</w:t>
            </w:r>
          </w:p>
        </w:tc>
        <w:tc>
          <w:tcPr>
            <w:tcW w:w="1100" w:type="dxa"/>
            <w:vAlign w:val="bottom"/>
          </w:tcPr>
          <w:p>
            <w:pPr>
              <w:spacing w:after="0"/>
              <w:rPr>
                <w:sz w:val="16"/>
                <w:szCs w:val="16"/>
                <w:color w:val="auto"/>
              </w:rPr>
            </w:pP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months</w:t>
            </w: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technology</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for voice-</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plus-data</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6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transmission</w:t>
            </w: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products</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574"/>
        </w:trPr>
        <w:tc>
          <w:tcPr>
            <w:tcW w:w="1700" w:type="dxa"/>
            <w:vAlign w:val="bottom"/>
          </w:tcPr>
          <w:p>
            <w:pPr>
              <w:spacing w:after="0"/>
              <w:rPr>
                <w:sz w:val="20"/>
                <w:szCs w:val="20"/>
                <w:color w:val="auto"/>
              </w:rPr>
            </w:pPr>
            <w:r>
              <w:rPr>
                <w:rFonts w:ascii="Courier New" w:cs="Courier New" w:eastAsia="Courier New" w:hAnsi="Courier New"/>
                <w:sz w:val="17"/>
                <w:szCs w:val="17"/>
                <w:color w:val="auto"/>
              </w:rPr>
              <w:t>Libit Signal</w:t>
            </w:r>
          </w:p>
        </w:tc>
        <w:tc>
          <w:tcPr>
            <w:tcW w:w="1580" w:type="dxa"/>
            <w:vAlign w:val="bottom"/>
          </w:tcPr>
          <w:p>
            <w:pPr>
              <w:ind w:left="480"/>
              <w:spacing w:after="0"/>
              <w:rPr>
                <w:sz w:val="20"/>
                <w:szCs w:val="20"/>
                <w:color w:val="auto"/>
              </w:rPr>
            </w:pPr>
            <w:r>
              <w:rPr>
                <w:rFonts w:ascii="Courier New" w:cs="Courier New" w:eastAsia="Courier New" w:hAnsi="Courier New"/>
                <w:sz w:val="17"/>
                <w:szCs w:val="17"/>
                <w:color w:val="auto"/>
              </w:rPr>
              <w:t>Silicon</w:t>
            </w:r>
          </w:p>
        </w:tc>
        <w:tc>
          <w:tcPr>
            <w:tcW w:w="11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22%</w:t>
            </w:r>
          </w:p>
        </w:tc>
        <w:tc>
          <w:tcPr>
            <w:tcW w:w="1480" w:type="dxa"/>
            <w:vAlign w:val="bottom"/>
          </w:tcPr>
          <w:p>
            <w:pPr>
              <w:ind w:left="300"/>
              <w:spacing w:after="0"/>
              <w:rPr>
                <w:sz w:val="20"/>
                <w:szCs w:val="20"/>
                <w:color w:val="auto"/>
              </w:rPr>
            </w:pPr>
            <w:r>
              <w:rPr>
                <w:rFonts w:ascii="Courier New" w:cs="Courier New" w:eastAsia="Courier New" w:hAnsi="Courier New"/>
                <w:sz w:val="17"/>
                <w:szCs w:val="17"/>
                <w:color w:val="auto"/>
              </w:rPr>
              <w:t>$5/492</w:t>
            </w: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Project</w:t>
            </w:r>
          </w:p>
        </w:tc>
        <w:tc>
          <w:tcPr>
            <w:tcW w:w="12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Processing</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Solutions</w:t>
            </w:r>
          </w:p>
        </w:tc>
        <w:tc>
          <w:tcPr>
            <w:tcW w:w="1100" w:type="dxa"/>
            <w:vAlign w:val="bottom"/>
          </w:tcPr>
          <w:p>
            <w:pPr>
              <w:spacing w:after="0"/>
              <w:rPr>
                <w:sz w:val="16"/>
                <w:szCs w:val="16"/>
                <w:color w:val="auto"/>
              </w:rPr>
            </w:pP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engineer</w:t>
            </w:r>
          </w:p>
        </w:tc>
        <w:tc>
          <w:tcPr>
            <w:tcW w:w="1160" w:type="dxa"/>
            <w:vAlign w:val="bottom"/>
          </w:tcPr>
          <w:p>
            <w:pPr>
              <w:spacing w:after="0" w:line="191" w:lineRule="exact"/>
              <w:rPr>
                <w:sz w:val="20"/>
                <w:szCs w:val="20"/>
                <w:color w:val="auto"/>
              </w:rPr>
            </w:pPr>
            <w:r>
              <w:rPr>
                <w:rFonts w:ascii="Courier New" w:cs="Courier New" w:eastAsia="Courier New" w:hAnsi="Courier New"/>
                <w:sz w:val="17"/>
                <w:szCs w:val="17"/>
                <w:color w:val="auto"/>
              </w:rPr>
              <w:t>completed</w:t>
            </w:r>
          </w:p>
        </w:tc>
        <w:tc>
          <w:tcPr>
            <w:tcW w:w="1240" w:type="dxa"/>
            <w:vAlign w:val="bottom"/>
          </w:tcPr>
          <w:p>
            <w:pPr>
              <w:spacing w:after="0"/>
              <w:rPr>
                <w:sz w:val="16"/>
                <w:szCs w:val="16"/>
                <w:color w:val="auto"/>
              </w:rPr>
            </w:pP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Ltd.</w:t>
            </w:r>
          </w:p>
        </w:tc>
        <w:tc>
          <w:tcPr>
            <w:tcW w:w="26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and Internet</w:t>
            </w: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months</w:t>
            </w: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telephony</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software</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for cable</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6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modems, etc.</w:t>
            </w: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26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for Internet</w:t>
            </w: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spacing w:after="0"/>
              <w:rPr>
                <w:sz w:val="16"/>
                <w:szCs w:val="16"/>
                <w:color w:val="auto"/>
              </w:rPr>
            </w:pP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access</w:t>
            </w:r>
          </w:p>
        </w:tc>
        <w:tc>
          <w:tcPr>
            <w:tcW w:w="1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3"/>
        </w:trPr>
        <w:tc>
          <w:tcPr>
            <w:tcW w:w="1700" w:type="dxa"/>
            <w:vAlign w:val="bottom"/>
          </w:tcPr>
          <w:p>
            <w:pPr>
              <w:spacing w:after="0"/>
              <w:rPr>
                <w:sz w:val="20"/>
                <w:szCs w:val="20"/>
                <w:color w:val="auto"/>
              </w:rPr>
            </w:pPr>
            <w:r>
              <w:rPr>
                <w:rFonts w:ascii="Courier New" w:cs="Courier New" w:eastAsia="Courier New" w:hAnsi="Courier New"/>
                <w:sz w:val="17"/>
                <w:szCs w:val="17"/>
                <w:color w:val="auto"/>
              </w:rPr>
              <w:t>Integrated</w:t>
            </w:r>
          </w:p>
        </w:tc>
        <w:tc>
          <w:tcPr>
            <w:tcW w:w="1580" w:type="dxa"/>
            <w:vAlign w:val="bottom"/>
          </w:tcPr>
          <w:p>
            <w:pPr>
              <w:ind w:left="480"/>
              <w:spacing w:after="0"/>
              <w:rPr>
                <w:sz w:val="20"/>
                <w:szCs w:val="20"/>
                <w:color w:val="auto"/>
              </w:rPr>
            </w:pPr>
            <w:r>
              <w:rPr>
                <w:rFonts w:ascii="Courier New" w:cs="Courier New" w:eastAsia="Courier New" w:hAnsi="Courier New"/>
                <w:sz w:val="17"/>
                <w:szCs w:val="17"/>
                <w:color w:val="auto"/>
                <w:w w:val="96"/>
              </w:rPr>
              <w:t>Intelligent</w:t>
            </w:r>
          </w:p>
        </w:tc>
        <w:tc>
          <w:tcPr>
            <w:tcW w:w="11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25%</w:t>
            </w:r>
          </w:p>
        </w:tc>
        <w:tc>
          <w:tcPr>
            <w:tcW w:w="1480" w:type="dxa"/>
            <w:vAlign w:val="bottom"/>
          </w:tcPr>
          <w:p>
            <w:pPr>
              <w:ind w:left="300"/>
              <w:spacing w:after="0"/>
              <w:rPr>
                <w:sz w:val="20"/>
                <w:szCs w:val="20"/>
                <w:color w:val="auto"/>
              </w:rPr>
            </w:pPr>
            <w:r>
              <w:rPr>
                <w:rFonts w:ascii="Courier New" w:cs="Courier New" w:eastAsia="Courier New" w:hAnsi="Courier New"/>
                <w:sz w:val="17"/>
                <w:szCs w:val="17"/>
                <w:color w:val="auto"/>
              </w:rPr>
              <w:t>$4/233</w:t>
            </w: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Project</w:t>
            </w:r>
          </w:p>
        </w:tc>
        <w:tc>
          <w:tcPr>
            <w:tcW w:w="1240" w:type="dxa"/>
            <w:vAlign w:val="bottom"/>
          </w:tcPr>
          <w:p>
            <w:pPr>
              <w:jc w:val="center"/>
              <w:ind w:right="77"/>
              <w:spacing w:after="0"/>
              <w:rPr>
                <w:sz w:val="20"/>
                <w:szCs w:val="20"/>
                <w:color w:val="auto"/>
              </w:rPr>
            </w:pPr>
            <w:r>
              <w:rPr>
                <w:rFonts w:ascii="Courier New" w:cs="Courier New" w:eastAsia="Courier New" w:hAnsi="Courier New"/>
                <w:sz w:val="17"/>
                <w:szCs w:val="17"/>
                <w:color w:val="auto"/>
                <w:w w:val="97"/>
              </w:rPr>
              <w:t>2000</w:t>
            </w: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Sensor</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sensors</w:t>
            </w:r>
          </w:p>
        </w:tc>
        <w:tc>
          <w:tcPr>
            <w:tcW w:w="1100" w:type="dxa"/>
            <w:vAlign w:val="bottom"/>
          </w:tcPr>
          <w:p>
            <w:pPr>
              <w:spacing w:after="0"/>
              <w:rPr>
                <w:sz w:val="16"/>
                <w:szCs w:val="16"/>
                <w:color w:val="auto"/>
              </w:rPr>
            </w:pP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engineer</w:t>
            </w:r>
          </w:p>
        </w:tc>
        <w:tc>
          <w:tcPr>
            <w:tcW w:w="1160" w:type="dxa"/>
            <w:vAlign w:val="bottom"/>
          </w:tcPr>
          <w:p>
            <w:pPr>
              <w:spacing w:after="0" w:line="191" w:lineRule="exact"/>
              <w:rPr>
                <w:sz w:val="20"/>
                <w:szCs w:val="20"/>
                <w:color w:val="auto"/>
              </w:rPr>
            </w:pPr>
            <w:r>
              <w:rPr>
                <w:rFonts w:ascii="Courier New" w:cs="Courier New" w:eastAsia="Courier New" w:hAnsi="Courier New"/>
                <w:sz w:val="17"/>
                <w:szCs w:val="17"/>
                <w:color w:val="auto"/>
              </w:rPr>
              <w:t>completed</w:t>
            </w:r>
          </w:p>
        </w:tc>
        <w:tc>
          <w:tcPr>
            <w:tcW w:w="1240" w:type="dxa"/>
            <w:vAlign w:val="bottom"/>
          </w:tcPr>
          <w:p>
            <w:pPr>
              <w:spacing w:after="0"/>
              <w:rPr>
                <w:sz w:val="16"/>
                <w:szCs w:val="16"/>
                <w:color w:val="auto"/>
              </w:rPr>
            </w:pP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Solutions,</w:t>
            </w:r>
          </w:p>
        </w:tc>
        <w:tc>
          <w:tcPr>
            <w:tcW w:w="1580" w:type="dxa"/>
            <w:vAlign w:val="bottom"/>
          </w:tcPr>
          <w:p>
            <w:pPr>
              <w:ind w:left="480"/>
              <w:spacing w:after="0" w:line="191" w:lineRule="exact"/>
              <w:rPr>
                <w:sz w:val="20"/>
                <w:szCs w:val="20"/>
                <w:color w:val="auto"/>
              </w:rPr>
            </w:pPr>
            <w:r>
              <w:rPr>
                <w:rFonts w:ascii="Courier New" w:cs="Courier New" w:eastAsia="Courier New" w:hAnsi="Courier New"/>
                <w:sz w:val="17"/>
                <w:szCs w:val="17"/>
                <w:color w:val="auto"/>
              </w:rPr>
              <w:t>for auto/</w:t>
            </w:r>
          </w:p>
        </w:tc>
        <w:tc>
          <w:tcPr>
            <w:tcW w:w="1100" w:type="dxa"/>
            <w:vAlign w:val="bottom"/>
          </w:tcPr>
          <w:p>
            <w:pPr>
              <w:spacing w:after="0"/>
              <w:rPr>
                <w:sz w:val="16"/>
                <w:szCs w:val="16"/>
                <w:color w:val="auto"/>
              </w:rPr>
            </w:pPr>
          </w:p>
        </w:tc>
        <w:tc>
          <w:tcPr>
            <w:tcW w:w="14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months</w:t>
            </w: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17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2680" w:type="dxa"/>
            <w:vAlign w:val="bottom"/>
            <w:gridSpan w:val="2"/>
          </w:tcPr>
          <w:p>
            <w:pPr>
              <w:ind w:left="480"/>
              <w:spacing w:after="0" w:line="191" w:lineRule="exact"/>
              <w:rPr>
                <w:sz w:val="20"/>
                <w:szCs w:val="20"/>
                <w:color w:val="auto"/>
              </w:rPr>
            </w:pPr>
            <w:r>
              <w:rPr>
                <w:rFonts w:ascii="Courier New" w:cs="Courier New" w:eastAsia="Courier New" w:hAnsi="Courier New"/>
                <w:sz w:val="17"/>
                <w:szCs w:val="17"/>
                <w:color w:val="auto"/>
              </w:rPr>
              <w:t>ind. markets</w:t>
            </w:r>
          </w:p>
        </w:tc>
        <w:tc>
          <w:tcPr>
            <w:tcW w:w="1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ectPr>
          <w:pgSz w:w="11900" w:h="16838" w:orient="portrait"/>
          <w:cols w:equalWidth="0" w:num="1">
            <w:col w:w="10219"/>
          </w:cols>
          <w:pgMar w:left="240" w:top="1257" w:right="1440" w:bottom="0" w:gutter="0" w:footer="0" w:header="0"/>
          <w:type w:val="continuous"/>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Alantro</w:t>
            </w:r>
          </w:p>
        </w:tc>
        <w:tc>
          <w:tcPr>
            <w:tcW w:w="1940" w:type="dxa"/>
            <w:vAlign w:val="bottom"/>
          </w:tcPr>
          <w:p>
            <w:pPr>
              <w:ind w:left="580"/>
              <w:spacing w:after="0"/>
              <w:rPr>
                <w:sz w:val="20"/>
                <w:szCs w:val="20"/>
                <w:color w:val="auto"/>
              </w:rPr>
            </w:pPr>
            <w:r>
              <w:rPr>
                <w:rFonts w:ascii="Courier New" w:cs="Courier New" w:eastAsia="Courier New" w:hAnsi="Courier New"/>
                <w:sz w:val="17"/>
                <w:szCs w:val="17"/>
                <w:color w:val="auto"/>
              </w:rPr>
              <w:t>Wireless</w:t>
            </w:r>
          </w:p>
        </w:tc>
        <w:tc>
          <w:tcPr>
            <w:tcW w:w="7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24%</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$2.9/</w:t>
            </w:r>
          </w:p>
        </w:tc>
        <w:tc>
          <w:tcPr>
            <w:tcW w:w="1340" w:type="dxa"/>
            <w:vAlign w:val="bottom"/>
          </w:tcPr>
          <w:p>
            <w:pPr>
              <w:ind w:left="180"/>
              <w:spacing w:after="0"/>
              <w:rPr>
                <w:sz w:val="20"/>
                <w:szCs w:val="20"/>
                <w:color w:val="auto"/>
              </w:rPr>
            </w:pPr>
            <w:r>
              <w:rPr>
                <w:rFonts w:ascii="Courier New" w:cs="Courier New" w:eastAsia="Courier New" w:hAnsi="Courier New"/>
                <w:sz w:val="17"/>
                <w:szCs w:val="17"/>
                <w:color w:val="auto"/>
              </w:rPr>
              <w:t>$2.3/138</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2002</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Commun-</w:t>
            </w: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networking</w:t>
            </w:r>
          </w:p>
        </w:tc>
        <w:tc>
          <w:tcPr>
            <w:tcW w:w="740" w:type="dxa"/>
            <w:vAlign w:val="bottom"/>
          </w:tcPr>
          <w:p>
            <w:pPr>
              <w:spacing w:after="0"/>
              <w:rPr>
                <w:sz w:val="16"/>
                <w:szCs w:val="16"/>
                <w:color w:val="auto"/>
              </w:rPr>
            </w:pP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172</w:t>
            </w:r>
          </w:p>
        </w:tc>
        <w:tc>
          <w:tcPr>
            <w:tcW w:w="13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engineer</w:t>
            </w:r>
          </w:p>
        </w:tc>
        <w:tc>
          <w:tcPr>
            <w:tcW w:w="7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ications,</w:t>
            </w: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technology</w:t>
            </w:r>
          </w:p>
        </w:tc>
        <w:tc>
          <w:tcPr>
            <w:tcW w:w="740" w:type="dxa"/>
            <w:vAlign w:val="bottom"/>
          </w:tcPr>
          <w:p>
            <w:pPr>
              <w:spacing w:after="0"/>
              <w:rPr>
                <w:sz w:val="16"/>
                <w:szCs w:val="16"/>
                <w:color w:val="auto"/>
              </w:rPr>
            </w:pP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engineer</w:t>
            </w:r>
          </w:p>
        </w:tc>
        <w:tc>
          <w:tcPr>
            <w:tcW w:w="13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months</w:t>
            </w:r>
          </w:p>
        </w:tc>
        <w:tc>
          <w:tcPr>
            <w:tcW w:w="7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for home</w:t>
            </w:r>
          </w:p>
        </w:tc>
        <w:tc>
          <w:tcPr>
            <w:tcW w:w="740" w:type="dxa"/>
            <w:vAlign w:val="bottom"/>
          </w:tcPr>
          <w:p>
            <w:pPr>
              <w:spacing w:after="0"/>
              <w:rPr>
                <w:sz w:val="16"/>
                <w:szCs w:val="16"/>
                <w:color w:val="auto"/>
              </w:rPr>
            </w:pP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months</w:t>
            </w: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and office</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383"/>
        </w:trPr>
        <w:tc>
          <w:tcPr>
            <w:tcW w:w="1600" w:type="dxa"/>
            <w:vAlign w:val="bottom"/>
          </w:tcPr>
          <w:p>
            <w:pPr>
              <w:spacing w:after="0"/>
              <w:rPr>
                <w:sz w:val="20"/>
                <w:szCs w:val="20"/>
                <w:color w:val="auto"/>
              </w:rPr>
            </w:pPr>
            <w:r>
              <w:rPr>
                <w:rFonts w:ascii="Courier New" w:cs="Courier New" w:eastAsia="Courier New" w:hAnsi="Courier New"/>
                <w:sz w:val="17"/>
                <w:szCs w:val="17"/>
                <w:color w:val="auto"/>
              </w:rPr>
              <w:t>Dot</w:t>
            </w:r>
          </w:p>
        </w:tc>
        <w:tc>
          <w:tcPr>
            <w:tcW w:w="1940" w:type="dxa"/>
            <w:vAlign w:val="bottom"/>
          </w:tcPr>
          <w:p>
            <w:pPr>
              <w:ind w:left="580"/>
              <w:spacing w:after="0"/>
              <w:rPr>
                <w:sz w:val="20"/>
                <w:szCs w:val="20"/>
                <w:color w:val="auto"/>
              </w:rPr>
            </w:pPr>
            <w:r>
              <w:rPr>
                <w:rFonts w:ascii="Courier New" w:cs="Courier New" w:eastAsia="Courier New" w:hAnsi="Courier New"/>
                <w:sz w:val="17"/>
                <w:szCs w:val="17"/>
                <w:color w:val="auto"/>
              </w:rPr>
              <w:t>Architec-</w:t>
            </w:r>
          </w:p>
        </w:tc>
        <w:tc>
          <w:tcPr>
            <w:tcW w:w="74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20%</w:t>
            </w:r>
          </w:p>
        </w:tc>
        <w:tc>
          <w:tcPr>
            <w:tcW w:w="1400" w:type="dxa"/>
            <w:vAlign w:val="bottom"/>
          </w:tcPr>
          <w:p>
            <w:pPr>
              <w:ind w:left="400"/>
              <w:spacing w:after="0"/>
              <w:rPr>
                <w:sz w:val="20"/>
                <w:szCs w:val="20"/>
                <w:color w:val="auto"/>
              </w:rPr>
            </w:pPr>
            <w:r>
              <w:rPr>
                <w:rFonts w:ascii="Courier New" w:cs="Courier New" w:eastAsia="Courier New" w:hAnsi="Courier New"/>
                <w:sz w:val="17"/>
                <w:szCs w:val="17"/>
                <w:color w:val="auto"/>
              </w:rPr>
              <w:t>$4.1/</w:t>
            </w:r>
          </w:p>
        </w:tc>
        <w:tc>
          <w:tcPr>
            <w:tcW w:w="1340" w:type="dxa"/>
            <w:vAlign w:val="bottom"/>
          </w:tcPr>
          <w:p>
            <w:pPr>
              <w:ind w:left="180"/>
              <w:spacing w:after="0"/>
              <w:rPr>
                <w:sz w:val="20"/>
                <w:szCs w:val="20"/>
                <w:color w:val="auto"/>
              </w:rPr>
            </w:pPr>
            <w:r>
              <w:rPr>
                <w:rFonts w:ascii="Courier New" w:cs="Courier New" w:eastAsia="Courier New" w:hAnsi="Courier New"/>
                <w:sz w:val="17"/>
                <w:szCs w:val="17"/>
                <w:color w:val="auto"/>
              </w:rPr>
              <w:t>$3.5/219</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2003</w:t>
            </w: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Wireless,</w:t>
            </w: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ture for</w:t>
            </w:r>
          </w:p>
        </w:tc>
        <w:tc>
          <w:tcPr>
            <w:tcW w:w="740" w:type="dxa"/>
            <w:vAlign w:val="bottom"/>
          </w:tcPr>
          <w:p>
            <w:pPr>
              <w:spacing w:after="0"/>
              <w:rPr>
                <w:sz w:val="16"/>
                <w:szCs w:val="16"/>
                <w:color w:val="auto"/>
              </w:rPr>
            </w:pP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256</w:t>
            </w:r>
          </w:p>
        </w:tc>
        <w:tc>
          <w:tcPr>
            <w:tcW w:w="13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engineer</w:t>
            </w:r>
          </w:p>
        </w:tc>
        <w:tc>
          <w:tcPr>
            <w:tcW w:w="740" w:type="dxa"/>
            <w:vAlign w:val="bottom"/>
          </w:tcPr>
          <w:p>
            <w:pPr>
              <w:spacing w:after="0"/>
              <w:rPr>
                <w:sz w:val="16"/>
                <w:szCs w:val="16"/>
                <w:color w:val="auto"/>
              </w:rPr>
            </w:pPr>
          </w:p>
        </w:tc>
      </w:tr>
      <w:tr>
        <w:trPr>
          <w:trHeight w:val="191"/>
        </w:trPr>
        <w:tc>
          <w:tcPr>
            <w:tcW w:w="160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Inc.</w:t>
            </w: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third</w:t>
            </w:r>
          </w:p>
        </w:tc>
        <w:tc>
          <w:tcPr>
            <w:tcW w:w="740" w:type="dxa"/>
            <w:vAlign w:val="bottom"/>
          </w:tcPr>
          <w:p>
            <w:pPr>
              <w:spacing w:after="0"/>
              <w:rPr>
                <w:sz w:val="16"/>
                <w:szCs w:val="16"/>
                <w:color w:val="auto"/>
              </w:rPr>
            </w:pP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engineer</w:t>
            </w:r>
          </w:p>
        </w:tc>
        <w:tc>
          <w:tcPr>
            <w:tcW w:w="1340" w:type="dxa"/>
            <w:vAlign w:val="bottom"/>
          </w:tcPr>
          <w:p>
            <w:pPr>
              <w:ind w:left="180"/>
              <w:spacing w:after="0" w:line="191" w:lineRule="exact"/>
              <w:rPr>
                <w:sz w:val="20"/>
                <w:szCs w:val="20"/>
                <w:color w:val="auto"/>
              </w:rPr>
            </w:pPr>
            <w:r>
              <w:rPr>
                <w:rFonts w:ascii="Courier New" w:cs="Courier New" w:eastAsia="Courier New" w:hAnsi="Courier New"/>
                <w:sz w:val="17"/>
                <w:szCs w:val="17"/>
                <w:color w:val="auto"/>
              </w:rPr>
              <w:t>months</w:t>
            </w: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generation</w:t>
            </w:r>
          </w:p>
        </w:tc>
        <w:tc>
          <w:tcPr>
            <w:tcW w:w="740" w:type="dxa"/>
            <w:vAlign w:val="bottom"/>
          </w:tcPr>
          <w:p>
            <w:pPr>
              <w:spacing w:after="0"/>
              <w:rPr>
                <w:sz w:val="16"/>
                <w:szCs w:val="16"/>
                <w:color w:val="auto"/>
              </w:rPr>
            </w:pPr>
          </w:p>
        </w:tc>
        <w:tc>
          <w:tcPr>
            <w:tcW w:w="14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months</w:t>
            </w: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(3G) wireless</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devices for</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delivering</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voice and</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high speed</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data to</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1"/>
        </w:trPr>
        <w:tc>
          <w:tcPr>
            <w:tcW w:w="1600" w:type="dxa"/>
            <w:vAlign w:val="bottom"/>
          </w:tcPr>
          <w:p>
            <w:pPr>
              <w:spacing w:after="0"/>
              <w:rPr>
                <w:sz w:val="16"/>
                <w:szCs w:val="16"/>
                <w:color w:val="auto"/>
              </w:rPr>
            </w:pPr>
          </w:p>
        </w:tc>
        <w:tc>
          <w:tcPr>
            <w:tcW w:w="1940" w:type="dxa"/>
            <w:vAlign w:val="bottom"/>
          </w:tcPr>
          <w:p>
            <w:pPr>
              <w:ind w:left="580"/>
              <w:spacing w:after="0" w:line="191" w:lineRule="exact"/>
              <w:rPr>
                <w:sz w:val="20"/>
                <w:szCs w:val="20"/>
                <w:color w:val="auto"/>
              </w:rPr>
            </w:pPr>
            <w:r>
              <w:rPr>
                <w:rFonts w:ascii="Courier New" w:cs="Courier New" w:eastAsia="Courier New" w:hAnsi="Courier New"/>
                <w:sz w:val="17"/>
                <w:szCs w:val="17"/>
                <w:color w:val="auto"/>
              </w:rPr>
              <w:t>mobile users</w:t>
            </w: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7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135" w:right="1440" w:bottom="1440" w:gutter="0" w:footer="0" w:header="0"/>
        </w:sectPr>
      </w:pPr>
    </w:p>
    <w:bookmarkStart w:id="29" w:name="page30"/>
    <w:bookmarkEnd w:id="29"/>
    <w:p>
      <w:pPr>
        <w:spacing w:after="0"/>
        <w:tabs>
          <w:tab w:leader="none" w:pos="880" w:val="left"/>
        </w:tabs>
        <w:rPr>
          <w:sz w:val="20"/>
          <w:szCs w:val="20"/>
          <w:color w:val="auto"/>
        </w:rPr>
      </w:pPr>
      <w:r>
        <w:rPr>
          <w:rFonts w:ascii="Courier New" w:cs="Courier New" w:eastAsia="Courier New" w:hAnsi="Courier New"/>
          <w:sz w:val="17"/>
          <w:szCs w:val="17"/>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p>
    <w:p>
      <w:pPr>
        <w:spacing w:after="0" w:line="196"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Information concerning market risk is contained on pages B-35 and B-36 of the Registrant's proxy statement for the 2000 annual meeting of stockholders and is incorporated by reference to such proxy statement.</w:t>
      </w:r>
    </w:p>
    <w:p>
      <w:pPr>
        <w:spacing w:after="0" w:line="190"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PART II - OTHER INFORMATION</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p>
    <w:p>
      <w:pPr>
        <w:spacing w:after="0" w:line="196" w:lineRule="exact"/>
        <w:rPr>
          <w:sz w:val="20"/>
          <w:szCs w:val="20"/>
          <w:color w:val="auto"/>
        </w:rPr>
      </w:pPr>
    </w:p>
    <w:p>
      <w:pPr>
        <w:ind w:right="2559"/>
        <w:spacing w:after="0" w:line="254" w:lineRule="auto"/>
        <w:rPr>
          <w:sz w:val="20"/>
          <w:szCs w:val="20"/>
          <w:color w:val="auto"/>
        </w:rPr>
      </w:pPr>
      <w:r>
        <w:rPr>
          <w:rFonts w:ascii="Courier New" w:cs="Courier New" w:eastAsia="Courier New" w:hAnsi="Courier New"/>
          <w:sz w:val="16"/>
          <w:szCs w:val="16"/>
          <w:color w:val="auto"/>
        </w:rPr>
        <w:t>On August 31, 2000, the Registrant acquired all the outstanding shares of the capital stock of Dot Wireless, Inc., a California corporation, in exchange for approximately 6.8 million shares of TI common stock. The offer and sale of the shares of TI common stock described above were effected without registration in reliance on the exemption afforded by section 3(a)(10) of the Securities Act of 1933, as amended. The issuance was approved, after a hearing upon the fairness of the terms and conditions of the transaction, by the California Commissioner of Corporations under authority to grant such approval as expressly authorized by the laws of the State of California.</w:t>
      </w:r>
    </w:p>
    <w:p>
      <w:pPr>
        <w:spacing w:after="0" w:line="18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On September 8, 2000, the Registrant acquired all the outstanding shares of the capital stock of Alantro Communications, Inc., a California corporation, in exchange for approximately 4.2 million shares of TI common stock. The offer and sale of the shares of TI common stock described above were effected without registration in reliance on the exemption afforded by section 3(a)(10) of the Securities Act of 1933, as amended. The issuance was approved, after a hearing upon the fairness of the terms and conditions of the transaction, by the California Commissioner of Corporations under authority to grant such approval as expressly authorized by the laws of the State of California.</w:t>
      </w:r>
    </w:p>
    <w:p>
      <w:pPr>
        <w:spacing w:after="0" w:line="19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0" w:lineRule="exact"/>
        <w:rPr>
          <w:sz w:val="20"/>
          <w:szCs w:val="20"/>
          <w:color w:val="auto"/>
        </w:rPr>
      </w:pPr>
    </w:p>
    <w:p>
      <w:pPr>
        <w:ind w:left="1300" w:hanging="502"/>
        <w:spacing w:after="0"/>
        <w:tabs>
          <w:tab w:leader="none" w:pos="130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ectPr>
          <w:pgSz w:w="11900" w:h="16838" w:orient="portrait"/>
          <w:cols w:equalWidth="0" w:num="1">
            <w:col w:w="10219"/>
          </w:cols>
          <w:pgMar w:left="240" w:top="68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Designation of</w:t>
      </w:r>
    </w:p>
    <w:p>
      <w:pPr>
        <w:spacing w:after="0" w:line="3"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Exhibits in</w:t>
      </w:r>
    </w:p>
    <w:p>
      <w:pPr>
        <w:ind w:left="1400"/>
        <w:spacing w:after="0" w:line="238" w:lineRule="auto"/>
        <w:rPr>
          <w:sz w:val="20"/>
          <w:szCs w:val="20"/>
          <w:color w:val="auto"/>
        </w:rPr>
      </w:pPr>
      <w:r>
        <w:rPr>
          <w:rFonts w:ascii="Courier New" w:cs="Courier New" w:eastAsia="Courier New" w:hAnsi="Courier New"/>
          <w:sz w:val="17"/>
          <w:szCs w:val="17"/>
          <w:color w:val="auto"/>
        </w:rPr>
        <w:t>this Report</w:t>
      </w:r>
    </w:p>
    <w:p>
      <w:pPr>
        <w:spacing w:after="0" w:line="5" w:lineRule="exact"/>
        <w:rPr>
          <w:sz w:val="20"/>
          <w:szCs w:val="20"/>
          <w:color w:val="auto"/>
        </w:rPr>
      </w:pPr>
    </w:p>
    <w:p>
      <w:pPr>
        <w:ind w:left="1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0"/>
        <w:spacing w:after="0"/>
        <w:rPr>
          <w:sz w:val="20"/>
          <w:szCs w:val="20"/>
          <w:color w:val="auto"/>
        </w:rPr>
      </w:pPr>
      <w:r>
        <w:rPr>
          <w:rFonts w:ascii="Courier New" w:cs="Courier New" w:eastAsia="Courier New" w:hAnsi="Courier New"/>
          <w:sz w:val="17"/>
          <w:szCs w:val="17"/>
          <w:color w:val="auto"/>
        </w:rPr>
        <w:t>Description of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580" w:space="600"/>
            <w:col w:w="7039"/>
          </w:cols>
          <w:pgMar w:left="240" w:top="683" w:right="1440" w:bottom="1440" w:gutter="0" w:footer="0" w:header="0"/>
          <w:type w:val="continuous"/>
        </w:sectPr>
      </w:pPr>
    </w:p>
    <w:p>
      <w:pPr>
        <w:spacing w:after="0" w:line="1" w:lineRule="exact"/>
        <w:rPr>
          <w:sz w:val="20"/>
          <w:szCs w:val="20"/>
          <w:color w:val="auto"/>
        </w:rPr>
      </w:pPr>
    </w:p>
    <w:p>
      <w:pPr>
        <w:ind w:left="3180" w:right="2859" w:hanging="1487"/>
        <w:spacing w:after="0" w:line="235" w:lineRule="auto"/>
        <w:tabs>
          <w:tab w:leader="none" w:pos="318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and Dilutive Potential Common Share</w:t>
      </w:r>
    </w:p>
    <w:p>
      <w:pPr>
        <w:spacing w:after="0" w:line="196" w:lineRule="exact"/>
        <w:rPr>
          <w:rFonts w:ascii="Courier New" w:cs="Courier New" w:eastAsia="Courier New" w:hAnsi="Courier New"/>
          <w:sz w:val="17"/>
          <w:szCs w:val="17"/>
          <w:color w:val="auto"/>
        </w:rPr>
      </w:pPr>
    </w:p>
    <w:p>
      <w:pPr>
        <w:ind w:left="3180" w:right="2959" w:hanging="1487"/>
        <w:spacing w:after="0" w:line="235" w:lineRule="auto"/>
        <w:tabs>
          <w:tab w:leader="none" w:pos="318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Computation of Ratio of Earnings to Fixed Charges</w:t>
      </w:r>
    </w:p>
    <w:p>
      <w:pPr>
        <w:spacing w:after="0" w:line="190" w:lineRule="exact"/>
        <w:rPr>
          <w:sz w:val="20"/>
          <w:szCs w:val="20"/>
          <w:color w:val="auto"/>
        </w:rPr>
      </w:pPr>
    </w:p>
    <w:tbl>
      <w:tblPr>
        <w:tblLayout w:type="fixed"/>
        <w:tblInd w:w="1700" w:type="dxa"/>
        <w:tblCellMar>
          <w:top w:w="0" w:type="dxa"/>
          <w:left w:w="0" w:type="dxa"/>
          <w:bottom w:w="0" w:type="dxa"/>
          <w:right w:w="0" w:type="dxa"/>
        </w:tblCellMar>
      </w:tblPr>
      <w:tr>
        <w:trPr>
          <w:trHeight w:val="193"/>
        </w:trPr>
        <w:tc>
          <w:tcPr>
            <w:tcW w:w="940" w:type="dxa"/>
            <w:vAlign w:val="bottom"/>
          </w:tcPr>
          <w:p>
            <w:pPr>
              <w:spacing w:after="0"/>
              <w:rPr>
                <w:sz w:val="20"/>
                <w:szCs w:val="20"/>
                <w:color w:val="auto"/>
              </w:rPr>
            </w:pPr>
            <w:r>
              <w:rPr>
                <w:rFonts w:ascii="Courier New" w:cs="Courier New" w:eastAsia="Courier New" w:hAnsi="Courier New"/>
                <w:sz w:val="17"/>
                <w:szCs w:val="17"/>
                <w:color w:val="auto"/>
              </w:rPr>
              <w:t>27</w:t>
            </w:r>
          </w:p>
        </w:tc>
        <w:tc>
          <w:tcPr>
            <w:tcW w:w="4420" w:type="dxa"/>
            <w:vAlign w:val="bottom"/>
          </w:tcPr>
          <w:p>
            <w:pPr>
              <w:ind w:left="540"/>
              <w:spacing w:after="0"/>
              <w:rPr>
                <w:sz w:val="20"/>
                <w:szCs w:val="20"/>
                <w:color w:val="auto"/>
              </w:rPr>
            </w:pPr>
            <w:r>
              <w:rPr>
                <w:rFonts w:ascii="Courier New" w:cs="Courier New" w:eastAsia="Courier New" w:hAnsi="Courier New"/>
                <w:sz w:val="17"/>
                <w:szCs w:val="17"/>
                <w:color w:val="auto"/>
              </w:rPr>
              <w:t>Financial Data Schedule</w:t>
            </w:r>
          </w:p>
        </w:tc>
      </w:tr>
      <w:tr>
        <w:trPr>
          <w:trHeight w:val="383"/>
        </w:trPr>
        <w:tc>
          <w:tcPr>
            <w:tcW w:w="940" w:type="dxa"/>
            <w:vAlign w:val="bottom"/>
          </w:tcPr>
          <w:p>
            <w:pPr>
              <w:spacing w:after="0"/>
              <w:rPr>
                <w:sz w:val="20"/>
                <w:szCs w:val="20"/>
                <w:color w:val="auto"/>
              </w:rPr>
            </w:pPr>
            <w:r>
              <w:rPr>
                <w:rFonts w:ascii="Courier New" w:cs="Courier New" w:eastAsia="Courier New" w:hAnsi="Courier New"/>
                <w:sz w:val="17"/>
                <w:szCs w:val="17"/>
                <w:color w:val="auto"/>
              </w:rPr>
              <w:t>27.1</w:t>
            </w:r>
          </w:p>
        </w:tc>
        <w:tc>
          <w:tcPr>
            <w:tcW w:w="4420" w:type="dxa"/>
            <w:vAlign w:val="bottom"/>
          </w:tcPr>
          <w:p>
            <w:pPr>
              <w:ind w:left="540"/>
              <w:spacing w:after="0"/>
              <w:rPr>
                <w:sz w:val="20"/>
                <w:szCs w:val="20"/>
                <w:color w:val="auto"/>
              </w:rPr>
            </w:pPr>
            <w:r>
              <w:rPr>
                <w:rFonts w:ascii="Courier New" w:cs="Courier New" w:eastAsia="Courier New" w:hAnsi="Courier New"/>
                <w:sz w:val="17"/>
                <w:szCs w:val="17"/>
                <w:color w:val="auto"/>
                <w:w w:val="99"/>
              </w:rPr>
              <w:t>Restated Financial Data Schedule as of</w:t>
            </w:r>
          </w:p>
        </w:tc>
      </w:tr>
      <w:tr>
        <w:trPr>
          <w:trHeight w:val="191"/>
        </w:trPr>
        <w:tc>
          <w:tcPr>
            <w:tcW w:w="940" w:type="dxa"/>
            <w:vAlign w:val="bottom"/>
          </w:tcPr>
          <w:p>
            <w:pPr>
              <w:spacing w:after="0"/>
              <w:rPr>
                <w:sz w:val="16"/>
                <w:szCs w:val="16"/>
                <w:color w:val="auto"/>
              </w:rPr>
            </w:pPr>
          </w:p>
        </w:tc>
        <w:tc>
          <w:tcPr>
            <w:tcW w:w="442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97"/>
              </w:rPr>
              <w:t>September 30, 1999 and for the 9 months</w:t>
            </w:r>
          </w:p>
        </w:tc>
      </w:tr>
      <w:tr>
        <w:trPr>
          <w:trHeight w:val="191"/>
        </w:trPr>
        <w:tc>
          <w:tcPr>
            <w:tcW w:w="940" w:type="dxa"/>
            <w:vAlign w:val="bottom"/>
          </w:tcPr>
          <w:p>
            <w:pPr>
              <w:spacing w:after="0"/>
              <w:rPr>
                <w:sz w:val="16"/>
                <w:szCs w:val="16"/>
                <w:color w:val="auto"/>
              </w:rPr>
            </w:pPr>
          </w:p>
        </w:tc>
        <w:tc>
          <w:tcPr>
            <w:tcW w:w="442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rPr>
              <w:t>then ended.</w:t>
            </w:r>
          </w:p>
        </w:tc>
      </w:tr>
    </w:tbl>
    <w:p>
      <w:pPr>
        <w:spacing w:after="0" w:line="381" w:lineRule="exact"/>
        <w:rPr>
          <w:sz w:val="20"/>
          <w:szCs w:val="20"/>
          <w:color w:val="auto"/>
        </w:rPr>
      </w:pPr>
    </w:p>
    <w:p>
      <w:pPr>
        <w:ind w:left="1500" w:hanging="504"/>
        <w:spacing w:after="0"/>
        <w:tabs>
          <w:tab w:leader="none" w:pos="150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196"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The Registrant filed the following reports on Form 8-K with the Securities and Exchange Commission during the quarter ended September 30, 2000: Form 8-K filed July 6, 2000, which included a news release regarding Registrant's acquisition of Burr-Brown Corporation; and Form 8-K filed August 31, 2000, which included a news release regarding the closing of Registrant's acquisition of Burr-Brown Corporation.</w:t>
      </w:r>
    </w:p>
    <w:p>
      <w:pPr>
        <w:spacing w:after="0" w:line="191"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683" w:right="1440" w:bottom="1440" w:gutter="0" w:footer="0" w:header="0"/>
          <w:type w:val="continuous"/>
        </w:sectPr>
      </w:pPr>
    </w:p>
    <w:bookmarkStart w:id="30" w:name="page31"/>
    <w:bookmarkEnd w:id="30"/>
    <w:p>
      <w:pPr>
        <w:ind w:right="2559"/>
        <w:spacing w:after="0" w:line="235"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w:t>
      </w:r>
    </w:p>
    <w:p>
      <w:pPr>
        <w:spacing w:after="0" w:line="197" w:lineRule="exact"/>
        <w:rPr>
          <w:sz w:val="20"/>
          <w:szCs w:val="20"/>
          <w:color w:val="auto"/>
        </w:rPr>
      </w:pPr>
    </w:p>
    <w:p>
      <w:pPr>
        <w:ind w:right="2559"/>
        <w:spacing w:after="0" w:line="253" w:lineRule="auto"/>
        <w:rPr>
          <w:sz w:val="20"/>
          <w:szCs w:val="20"/>
          <w:color w:val="auto"/>
        </w:rPr>
      </w:pPr>
      <w:r>
        <w:rPr>
          <w:rFonts w:ascii="Courier New" w:cs="Courier New" w:eastAsia="Courier New" w:hAnsi="Courier New"/>
          <w:sz w:val="16"/>
          <w:szCs w:val="16"/>
          <w:color w:val="auto"/>
        </w:rPr>
        <w:t>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2659"/>
        <w:spacing w:after="0" w:line="236" w:lineRule="auto"/>
        <w:rPr>
          <w:sz w:val="20"/>
          <w:szCs w:val="20"/>
          <w:color w:val="auto"/>
        </w:rPr>
      </w:pPr>
      <w:r>
        <w:rPr>
          <w:rFonts w:ascii="Courier New" w:cs="Courier New" w:eastAsia="Courier New" w:hAnsi="Courier New"/>
          <w:sz w:val="17"/>
          <w:szCs w:val="17"/>
          <w:color w:val="auto"/>
        </w:rPr>
        <w:t>We urge you to carefully consider the following important factors that could cause actual results to differ materially from the expectations of the company or its management:</w:t>
      </w:r>
    </w:p>
    <w:p>
      <w:pPr>
        <w:spacing w:after="0" w:line="197" w:lineRule="exact"/>
        <w:rPr>
          <w:sz w:val="20"/>
          <w:szCs w:val="20"/>
          <w:color w:val="auto"/>
        </w:rPr>
      </w:pPr>
    </w:p>
    <w:p>
      <w:pPr>
        <w:ind w:left="500" w:right="2359" w:hanging="498"/>
        <w:spacing w:after="0" w:line="236" w:lineRule="auto"/>
        <w:tabs>
          <w:tab w:leader="none" w:pos="2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 demand for semiconductors, particularly for digital signal processors and analog chips in key markets, such as telecommunications and computers;</w:t>
      </w:r>
    </w:p>
    <w:p>
      <w:pPr>
        <w:spacing w:after="0" w:line="5" w:lineRule="exact"/>
        <w:rPr>
          <w:rFonts w:ascii="Courier New" w:cs="Courier New" w:eastAsia="Courier New" w:hAnsi="Courier New"/>
          <w:sz w:val="17"/>
          <w:szCs w:val="17"/>
          <w:color w:val="auto"/>
        </w:rPr>
      </w:pPr>
    </w:p>
    <w:p>
      <w:pPr>
        <w:ind w:left="500" w:right="2359" w:hanging="498"/>
        <w:spacing w:after="0" w:line="235" w:lineRule="auto"/>
        <w:tabs>
          <w:tab w:leader="none" w:pos="2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-TI's ability to develop, manufacture and market innovative products in a rapidly changing technological environment;</w:t>
      </w:r>
    </w:p>
    <w:p>
      <w:pPr>
        <w:spacing w:after="0" w:line="5" w:lineRule="exact"/>
        <w:rPr>
          <w:rFonts w:ascii="Courier New" w:cs="Courier New" w:eastAsia="Courier New" w:hAnsi="Courier New"/>
          <w:sz w:val="17"/>
          <w:szCs w:val="17"/>
          <w:color w:val="auto"/>
        </w:rPr>
      </w:pPr>
    </w:p>
    <w:p>
      <w:pPr>
        <w:ind w:left="500" w:right="2159" w:hanging="498"/>
        <w:spacing w:after="0" w:line="235" w:lineRule="auto"/>
        <w:tabs>
          <w:tab w:leader="none" w:pos="2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-TI's ability to compete in products and prices in an intensely competitive industry;</w:t>
      </w:r>
    </w:p>
    <w:p>
      <w:pPr>
        <w:spacing w:after="0" w:line="5" w:lineRule="exact"/>
        <w:rPr>
          <w:rFonts w:ascii="Courier New" w:cs="Courier New" w:eastAsia="Courier New" w:hAnsi="Courier New"/>
          <w:sz w:val="17"/>
          <w:szCs w:val="17"/>
          <w:color w:val="auto"/>
        </w:rPr>
      </w:pPr>
    </w:p>
    <w:p>
      <w:pPr>
        <w:ind w:left="500" w:right="2859" w:hanging="498"/>
        <w:spacing w:after="0" w:line="235" w:lineRule="auto"/>
        <w:tabs>
          <w:tab w:leader="none" w:pos="2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-TI's ability to maintain and enforce a strong intellectual property portfolio and obtain needed licenses from third parties;</w:t>
      </w:r>
    </w:p>
    <w:p>
      <w:pPr>
        <w:ind w:left="200" w:hanging="198"/>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Timely completion and successful integration of announced acquisitions;</w:t>
      </w:r>
    </w:p>
    <w:p>
      <w:pPr>
        <w:spacing w:after="0" w:line="5" w:lineRule="exact"/>
        <w:rPr>
          <w:rFonts w:ascii="Courier New" w:cs="Courier New" w:eastAsia="Courier New" w:hAnsi="Courier New"/>
          <w:sz w:val="17"/>
          <w:szCs w:val="17"/>
          <w:color w:val="auto"/>
        </w:rPr>
      </w:pPr>
    </w:p>
    <w:p>
      <w:pPr>
        <w:ind w:left="500" w:right="2159" w:hanging="498"/>
        <w:spacing w:after="0" w:line="236" w:lineRule="auto"/>
        <w:tabs>
          <w:tab w:leader="none" w:pos="202"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-Global economic, social and political conditions in the countries in which TI and its customers and suppliers operate, including fluctuations in foreign currency exchange rates;</w:t>
      </w:r>
    </w:p>
    <w:p>
      <w:pPr>
        <w:ind w:left="200" w:hanging="198"/>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Losses or curtailments of purchases from key customers;</w:t>
      </w:r>
    </w:p>
    <w:p>
      <w:pPr>
        <w:ind w:left="200" w:hanging="198"/>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TI's ability to recruit and retain skilled personnel; and</w:t>
      </w:r>
    </w:p>
    <w:p>
      <w:pPr>
        <w:ind w:left="200" w:hanging="198"/>
        <w:spacing w:after="0"/>
        <w:tabs>
          <w:tab w:leader="none" w:pos="2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r>
        <w:rPr>
          <w:rFonts w:ascii="Courier New" w:cs="Courier New" w:eastAsia="Courier New" w:hAnsi="Courier New"/>
          <w:sz w:val="16"/>
          <w:szCs w:val="16"/>
          <w:color w:val="auto"/>
        </w:rPr>
        <w:t>Availability of raw materials and critical manufacturing equipment.</w:t>
      </w:r>
    </w:p>
    <w:p>
      <w:pPr>
        <w:spacing w:after="0" w:line="19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7"/>
          <w:szCs w:val="17"/>
          <w:color w:val="auto"/>
        </w:rPr>
        <w:t>For a more detailed discussion of these factors, see the text under the heading "Cautionary Statements Regarding Future Operations" in Item 1 of the company's most recent Form 10-K. The forward-looking statements included in this Form 10-Q are made only as of the date of this Form 10-Q and the company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690" w:right="1440" w:bottom="1440" w:gutter="0" w:footer="0" w:header="0"/>
        </w:sectPr>
      </w:pPr>
    </w:p>
    <w:bookmarkStart w:id="31" w:name="page32"/>
    <w:bookmarkEnd w:id="31"/>
    <w:p>
      <w:pPr>
        <w:ind w:left="3180"/>
        <w:spacing w:after="0"/>
        <w:rPr>
          <w:sz w:val="20"/>
          <w:szCs w:val="20"/>
          <w:color w:val="auto"/>
        </w:rPr>
      </w:pPr>
      <w:r>
        <w:rPr>
          <w:rFonts w:ascii="Courier New" w:cs="Courier New" w:eastAsia="Courier New" w:hAnsi="Courier New"/>
          <w:sz w:val="17"/>
          <w:szCs w:val="17"/>
          <w:color w:val="auto"/>
        </w:rPr>
        <w:t>SIGNATURE</w:t>
      </w:r>
    </w:p>
    <w:p>
      <w:pPr>
        <w:spacing w:after="0" w:line="388" w:lineRule="exact"/>
        <w:rPr>
          <w:sz w:val="20"/>
          <w:szCs w:val="20"/>
          <w:color w:val="auto"/>
        </w:rPr>
      </w:pPr>
    </w:p>
    <w:p>
      <w:pPr>
        <w:jc w:val="both"/>
        <w:ind w:right="3059"/>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TEXAS INSTRUMENTS INCORPORATED</w:t>
      </w:r>
    </w:p>
    <w:p>
      <w:pPr>
        <w:spacing w:after="0" w:line="200" w:lineRule="exact"/>
        <w:rPr>
          <w:sz w:val="20"/>
          <w:szCs w:val="20"/>
          <w:color w:val="auto"/>
        </w:rPr>
      </w:pPr>
    </w:p>
    <w:p>
      <w:pPr>
        <w:spacing w:after="0" w:line="37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7"/>
          <w:szCs w:val="17"/>
          <w:color w:val="auto"/>
        </w:rPr>
        <w:t>BY: /s/ WILLIAM A. AYLESWORTH</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William A. Aylesworth</w:t>
      </w:r>
    </w:p>
    <w:p>
      <w:pPr>
        <w:ind w:left="4080"/>
        <w:spacing w:after="0" w:line="238" w:lineRule="auto"/>
        <w:rPr>
          <w:sz w:val="20"/>
          <w:szCs w:val="20"/>
          <w:color w:val="auto"/>
        </w:rPr>
      </w:pPr>
      <w:r>
        <w:rPr>
          <w:rFonts w:ascii="Courier New" w:cs="Courier New" w:eastAsia="Courier New" w:hAnsi="Courier New"/>
          <w:sz w:val="17"/>
          <w:szCs w:val="17"/>
          <w:color w:val="auto"/>
        </w:rPr>
        <w:t>Senior Vice President,</w:t>
      </w:r>
    </w:p>
    <w:p>
      <w:pPr>
        <w:ind w:left="4080"/>
        <w:spacing w:after="0" w:line="238" w:lineRule="auto"/>
        <w:rPr>
          <w:sz w:val="20"/>
          <w:szCs w:val="20"/>
          <w:color w:val="auto"/>
        </w:rPr>
      </w:pPr>
      <w:r>
        <w:rPr>
          <w:rFonts w:ascii="Courier New" w:cs="Courier New" w:eastAsia="Courier New" w:hAnsi="Courier New"/>
          <w:sz w:val="17"/>
          <w:szCs w:val="17"/>
          <w:color w:val="auto"/>
        </w:rPr>
        <w:t>Treasurer and</w:t>
      </w:r>
    </w:p>
    <w:p>
      <w:pPr>
        <w:jc w:val="center"/>
        <w:ind w:right="-220"/>
        <w:spacing w:after="0"/>
        <w:rPr>
          <w:sz w:val="20"/>
          <w:szCs w:val="20"/>
          <w:color w:val="auto"/>
        </w:rPr>
      </w:pPr>
      <w:r>
        <w:rPr>
          <w:rFonts w:ascii="Courier New" w:cs="Courier New" w:eastAsia="Courier New" w:hAnsi="Courier New"/>
          <w:sz w:val="17"/>
          <w:szCs w:val="17"/>
          <w:color w:val="auto"/>
        </w:rPr>
        <w:t>Chief Financial Officer</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October 24,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683"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3"/>
        </w:trPr>
        <w:tc>
          <w:tcPr>
            <w:tcW w:w="1680" w:type="dxa"/>
            <w:vAlign w:val="bottom"/>
          </w:tcPr>
          <w:p>
            <w:pPr>
              <w:spacing w:after="0"/>
              <w:rPr>
                <w:sz w:val="20"/>
                <w:szCs w:val="20"/>
                <w:color w:val="auto"/>
              </w:rPr>
            </w:pPr>
            <w:r>
              <w:rPr>
                <w:rFonts w:ascii="Courier New" w:cs="Courier New" w:eastAsia="Courier New" w:hAnsi="Courier New"/>
                <w:sz w:val="17"/>
                <w:szCs w:val="17"/>
                <w:color w:val="auto"/>
              </w:rPr>
              <w:t>Exhibit Index</w:t>
            </w:r>
          </w:p>
        </w:tc>
        <w:tc>
          <w:tcPr>
            <w:tcW w:w="40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83"/>
        </w:trPr>
        <w:tc>
          <w:tcPr>
            <w:tcW w:w="1680" w:type="dxa"/>
            <w:vAlign w:val="bottom"/>
          </w:tcPr>
          <w:p>
            <w:pPr>
              <w:spacing w:after="0"/>
              <w:rPr>
                <w:sz w:val="20"/>
                <w:szCs w:val="20"/>
                <w:color w:val="auto"/>
              </w:rPr>
            </w:pPr>
            <w:r>
              <w:rPr>
                <w:rFonts w:ascii="Courier New" w:cs="Courier New" w:eastAsia="Courier New" w:hAnsi="Courier New"/>
                <w:sz w:val="17"/>
                <w:szCs w:val="17"/>
                <w:color w:val="auto"/>
              </w:rPr>
              <w:t>Designation of</w:t>
            </w:r>
          </w:p>
        </w:tc>
        <w:tc>
          <w:tcPr>
            <w:tcW w:w="4040" w:type="dxa"/>
            <w:vAlign w:val="bottom"/>
          </w:tcPr>
          <w:p>
            <w:pPr>
              <w:spacing w:after="0"/>
              <w:rPr>
                <w:sz w:val="24"/>
                <w:szCs w:val="24"/>
                <w:color w:val="auto"/>
              </w:rPr>
            </w:pPr>
          </w:p>
        </w:tc>
        <w:tc>
          <w:tcPr>
            <w:tcW w:w="1940" w:type="dxa"/>
            <w:vAlign w:val="bottom"/>
          </w:tcPr>
          <w:p>
            <w:pPr>
              <w:ind w:left="740"/>
              <w:spacing w:after="0"/>
              <w:rPr>
                <w:sz w:val="20"/>
                <w:szCs w:val="20"/>
                <w:color w:val="auto"/>
              </w:rPr>
            </w:pPr>
            <w:r>
              <w:rPr>
                <w:rFonts w:ascii="Courier New" w:cs="Courier New" w:eastAsia="Courier New" w:hAnsi="Courier New"/>
                <w:sz w:val="17"/>
                <w:szCs w:val="17"/>
                <w:color w:val="auto"/>
              </w:rPr>
              <w:t>Paper (P)</w:t>
            </w:r>
          </w:p>
        </w:tc>
      </w:tr>
      <w:tr>
        <w:trPr>
          <w:trHeight w:val="191"/>
        </w:trPr>
        <w:tc>
          <w:tcPr>
            <w:tcW w:w="1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Exhibits in</w:t>
            </w:r>
          </w:p>
        </w:tc>
        <w:tc>
          <w:tcPr>
            <w:tcW w:w="4040" w:type="dxa"/>
            <w:vAlign w:val="bottom"/>
          </w:tcPr>
          <w:p>
            <w:pPr>
              <w:spacing w:after="0"/>
              <w:rPr>
                <w:sz w:val="16"/>
                <w:szCs w:val="16"/>
                <w:color w:val="auto"/>
              </w:rPr>
            </w:pPr>
          </w:p>
        </w:tc>
        <w:tc>
          <w:tcPr>
            <w:tcW w:w="1940" w:type="dxa"/>
            <w:vAlign w:val="bottom"/>
          </w:tcPr>
          <w:p>
            <w:pPr>
              <w:ind w:left="1040"/>
              <w:spacing w:after="0" w:line="191" w:lineRule="exact"/>
              <w:rPr>
                <w:sz w:val="20"/>
                <w:szCs w:val="20"/>
                <w:color w:val="auto"/>
              </w:rPr>
            </w:pPr>
            <w:r>
              <w:rPr>
                <w:rFonts w:ascii="Courier New" w:cs="Courier New" w:eastAsia="Courier New" w:hAnsi="Courier New"/>
                <w:sz w:val="17"/>
                <w:szCs w:val="17"/>
                <w:color w:val="auto"/>
              </w:rPr>
              <w:t>or</w:t>
            </w:r>
          </w:p>
        </w:tc>
      </w:tr>
      <w:tr>
        <w:trPr>
          <w:trHeight w:val="191"/>
        </w:trPr>
        <w:tc>
          <w:tcPr>
            <w:tcW w:w="16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this Report</w:t>
            </w:r>
          </w:p>
        </w:tc>
        <w:tc>
          <w:tcPr>
            <w:tcW w:w="404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Description of Exhibit</w:t>
            </w:r>
          </w:p>
        </w:tc>
        <w:tc>
          <w:tcPr>
            <w:tcW w:w="19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96"/>
              </w:rPr>
              <w:t>Electronic (E)</w:t>
            </w:r>
          </w:p>
        </w:tc>
      </w:tr>
      <w:tr>
        <w:trPr>
          <w:trHeight w:val="191"/>
        </w:trPr>
        <w:tc>
          <w:tcPr>
            <w:tcW w:w="1680" w:type="dxa"/>
            <w:vAlign w:val="bottom"/>
          </w:tcPr>
          <w:p>
            <w:pPr>
              <w:spacing w:after="0" w:line="191" w:lineRule="exact"/>
              <w:rPr>
                <w:sz w:val="20"/>
                <w:szCs w:val="20"/>
                <w:color w:val="auto"/>
              </w:rPr>
            </w:pPr>
            <w:r>
              <w:rPr>
                <w:rFonts w:ascii="Courier New" w:cs="Courier New" w:eastAsia="Courier New" w:hAnsi="Courier New"/>
                <w:sz w:val="17"/>
                <w:szCs w:val="17"/>
                <w:color w:val="auto"/>
              </w:rPr>
              <w:t>--------------</w:t>
            </w:r>
          </w:p>
        </w:tc>
        <w:tc>
          <w:tcPr>
            <w:tcW w:w="4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ind w:left="5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1680" w:type="dxa"/>
            <w:vAlign w:val="bottom"/>
          </w:tcPr>
          <w:p>
            <w:pPr>
              <w:ind w:left="500"/>
              <w:spacing w:after="0"/>
              <w:rPr>
                <w:sz w:val="20"/>
                <w:szCs w:val="20"/>
                <w:color w:val="auto"/>
              </w:rPr>
            </w:pPr>
            <w:r>
              <w:rPr>
                <w:rFonts w:ascii="Courier New" w:cs="Courier New" w:eastAsia="Courier New" w:hAnsi="Courier New"/>
                <w:sz w:val="17"/>
                <w:szCs w:val="17"/>
                <w:color w:val="auto"/>
              </w:rPr>
              <w:t>11</w:t>
            </w:r>
          </w:p>
        </w:tc>
        <w:tc>
          <w:tcPr>
            <w:tcW w:w="4040" w:type="dxa"/>
            <w:vAlign w:val="bottom"/>
          </w:tcPr>
          <w:p>
            <w:pPr>
              <w:ind w:left="300"/>
              <w:spacing w:after="0"/>
              <w:rPr>
                <w:sz w:val="20"/>
                <w:szCs w:val="20"/>
                <w:color w:val="auto"/>
              </w:rPr>
            </w:pPr>
            <w:r>
              <w:rPr>
                <w:rFonts w:ascii="Courier New" w:cs="Courier New" w:eastAsia="Courier New" w:hAnsi="Courier New"/>
                <w:sz w:val="17"/>
                <w:szCs w:val="17"/>
                <w:color w:val="auto"/>
              </w:rPr>
              <w:t>Earnings Per Common and</w:t>
            </w:r>
          </w:p>
        </w:tc>
        <w:tc>
          <w:tcPr>
            <w:tcW w:w="1940" w:type="dxa"/>
            <w:vAlign w:val="bottom"/>
          </w:tcPr>
          <w:p>
            <w:pPr>
              <w:ind w:left="1240"/>
              <w:spacing w:after="0"/>
              <w:rPr>
                <w:sz w:val="20"/>
                <w:szCs w:val="20"/>
                <w:color w:val="auto"/>
              </w:rPr>
            </w:pPr>
            <w:r>
              <w:rPr>
                <w:rFonts w:ascii="Courier New" w:cs="Courier New" w:eastAsia="Courier New" w:hAnsi="Courier New"/>
                <w:sz w:val="17"/>
                <w:szCs w:val="17"/>
                <w:color w:val="auto"/>
              </w:rPr>
              <w:t>E</w:t>
            </w:r>
          </w:p>
        </w:tc>
      </w:tr>
      <w:tr>
        <w:trPr>
          <w:trHeight w:val="191"/>
        </w:trPr>
        <w:tc>
          <w:tcPr>
            <w:tcW w:w="1680" w:type="dxa"/>
            <w:vAlign w:val="bottom"/>
          </w:tcPr>
          <w:p>
            <w:pPr>
              <w:spacing w:after="0"/>
              <w:rPr>
                <w:sz w:val="16"/>
                <w:szCs w:val="16"/>
                <w:color w:val="auto"/>
              </w:rPr>
            </w:pPr>
          </w:p>
        </w:tc>
        <w:tc>
          <w:tcPr>
            <w:tcW w:w="4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Dilutive Potential Common</w:t>
            </w:r>
          </w:p>
        </w:tc>
        <w:tc>
          <w:tcPr>
            <w:tcW w:w="1940" w:type="dxa"/>
            <w:vAlign w:val="bottom"/>
          </w:tcPr>
          <w:p>
            <w:pPr>
              <w:spacing w:after="0"/>
              <w:rPr>
                <w:sz w:val="16"/>
                <w:szCs w:val="16"/>
                <w:color w:val="auto"/>
              </w:rPr>
            </w:pPr>
          </w:p>
        </w:tc>
      </w:tr>
      <w:tr>
        <w:trPr>
          <w:trHeight w:val="191"/>
        </w:trPr>
        <w:tc>
          <w:tcPr>
            <w:tcW w:w="1680" w:type="dxa"/>
            <w:vAlign w:val="bottom"/>
          </w:tcPr>
          <w:p>
            <w:pPr>
              <w:spacing w:after="0"/>
              <w:rPr>
                <w:sz w:val="16"/>
                <w:szCs w:val="16"/>
                <w:color w:val="auto"/>
              </w:rPr>
            </w:pPr>
          </w:p>
        </w:tc>
        <w:tc>
          <w:tcPr>
            <w:tcW w:w="4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Share</w:t>
            </w:r>
          </w:p>
        </w:tc>
        <w:tc>
          <w:tcPr>
            <w:tcW w:w="1940" w:type="dxa"/>
            <w:vAlign w:val="bottom"/>
          </w:tcPr>
          <w:p>
            <w:pPr>
              <w:spacing w:after="0"/>
              <w:rPr>
                <w:sz w:val="16"/>
                <w:szCs w:val="16"/>
                <w:color w:val="auto"/>
              </w:rPr>
            </w:pPr>
          </w:p>
        </w:tc>
      </w:tr>
      <w:tr>
        <w:trPr>
          <w:trHeight w:val="383"/>
        </w:trPr>
        <w:tc>
          <w:tcPr>
            <w:tcW w:w="1680" w:type="dxa"/>
            <w:vAlign w:val="bottom"/>
          </w:tcPr>
          <w:p>
            <w:pPr>
              <w:ind w:left="500"/>
              <w:spacing w:after="0"/>
              <w:rPr>
                <w:sz w:val="20"/>
                <w:szCs w:val="20"/>
                <w:color w:val="auto"/>
              </w:rPr>
            </w:pPr>
            <w:r>
              <w:rPr>
                <w:rFonts w:ascii="Courier New" w:cs="Courier New" w:eastAsia="Courier New" w:hAnsi="Courier New"/>
                <w:sz w:val="17"/>
                <w:szCs w:val="17"/>
                <w:color w:val="auto"/>
              </w:rPr>
              <w:t>12</w:t>
            </w:r>
          </w:p>
        </w:tc>
        <w:tc>
          <w:tcPr>
            <w:tcW w:w="4040" w:type="dxa"/>
            <w:vAlign w:val="bottom"/>
          </w:tcPr>
          <w:p>
            <w:pPr>
              <w:ind w:left="300"/>
              <w:spacing w:after="0"/>
              <w:rPr>
                <w:sz w:val="20"/>
                <w:szCs w:val="20"/>
                <w:color w:val="auto"/>
              </w:rPr>
            </w:pPr>
            <w:r>
              <w:rPr>
                <w:rFonts w:ascii="Courier New" w:cs="Courier New" w:eastAsia="Courier New" w:hAnsi="Courier New"/>
                <w:sz w:val="17"/>
                <w:szCs w:val="17"/>
                <w:color w:val="auto"/>
              </w:rPr>
              <w:t>Computation of Ratio of</w:t>
            </w:r>
          </w:p>
        </w:tc>
        <w:tc>
          <w:tcPr>
            <w:tcW w:w="1940" w:type="dxa"/>
            <w:vAlign w:val="bottom"/>
          </w:tcPr>
          <w:p>
            <w:pPr>
              <w:ind w:left="1240"/>
              <w:spacing w:after="0"/>
              <w:rPr>
                <w:sz w:val="20"/>
                <w:szCs w:val="20"/>
                <w:color w:val="auto"/>
              </w:rPr>
            </w:pPr>
            <w:r>
              <w:rPr>
                <w:rFonts w:ascii="Courier New" w:cs="Courier New" w:eastAsia="Courier New" w:hAnsi="Courier New"/>
                <w:sz w:val="17"/>
                <w:szCs w:val="17"/>
                <w:color w:val="auto"/>
              </w:rPr>
              <w:t>E</w:t>
            </w:r>
          </w:p>
        </w:tc>
      </w:tr>
      <w:tr>
        <w:trPr>
          <w:trHeight w:val="191"/>
        </w:trPr>
        <w:tc>
          <w:tcPr>
            <w:tcW w:w="1680" w:type="dxa"/>
            <w:vAlign w:val="bottom"/>
          </w:tcPr>
          <w:p>
            <w:pPr>
              <w:spacing w:after="0"/>
              <w:rPr>
                <w:sz w:val="16"/>
                <w:szCs w:val="16"/>
                <w:color w:val="auto"/>
              </w:rPr>
            </w:pPr>
          </w:p>
        </w:tc>
        <w:tc>
          <w:tcPr>
            <w:tcW w:w="4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Earnings to Fixed Charges</w:t>
            </w:r>
          </w:p>
        </w:tc>
        <w:tc>
          <w:tcPr>
            <w:tcW w:w="1940" w:type="dxa"/>
            <w:vAlign w:val="bottom"/>
          </w:tcPr>
          <w:p>
            <w:pPr>
              <w:spacing w:after="0"/>
              <w:rPr>
                <w:sz w:val="16"/>
                <w:szCs w:val="16"/>
                <w:color w:val="auto"/>
              </w:rPr>
            </w:pPr>
          </w:p>
        </w:tc>
      </w:tr>
      <w:tr>
        <w:trPr>
          <w:trHeight w:val="383"/>
        </w:trPr>
        <w:tc>
          <w:tcPr>
            <w:tcW w:w="1680" w:type="dxa"/>
            <w:vAlign w:val="bottom"/>
          </w:tcPr>
          <w:p>
            <w:pPr>
              <w:ind w:left="500"/>
              <w:spacing w:after="0"/>
              <w:rPr>
                <w:sz w:val="20"/>
                <w:szCs w:val="20"/>
                <w:color w:val="auto"/>
              </w:rPr>
            </w:pPr>
            <w:r>
              <w:rPr>
                <w:rFonts w:ascii="Courier New" w:cs="Courier New" w:eastAsia="Courier New" w:hAnsi="Courier New"/>
                <w:sz w:val="17"/>
                <w:szCs w:val="17"/>
                <w:color w:val="auto"/>
              </w:rPr>
              <w:t>27</w:t>
            </w:r>
          </w:p>
        </w:tc>
        <w:tc>
          <w:tcPr>
            <w:tcW w:w="4040" w:type="dxa"/>
            <w:vAlign w:val="bottom"/>
          </w:tcPr>
          <w:p>
            <w:pPr>
              <w:ind w:left="300"/>
              <w:spacing w:after="0"/>
              <w:rPr>
                <w:sz w:val="20"/>
                <w:szCs w:val="20"/>
                <w:color w:val="auto"/>
              </w:rPr>
            </w:pPr>
            <w:r>
              <w:rPr>
                <w:rFonts w:ascii="Courier New" w:cs="Courier New" w:eastAsia="Courier New" w:hAnsi="Courier New"/>
                <w:sz w:val="17"/>
                <w:szCs w:val="17"/>
                <w:color w:val="auto"/>
              </w:rPr>
              <w:t>Financial Data Schedule</w:t>
            </w:r>
          </w:p>
        </w:tc>
        <w:tc>
          <w:tcPr>
            <w:tcW w:w="1940" w:type="dxa"/>
            <w:vAlign w:val="bottom"/>
          </w:tcPr>
          <w:p>
            <w:pPr>
              <w:ind w:left="1240"/>
              <w:spacing w:after="0"/>
              <w:rPr>
                <w:sz w:val="20"/>
                <w:szCs w:val="20"/>
                <w:color w:val="auto"/>
              </w:rPr>
            </w:pPr>
            <w:r>
              <w:rPr>
                <w:rFonts w:ascii="Courier New" w:cs="Courier New" w:eastAsia="Courier New" w:hAnsi="Courier New"/>
                <w:sz w:val="17"/>
                <w:szCs w:val="17"/>
                <w:color w:val="auto"/>
              </w:rPr>
              <w:t>E</w:t>
            </w:r>
          </w:p>
        </w:tc>
      </w:tr>
      <w:tr>
        <w:trPr>
          <w:trHeight w:val="383"/>
        </w:trPr>
        <w:tc>
          <w:tcPr>
            <w:tcW w:w="1680" w:type="dxa"/>
            <w:vAlign w:val="bottom"/>
          </w:tcPr>
          <w:p>
            <w:pPr>
              <w:ind w:left="500"/>
              <w:spacing w:after="0"/>
              <w:rPr>
                <w:sz w:val="20"/>
                <w:szCs w:val="20"/>
                <w:color w:val="auto"/>
              </w:rPr>
            </w:pPr>
            <w:r>
              <w:rPr>
                <w:rFonts w:ascii="Courier New" w:cs="Courier New" w:eastAsia="Courier New" w:hAnsi="Courier New"/>
                <w:sz w:val="17"/>
                <w:szCs w:val="17"/>
                <w:color w:val="auto"/>
              </w:rPr>
              <w:t>27.1</w:t>
            </w:r>
          </w:p>
        </w:tc>
        <w:tc>
          <w:tcPr>
            <w:tcW w:w="4040" w:type="dxa"/>
            <w:vAlign w:val="bottom"/>
          </w:tcPr>
          <w:p>
            <w:pPr>
              <w:ind w:left="300"/>
              <w:spacing w:after="0"/>
              <w:rPr>
                <w:sz w:val="20"/>
                <w:szCs w:val="20"/>
                <w:color w:val="auto"/>
              </w:rPr>
            </w:pPr>
            <w:r>
              <w:rPr>
                <w:rFonts w:ascii="Courier New" w:cs="Courier New" w:eastAsia="Courier New" w:hAnsi="Courier New"/>
                <w:sz w:val="17"/>
                <w:szCs w:val="17"/>
                <w:color w:val="auto"/>
              </w:rPr>
              <w:t>Restated Financial Data Schedule</w:t>
            </w:r>
          </w:p>
        </w:tc>
        <w:tc>
          <w:tcPr>
            <w:tcW w:w="1940" w:type="dxa"/>
            <w:vAlign w:val="bottom"/>
          </w:tcPr>
          <w:p>
            <w:pPr>
              <w:ind w:left="1240"/>
              <w:spacing w:after="0"/>
              <w:rPr>
                <w:sz w:val="20"/>
                <w:szCs w:val="20"/>
                <w:color w:val="auto"/>
              </w:rPr>
            </w:pPr>
            <w:r>
              <w:rPr>
                <w:rFonts w:ascii="Courier New" w:cs="Courier New" w:eastAsia="Courier New" w:hAnsi="Courier New"/>
                <w:sz w:val="17"/>
                <w:szCs w:val="17"/>
                <w:color w:val="auto"/>
              </w:rPr>
              <w:t>E</w:t>
            </w:r>
          </w:p>
        </w:tc>
      </w:tr>
      <w:tr>
        <w:trPr>
          <w:trHeight w:val="191"/>
        </w:trPr>
        <w:tc>
          <w:tcPr>
            <w:tcW w:w="1680" w:type="dxa"/>
            <w:vAlign w:val="bottom"/>
          </w:tcPr>
          <w:p>
            <w:pPr>
              <w:spacing w:after="0"/>
              <w:rPr>
                <w:sz w:val="16"/>
                <w:szCs w:val="16"/>
                <w:color w:val="auto"/>
              </w:rPr>
            </w:pPr>
          </w:p>
        </w:tc>
        <w:tc>
          <w:tcPr>
            <w:tcW w:w="4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as of September 30, 1999 and for</w:t>
            </w:r>
          </w:p>
        </w:tc>
        <w:tc>
          <w:tcPr>
            <w:tcW w:w="1940" w:type="dxa"/>
            <w:vAlign w:val="bottom"/>
          </w:tcPr>
          <w:p>
            <w:pPr>
              <w:spacing w:after="0"/>
              <w:rPr>
                <w:sz w:val="16"/>
                <w:szCs w:val="16"/>
                <w:color w:val="auto"/>
              </w:rPr>
            </w:pPr>
          </w:p>
        </w:tc>
      </w:tr>
      <w:tr>
        <w:trPr>
          <w:trHeight w:val="191"/>
        </w:trPr>
        <w:tc>
          <w:tcPr>
            <w:tcW w:w="1680" w:type="dxa"/>
            <w:vAlign w:val="bottom"/>
          </w:tcPr>
          <w:p>
            <w:pPr>
              <w:spacing w:after="0"/>
              <w:rPr>
                <w:sz w:val="16"/>
                <w:szCs w:val="16"/>
                <w:color w:val="auto"/>
              </w:rPr>
            </w:pPr>
          </w:p>
        </w:tc>
        <w:tc>
          <w:tcPr>
            <w:tcW w:w="40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the 9 months then ended.</w:t>
            </w:r>
          </w:p>
        </w:tc>
        <w:tc>
          <w:tcPr>
            <w:tcW w:w="1940" w:type="dxa"/>
            <w:vAlign w:val="bottom"/>
          </w:tcPr>
          <w:p>
            <w:pPr>
              <w:spacing w:after="0"/>
              <w:rPr>
                <w:sz w:val="16"/>
                <w:szCs w:val="16"/>
                <w:color w:val="auto"/>
              </w:rPr>
            </w:pPr>
          </w:p>
        </w:tc>
      </w:tr>
    </w:tbl>
    <w:p>
      <w:pPr>
        <w:sectPr>
          <w:pgSz w:w="11900" w:h="16838" w:orient="portrait"/>
          <w:cols w:equalWidth="0" w:num="1">
            <w:col w:w="9019"/>
          </w:cols>
          <w:pgMar w:left="1440" w:top="1257" w:right="1440"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EXHIBIT 11</w:t>
            </w:r>
          </w:p>
        </w:tc>
      </w:tr>
      <w:tr>
        <w:trPr>
          <w:trHeight w:val="191"/>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gridSpan w:val="2"/>
          </w:tcPr>
          <w:p>
            <w:pPr>
              <w:ind w:left="1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8800" w:type="dxa"/>
            <w:vAlign w:val="bottom"/>
            <w:gridSpan w:val="5"/>
          </w:tcPr>
          <w:p>
            <w:pPr>
              <w:jc w:val="right"/>
              <w:ind w:right="757"/>
              <w:spacing w:after="0"/>
              <w:rPr>
                <w:sz w:val="20"/>
                <w:szCs w:val="20"/>
                <w:color w:val="auto"/>
              </w:rPr>
            </w:pPr>
            <w:r>
              <w:rPr>
                <w:rFonts w:ascii="Courier New" w:cs="Courier New" w:eastAsia="Courier New" w:hAnsi="Courier New"/>
                <w:sz w:val="17"/>
                <w:szCs w:val="17"/>
                <w:color w:val="auto"/>
              </w:rPr>
              <w:t>TEXAS INSTRUMENTS INCORPORATED AND SUBSIDIARIES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8800" w:type="dxa"/>
            <w:vAlign w:val="bottom"/>
            <w:gridSpan w:val="5"/>
          </w:tcPr>
          <w:p>
            <w:pPr>
              <w:jc w:val="right"/>
              <w:ind w:right="357"/>
              <w:spacing w:after="0" w:line="191" w:lineRule="exact"/>
              <w:rPr>
                <w:sz w:val="20"/>
                <w:szCs w:val="20"/>
                <w:color w:val="auto"/>
              </w:rPr>
            </w:pPr>
            <w:r>
              <w:rPr>
                <w:rFonts w:ascii="Courier New" w:cs="Courier New" w:eastAsia="Courier New" w:hAnsi="Courier New"/>
                <w:sz w:val="17"/>
                <w:szCs w:val="17"/>
                <w:color w:val="auto"/>
              </w:rPr>
              <w:t>EARNINGS PER COMMON AND DILUTIVE POTENTIAL COMMON SHARE</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3"/>
        </w:trPr>
        <w:tc>
          <w:tcPr>
            <w:tcW w:w="6420" w:type="dxa"/>
            <w:vAlign w:val="bottom"/>
          </w:tcPr>
          <w:p>
            <w:pPr>
              <w:spacing w:after="0"/>
              <w:rPr>
                <w:sz w:val="24"/>
                <w:szCs w:val="24"/>
                <w:color w:val="auto"/>
              </w:rPr>
            </w:pPr>
          </w:p>
        </w:tc>
        <w:tc>
          <w:tcPr>
            <w:tcW w:w="2380" w:type="dxa"/>
            <w:vAlign w:val="bottom"/>
            <w:gridSpan w:val="4"/>
          </w:tcPr>
          <w:p>
            <w:pPr>
              <w:jc w:val="right"/>
              <w:ind w:right="57"/>
              <w:spacing w:after="0"/>
              <w:rPr>
                <w:sz w:val="20"/>
                <w:szCs w:val="20"/>
                <w:color w:val="auto"/>
              </w:rPr>
            </w:pPr>
            <w:r>
              <w:rPr>
                <w:rFonts w:ascii="Courier New" w:cs="Courier New" w:eastAsia="Courier New" w:hAnsi="Courier New"/>
                <w:sz w:val="17"/>
                <w:szCs w:val="17"/>
                <w:color w:val="auto"/>
                <w:w w:val="98"/>
              </w:rPr>
              <w:t>For Three Months Ended</w:t>
            </w:r>
          </w:p>
        </w:tc>
        <w:tc>
          <w:tcPr>
            <w:tcW w:w="234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For Nine Months Ended</w:t>
            </w:r>
          </w:p>
        </w:tc>
      </w:tr>
      <w:tr>
        <w:trPr>
          <w:trHeight w:val="191"/>
        </w:trPr>
        <w:tc>
          <w:tcPr>
            <w:tcW w:w="642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1"/>
              </w:rPr>
              <w:t>----------------------</w:t>
            </w: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40" w:type="dxa"/>
            <w:vAlign w:val="bottom"/>
            <w:gridSpan w:val="4"/>
          </w:tcPr>
          <w:p>
            <w:pPr>
              <w:ind w:left="26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191"/>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5"/>
              </w:rPr>
              <w:t>Sept 30</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Sept 30</w:t>
            </w:r>
          </w:p>
        </w:tc>
        <w:tc>
          <w:tcPr>
            <w:tcW w:w="3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2"/>
              </w:rPr>
              <w:t>Sept 30</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Sept 30</w:t>
            </w:r>
          </w:p>
        </w:tc>
      </w:tr>
      <w:tr>
        <w:trPr>
          <w:trHeight w:val="191"/>
        </w:trPr>
        <w:tc>
          <w:tcPr>
            <w:tcW w:w="6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2000</w:t>
            </w:r>
          </w:p>
        </w:tc>
        <w:tc>
          <w:tcPr>
            <w:tcW w:w="340" w:type="dxa"/>
            <w:vAlign w:val="bottom"/>
          </w:tcPr>
          <w:p>
            <w:pPr>
              <w:spacing w:after="0"/>
              <w:rPr>
                <w:sz w:val="16"/>
                <w:szCs w:val="16"/>
                <w:color w:val="auto"/>
              </w:rPr>
            </w:pPr>
          </w:p>
        </w:tc>
        <w:tc>
          <w:tcPr>
            <w:tcW w:w="94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1999</w:t>
            </w:r>
          </w:p>
        </w:tc>
        <w:tc>
          <w:tcPr>
            <w:tcW w:w="360" w:type="dxa"/>
            <w:vAlign w:val="bottom"/>
          </w:tcPr>
          <w:p>
            <w:pPr>
              <w:spacing w:after="0"/>
              <w:rPr>
                <w:sz w:val="16"/>
                <w:szCs w:val="16"/>
                <w:color w:val="auto"/>
              </w:rPr>
            </w:pPr>
          </w:p>
        </w:tc>
        <w:tc>
          <w:tcPr>
            <w:tcW w:w="8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2000</w:t>
            </w:r>
          </w:p>
        </w:tc>
        <w:tc>
          <w:tcPr>
            <w:tcW w:w="340" w:type="dxa"/>
            <w:vAlign w:val="bottom"/>
          </w:tcPr>
          <w:p>
            <w:pPr>
              <w:spacing w:after="0"/>
              <w:rPr>
                <w:sz w:val="16"/>
                <w:szCs w:val="16"/>
                <w:color w:val="auto"/>
              </w:rPr>
            </w:pPr>
          </w:p>
        </w:tc>
        <w:tc>
          <w:tcPr>
            <w:tcW w:w="8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1999</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4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Net income (in millions).......................................</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679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402</w:t>
            </w:r>
          </w:p>
        </w:tc>
        <w:tc>
          <w:tcPr>
            <w:tcW w:w="360" w:type="dxa"/>
            <w:vAlign w:val="bottom"/>
          </w:tcPr>
          <w:p>
            <w:pPr>
              <w:ind w:left="260"/>
              <w:spacing w:after="0"/>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2,425</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1,006</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Add: Interest, net of tax effect, on convertible</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debentures assumed converted........................</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Adjusted net income............................................</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681</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402</w:t>
            </w:r>
          </w:p>
        </w:tc>
        <w:tc>
          <w:tcPr>
            <w:tcW w:w="36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w w:val="77"/>
              </w:rPr>
              <w:t>$</w:t>
            </w: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2,429</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1,006</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420" w:type="dxa"/>
            <w:vAlign w:val="bottom"/>
          </w:tcPr>
          <w:p>
            <w:pPr>
              <w:spacing w:after="0"/>
              <w:rPr>
                <w:sz w:val="20"/>
                <w:szCs w:val="20"/>
                <w:color w:val="auto"/>
              </w:rPr>
            </w:pPr>
            <w:r>
              <w:rPr>
                <w:rFonts w:ascii="Courier New" w:cs="Courier New" w:eastAsia="Courier New" w:hAnsi="Courier New"/>
                <w:sz w:val="17"/>
                <w:szCs w:val="17"/>
                <w:color w:val="auto"/>
                <w:w w:val="98"/>
              </w:rPr>
              <w:t>DILUTED EARNINGS PER COMMON AND DILUTIVE POTENTIAL COMMON SHARE: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Weighted average common shares outstanding (in thousands)......</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1,720,890</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1,680,748</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1,712,804</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1,675,210</w:t>
            </w:r>
          </w:p>
        </w:tc>
      </w:tr>
      <w:tr>
        <w:trPr>
          <w:trHeight w:val="191"/>
        </w:trPr>
        <w:tc>
          <w:tcPr>
            <w:tcW w:w="64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Weighted average dilutive potential common shares: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Stock option and compensation plans........................</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65,358</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69,938</w:t>
            </w:r>
          </w:p>
        </w:tc>
        <w:tc>
          <w:tcPr>
            <w:tcW w:w="3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71,049</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64,086</w:t>
            </w: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Convertible debentures.....................................</w:t>
            </w:r>
          </w:p>
        </w:tc>
        <w:tc>
          <w:tcPr>
            <w:tcW w:w="240" w:type="dxa"/>
            <w:vAlign w:val="bottom"/>
          </w:tcPr>
          <w:p>
            <w:pPr>
              <w:spacing w:after="0"/>
              <w:rPr>
                <w:sz w:val="16"/>
                <w:szCs w:val="16"/>
                <w:color w:val="auto"/>
              </w:rPr>
            </w:pPr>
          </w:p>
        </w:tc>
        <w:tc>
          <w:tcPr>
            <w:tcW w:w="86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5,625</w:t>
            </w:r>
          </w:p>
        </w:tc>
        <w:tc>
          <w:tcPr>
            <w:tcW w:w="340" w:type="dxa"/>
            <w:vAlign w:val="bottom"/>
          </w:tcPr>
          <w:p>
            <w:pPr>
              <w:spacing w:after="0"/>
              <w:rPr>
                <w:sz w:val="16"/>
                <w:szCs w:val="16"/>
                <w:color w:val="auto"/>
              </w:rPr>
            </w:pPr>
          </w:p>
        </w:tc>
        <w:tc>
          <w:tcPr>
            <w:tcW w:w="9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6"/>
                <w:szCs w:val="16"/>
                <w:color w:val="auto"/>
              </w:rPr>
            </w:pPr>
          </w:p>
        </w:tc>
        <w:tc>
          <w:tcPr>
            <w:tcW w:w="8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4,496</w:t>
            </w:r>
          </w:p>
        </w:tc>
        <w:tc>
          <w:tcPr>
            <w:tcW w:w="340" w:type="dxa"/>
            <w:vAlign w:val="bottom"/>
          </w:tcPr>
          <w:p>
            <w:pPr>
              <w:spacing w:after="0"/>
              <w:rPr>
                <w:sz w:val="16"/>
                <w:szCs w:val="16"/>
                <w:color w:val="auto"/>
              </w:rPr>
            </w:pPr>
          </w:p>
        </w:tc>
        <w:tc>
          <w:tcPr>
            <w:tcW w:w="8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Weighted average common and dilutive potential common shares...</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1,791,873</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1,750,686</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1,788,349</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1,739,296</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4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Diluted earnings per common share..............................</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.38</w:t>
            </w:r>
          </w:p>
        </w:tc>
        <w:tc>
          <w:tcPr>
            <w:tcW w:w="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.23</w:t>
            </w:r>
          </w:p>
        </w:tc>
        <w:tc>
          <w:tcPr>
            <w:tcW w:w="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1.36</w:t>
            </w:r>
          </w:p>
        </w:tc>
        <w:tc>
          <w:tcPr>
            <w:tcW w:w="34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.58</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6420" w:type="dxa"/>
            <w:vAlign w:val="bottom"/>
          </w:tcPr>
          <w:p>
            <w:pPr>
              <w:spacing w:after="0"/>
              <w:rPr>
                <w:sz w:val="20"/>
                <w:szCs w:val="20"/>
                <w:color w:val="auto"/>
              </w:rPr>
            </w:pPr>
            <w:r>
              <w:rPr>
                <w:rFonts w:ascii="Courier New" w:cs="Courier New" w:eastAsia="Courier New" w:hAnsi="Courier New"/>
                <w:sz w:val="17"/>
                <w:szCs w:val="17"/>
                <w:color w:val="auto"/>
              </w:rPr>
              <w:t>BASIC EARNINGS PER COMMON SHARE:</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1"/>
        </w:trPr>
        <w:tc>
          <w:tcPr>
            <w:tcW w:w="642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7"/>
              </w:rPr>
              <w:t>Weighted average common shares outstanding (in thousands)......</w:t>
            </w: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1,720,890</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1,680,748</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1,712,804</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1,675,210</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6420" w:type="dxa"/>
            <w:vAlign w:val="bottom"/>
          </w:tcPr>
          <w:p>
            <w:pPr>
              <w:jc w:val="right"/>
              <w:ind w:right="77"/>
              <w:spacing w:after="0"/>
              <w:rPr>
                <w:sz w:val="20"/>
                <w:szCs w:val="20"/>
                <w:color w:val="auto"/>
              </w:rPr>
            </w:pPr>
            <w:r>
              <w:rPr>
                <w:rFonts w:ascii="Courier New" w:cs="Courier New" w:eastAsia="Courier New" w:hAnsi="Courier New"/>
                <w:sz w:val="17"/>
                <w:szCs w:val="17"/>
                <w:color w:val="auto"/>
                <w:w w:val="97"/>
              </w:rPr>
              <w:t>Basic earnings per common share................................</w:t>
            </w:r>
          </w:p>
        </w:tc>
        <w:tc>
          <w:tcPr>
            <w:tcW w:w="24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7"/>
              <w:spacing w:after="0"/>
              <w:rPr>
                <w:sz w:val="20"/>
                <w:szCs w:val="20"/>
                <w:color w:val="auto"/>
              </w:rPr>
            </w:pPr>
            <w:r>
              <w:rPr>
                <w:rFonts w:ascii="Courier New" w:cs="Courier New" w:eastAsia="Courier New" w:hAnsi="Courier New"/>
                <w:sz w:val="17"/>
                <w:szCs w:val="17"/>
                <w:color w:val="auto"/>
              </w:rPr>
              <w:t>.39</w:t>
            </w:r>
          </w:p>
        </w:tc>
        <w:tc>
          <w:tcPr>
            <w:tcW w:w="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.24</w:t>
            </w:r>
          </w:p>
        </w:tc>
        <w:tc>
          <w:tcPr>
            <w:tcW w:w="3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1.42</w:t>
            </w:r>
          </w:p>
        </w:tc>
        <w:tc>
          <w:tcPr>
            <w:tcW w:w="34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.60</w:t>
            </w:r>
          </w:p>
        </w:tc>
      </w:tr>
      <w:tr>
        <w:trPr>
          <w:trHeight w:val="191"/>
        </w:trPr>
        <w:tc>
          <w:tcPr>
            <w:tcW w:w="6420" w:type="dxa"/>
            <w:vAlign w:val="bottom"/>
          </w:tcPr>
          <w:p>
            <w:pPr>
              <w:spacing w:after="0"/>
              <w:rPr>
                <w:sz w:val="16"/>
                <w:szCs w:val="16"/>
                <w:color w:val="auto"/>
              </w:rPr>
            </w:pPr>
          </w:p>
        </w:tc>
        <w:tc>
          <w:tcPr>
            <w:tcW w:w="11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140"/>
          </w:cols>
          <w:pgMar w:left="240" w:top="900" w:right="519" w:bottom="1440" w:gutter="0" w:footer="0" w:header="0"/>
        </w:sectPr>
      </w:pPr>
    </w:p>
    <w:bookmarkStart w:id="34" w:name="page35"/>
    <w:bookmarkEnd w:id="34"/>
    <w:p>
      <w:pPr>
        <w:ind w:left="8760"/>
        <w:spacing w:after="0"/>
        <w:rPr>
          <w:sz w:val="20"/>
          <w:szCs w:val="20"/>
          <w:color w:val="auto"/>
        </w:rPr>
      </w:pPr>
      <w:r>
        <w:rPr>
          <w:rFonts w:ascii="Courier New" w:cs="Courier New" w:eastAsia="Courier New" w:hAnsi="Courier New"/>
          <w:sz w:val="17"/>
          <w:szCs w:val="17"/>
          <w:color w:val="auto"/>
        </w:rPr>
        <w:t>EXHIBIT 12</w:t>
      </w:r>
    </w:p>
    <w:p>
      <w:pPr>
        <w:ind w:left="8760"/>
        <w:spacing w:after="0" w:line="238" w:lineRule="auto"/>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7"/>
          <w:szCs w:val="17"/>
          <w:color w:val="auto"/>
        </w:rPr>
        <w:t>TEXAS INSTRUMENTS INCORPORATED AND SUBSIDIARIES</w:t>
      </w:r>
    </w:p>
    <w:p>
      <w:pPr>
        <w:jc w:val="center"/>
        <w:ind w:right="179"/>
        <w:spacing w:after="0" w:line="238" w:lineRule="auto"/>
        <w:rPr>
          <w:sz w:val="20"/>
          <w:szCs w:val="20"/>
          <w:color w:val="auto"/>
        </w:rPr>
      </w:pPr>
      <w:r>
        <w:rPr>
          <w:rFonts w:ascii="Courier New" w:cs="Courier New" w:eastAsia="Courier New" w:hAnsi="Courier New"/>
          <w:sz w:val="17"/>
          <w:szCs w:val="17"/>
          <w:color w:val="auto"/>
        </w:rPr>
        <w:t>COMPUTATION OF RATIO OF EARNINGS TO FIXED CHARGES</w:t>
      </w:r>
    </w:p>
    <w:p>
      <w:pPr>
        <w:jc w:val="center"/>
        <w:ind w:right="179"/>
        <w:spacing w:after="0" w:line="238" w:lineRule="auto"/>
        <w:rPr>
          <w:sz w:val="20"/>
          <w:szCs w:val="20"/>
          <w:color w:val="auto"/>
        </w:rPr>
      </w:pPr>
      <w:r>
        <w:rPr>
          <w:rFonts w:ascii="Courier New" w:cs="Courier New" w:eastAsia="Courier New" w:hAnsi="Courier New"/>
          <w:sz w:val="17"/>
          <w:szCs w:val="17"/>
          <w:color w:val="auto"/>
        </w:rPr>
        <w:t>(Dollars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gridSpan w:val="3"/>
          </w:tcPr>
          <w:p>
            <w:pPr>
              <w:jc w:val="right"/>
              <w:ind w:right="17"/>
              <w:spacing w:after="0"/>
              <w:rPr>
                <w:sz w:val="20"/>
                <w:szCs w:val="20"/>
                <w:color w:val="auto"/>
              </w:rPr>
            </w:pPr>
            <w:r>
              <w:rPr>
                <w:rFonts w:ascii="Courier New" w:cs="Courier New" w:eastAsia="Courier New" w:hAnsi="Courier New"/>
                <w:sz w:val="17"/>
                <w:szCs w:val="17"/>
                <w:color w:val="auto"/>
                <w:w w:val="95"/>
              </w:rPr>
              <w:t>For Nine Months</w:t>
            </w:r>
          </w:p>
        </w:tc>
      </w:tr>
      <w:tr>
        <w:trPr>
          <w:trHeight w:val="191"/>
        </w:trPr>
        <w:tc>
          <w:tcPr>
            <w:tcW w:w="4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Ended Sept 30</w:t>
            </w:r>
          </w:p>
        </w:tc>
      </w:tr>
      <w:tr>
        <w:trPr>
          <w:trHeight w:val="191"/>
        </w:trPr>
        <w:tc>
          <w:tcPr>
            <w:tcW w:w="4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gridSpan w:val="3"/>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1995</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1996</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1997</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1998</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1999</w:t>
            </w:r>
          </w:p>
        </w:tc>
        <w:tc>
          <w:tcPr>
            <w:tcW w:w="9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1999</w:t>
            </w: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2000</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Income from continuing operations before</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income taxes and fixed charges: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Income before extraordinary item,</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interest expense on loans,</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457"/>
              <w:spacing w:after="0" w:line="191" w:lineRule="exact"/>
              <w:rPr>
                <w:sz w:val="20"/>
                <w:szCs w:val="20"/>
                <w:color w:val="auto"/>
              </w:rPr>
            </w:pPr>
            <w:r>
              <w:rPr>
                <w:rFonts w:ascii="Courier New" w:cs="Courier New" w:eastAsia="Courier New" w:hAnsi="Courier New"/>
                <w:sz w:val="17"/>
                <w:szCs w:val="17"/>
                <w:color w:val="auto"/>
              </w:rPr>
              <w:t>capitalized interest amortized,</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and provision for income taxes.....</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$1,604</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$ 146</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$ 929</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$ 774</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$2,175</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$1,579</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$3,781</w:t>
            </w:r>
          </w:p>
        </w:tc>
      </w:tr>
      <w:tr>
        <w:trPr>
          <w:trHeight w:val="191"/>
        </w:trPr>
        <w:tc>
          <w:tcPr>
            <w:tcW w:w="4220" w:type="dxa"/>
            <w:vAlign w:val="bottom"/>
          </w:tcPr>
          <w:p>
            <w:pPr>
              <w:jc w:val="right"/>
              <w:ind w:right="957"/>
              <w:spacing w:after="0" w:line="191" w:lineRule="exact"/>
              <w:rPr>
                <w:sz w:val="20"/>
                <w:szCs w:val="20"/>
                <w:color w:val="auto"/>
              </w:rPr>
            </w:pPr>
            <w:r>
              <w:rPr>
                <w:rFonts w:ascii="Courier New" w:cs="Courier New" w:eastAsia="Courier New" w:hAnsi="Courier New"/>
                <w:sz w:val="17"/>
                <w:szCs w:val="17"/>
                <w:color w:val="auto"/>
              </w:rPr>
              <w:t>Add interest attributable to</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rental and lease expense...........</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41</w:t>
            </w:r>
          </w:p>
        </w:tc>
        <w:tc>
          <w:tcPr>
            <w:tcW w:w="74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30</w:t>
            </w:r>
          </w:p>
        </w:tc>
        <w:tc>
          <w:tcPr>
            <w:tcW w:w="4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$1,645</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$ 190</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$ 973</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$ 815</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$2,205</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$1,608</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$3,804</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220" w:type="dxa"/>
            <w:vAlign w:val="bottom"/>
          </w:tcPr>
          <w:p>
            <w:pPr>
              <w:spacing w:after="0"/>
              <w:rPr>
                <w:sz w:val="20"/>
                <w:szCs w:val="20"/>
                <w:color w:val="auto"/>
              </w:rPr>
            </w:pPr>
            <w:r>
              <w:rPr>
                <w:rFonts w:ascii="Courier New" w:cs="Courier New" w:eastAsia="Courier New" w:hAnsi="Courier New"/>
                <w:sz w:val="17"/>
                <w:szCs w:val="17"/>
                <w:color w:val="auto"/>
              </w:rPr>
              <w:t>Fixed charges: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interest on loans (expensed</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and capitalized).....................</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71</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$ 108</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$ 115</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86</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84</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$ 75</w:t>
            </w:r>
          </w:p>
        </w:tc>
      </w:tr>
      <w:tr>
        <w:trPr>
          <w:trHeight w:val="191"/>
        </w:trPr>
        <w:tc>
          <w:tcPr>
            <w:tcW w:w="42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Interest attributable to rental</w:t>
            </w: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and lease expense....................</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41</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44</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44</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41</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w:t>
            </w:r>
          </w:p>
        </w:tc>
        <w:tc>
          <w:tcPr>
            <w:tcW w:w="4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29</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22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w w:val="97"/>
              </w:rPr>
              <w:t>Fixed charges............................</w:t>
            </w: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$ 112</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$ 152</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$ 159</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$ 127</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$ 114</w:t>
            </w:r>
          </w:p>
        </w:tc>
        <w:tc>
          <w:tcPr>
            <w:tcW w:w="4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77"/>
              </w:rPr>
              <w:t>$</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89</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98</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574"/>
        </w:trPr>
        <w:tc>
          <w:tcPr>
            <w:tcW w:w="422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7"/>
              </w:rPr>
              <w:t>Ratio of earnings to fixed charges.......</w:t>
            </w:r>
          </w:p>
        </w:tc>
        <w:tc>
          <w:tcPr>
            <w:tcW w:w="9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14.7</w:t>
            </w:r>
          </w:p>
        </w:tc>
        <w:tc>
          <w:tcPr>
            <w:tcW w:w="8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1.2</w:t>
            </w:r>
          </w:p>
        </w:tc>
        <w:tc>
          <w:tcPr>
            <w:tcW w:w="8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6.1</w:t>
            </w:r>
          </w:p>
        </w:tc>
        <w:tc>
          <w:tcPr>
            <w:tcW w:w="8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6.4</w:t>
            </w:r>
          </w:p>
        </w:tc>
        <w:tc>
          <w:tcPr>
            <w:tcW w:w="740" w:type="dxa"/>
            <w:vAlign w:val="bottom"/>
          </w:tcPr>
          <w:p>
            <w:pPr>
              <w:jc w:val="right"/>
              <w:spacing w:after="0"/>
              <w:rPr>
                <w:sz w:val="20"/>
                <w:szCs w:val="20"/>
                <w:color w:val="auto"/>
              </w:rPr>
            </w:pPr>
            <w:r>
              <w:rPr>
                <w:rFonts w:ascii="Courier New" w:cs="Courier New" w:eastAsia="Courier New" w:hAnsi="Courier New"/>
                <w:sz w:val="17"/>
                <w:szCs w:val="17"/>
                <w:color w:val="auto"/>
              </w:rPr>
              <w:t>19.3</w:t>
            </w:r>
          </w:p>
        </w:tc>
        <w:tc>
          <w:tcPr>
            <w:tcW w:w="400" w:type="dxa"/>
            <w:vAlign w:val="bottom"/>
          </w:tcPr>
          <w:p>
            <w:pPr>
              <w:spacing w:after="0"/>
              <w:rPr>
                <w:sz w:val="24"/>
                <w:szCs w:val="24"/>
                <w:color w:val="auto"/>
              </w:rPr>
            </w:pP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3"/>
              </w:rPr>
              <w:t>18.0</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38.9</w:t>
            </w:r>
          </w:p>
        </w:tc>
      </w:tr>
      <w:tr>
        <w:trPr>
          <w:trHeight w:val="191"/>
        </w:trPr>
        <w:tc>
          <w:tcPr>
            <w:tcW w:w="4220" w:type="dxa"/>
            <w:vAlign w:val="bottom"/>
          </w:tcPr>
          <w:p>
            <w:pPr>
              <w:spacing w:after="0"/>
              <w:rPr>
                <w:sz w:val="16"/>
                <w:szCs w:val="16"/>
                <w:color w:val="auto"/>
              </w:rPr>
            </w:pPr>
          </w:p>
        </w:tc>
        <w:tc>
          <w:tcPr>
            <w:tcW w:w="9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0219"/>
          </w:cols>
          <w:pgMar w:left="240" w:top="900" w:right="1440" w:bottom="1440" w:gutter="0" w:footer="0" w:header="0"/>
        </w:sectPr>
      </w:pPr>
    </w:p>
    <w:bookmarkStart w:id="35" w:name="page36"/>
    <w:bookmarkEnd w:id="35"/>
    <w:p>
      <w:pPr>
        <w:jc w:val="right"/>
        <w:spacing w:after="0" w:line="191"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8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2439"/>
        <w:spacing w:after="0" w:line="236" w:lineRule="auto"/>
        <w:rPr>
          <w:sz w:val="20"/>
          <w:szCs w:val="20"/>
          <w:color w:val="auto"/>
        </w:rPr>
      </w:pPr>
      <w:r>
        <w:rPr>
          <w:rFonts w:ascii="Courier New" w:cs="Courier New" w:eastAsia="Courier New" w:hAnsi="Courier New"/>
          <w:sz w:val="17"/>
          <w:szCs w:val="17"/>
          <w:color w:val="auto"/>
        </w:rPr>
        <w:t>THIS SCHEDULE CONTAINS SUMMARY FINANCIAL INFORMATION EXTRACTED FROM THE CONSOLIDATED FINANCIAL STATEMENTS OF TEXAS INSTRUMENTS INCORPORATED AND SUBSIDIARIES AS OF SEPTEMBER 30, 2000, AND FOR THE NINE MONTHS THEN ENDED, AND IS QUALIFIED IN ITS ENTIRETY BY REFERENCE TO SUCH FINANCIAL STATEMENTS.</w:t>
      </w:r>
    </w:p>
    <w:p>
      <w:pPr>
        <w:spacing w:after="0" w:line="192"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spacing w:after="0" w:line="381"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9-MOS</w:t>
      </w:r>
    </w:p>
    <w:p>
      <w:pPr>
        <w:ind w:left="2560"/>
        <w:spacing w:after="0" w:line="238" w:lineRule="auto"/>
        <w:rPr>
          <w:sz w:val="20"/>
          <w:szCs w:val="20"/>
          <w:color w:val="auto"/>
        </w:rPr>
      </w:pPr>
      <w:r>
        <w:rPr>
          <w:rFonts w:ascii="Courier New" w:cs="Courier New" w:eastAsia="Courier New" w:hAnsi="Courier New"/>
          <w:sz w:val="17"/>
          <w:szCs w:val="17"/>
          <w:color w:val="auto"/>
        </w:rPr>
        <w:t>DEC-31-2000</w:t>
      </w:r>
    </w:p>
    <w:p>
      <w:pPr>
        <w:ind w:left="3060"/>
        <w:spacing w:after="0" w:line="238" w:lineRule="auto"/>
        <w:rPr>
          <w:sz w:val="20"/>
          <w:szCs w:val="20"/>
          <w:color w:val="auto"/>
        </w:rPr>
      </w:pPr>
      <w:r>
        <w:rPr>
          <w:rFonts w:ascii="Courier New" w:cs="Courier New" w:eastAsia="Courier New" w:hAnsi="Courier New"/>
          <w:sz w:val="17"/>
          <w:szCs w:val="17"/>
          <w:color w:val="auto"/>
        </w:rPr>
        <w:t>SEP-30-2000</w:t>
      </w:r>
    </w:p>
    <w:p>
      <w:pPr>
        <w:ind w:left="4460"/>
        <w:spacing w:after="0"/>
        <w:rPr>
          <w:sz w:val="20"/>
          <w:szCs w:val="20"/>
          <w:color w:val="auto"/>
        </w:rPr>
      </w:pPr>
      <w:r>
        <w:rPr>
          <w:rFonts w:ascii="Courier New" w:cs="Courier New" w:eastAsia="Courier New" w:hAnsi="Courier New"/>
          <w:sz w:val="17"/>
          <w:szCs w:val="17"/>
          <w:color w:val="auto"/>
        </w:rPr>
        <w:t>938</w:t>
      </w:r>
    </w:p>
    <w:p>
      <w:pPr>
        <w:ind w:left="3660"/>
        <w:spacing w:after="0" w:line="237" w:lineRule="auto"/>
        <w:rPr>
          <w:sz w:val="20"/>
          <w:szCs w:val="20"/>
          <w:color w:val="auto"/>
        </w:rPr>
      </w:pPr>
      <w:r>
        <w:rPr>
          <w:rFonts w:ascii="Courier New" w:cs="Courier New" w:eastAsia="Courier New" w:hAnsi="Courier New"/>
          <w:sz w:val="17"/>
          <w:szCs w:val="17"/>
          <w:color w:val="auto"/>
        </w:rPr>
        <w:t>3,617</w:t>
      </w:r>
    </w:p>
    <w:p>
      <w:pPr>
        <w:ind w:left="3560"/>
        <w:spacing w:after="0" w:line="238" w:lineRule="auto"/>
        <w:rPr>
          <w:sz w:val="20"/>
          <w:szCs w:val="20"/>
          <w:color w:val="auto"/>
        </w:rPr>
      </w:pPr>
      <w:r>
        <w:rPr>
          <w:rFonts w:ascii="Courier New" w:cs="Courier New" w:eastAsia="Courier New" w:hAnsi="Courier New"/>
          <w:sz w:val="17"/>
          <w:szCs w:val="17"/>
          <w:color w:val="auto"/>
        </w:rPr>
        <w:t>2,362</w:t>
      </w:r>
    </w:p>
    <w:p>
      <w:pPr>
        <w:ind w:left="3960"/>
        <w:spacing w:after="0"/>
        <w:rPr>
          <w:sz w:val="20"/>
          <w:szCs w:val="20"/>
          <w:color w:val="auto"/>
        </w:rPr>
      </w:pPr>
      <w:r>
        <w:rPr>
          <w:rFonts w:ascii="Courier New" w:cs="Courier New" w:eastAsia="Courier New" w:hAnsi="Courier New"/>
          <w:sz w:val="17"/>
          <w:szCs w:val="17"/>
          <w:color w:val="auto"/>
        </w:rPr>
        <w:t>59</w:t>
      </w:r>
    </w:p>
    <w:p>
      <w:pPr>
        <w:ind w:left="3760"/>
        <w:spacing w:after="0" w:line="237" w:lineRule="auto"/>
        <w:rPr>
          <w:sz w:val="20"/>
          <w:szCs w:val="20"/>
          <w:color w:val="auto"/>
        </w:rPr>
      </w:pPr>
      <w:r>
        <w:rPr>
          <w:rFonts w:ascii="Courier New" w:cs="Courier New" w:eastAsia="Courier New" w:hAnsi="Courier New"/>
          <w:sz w:val="17"/>
          <w:szCs w:val="17"/>
          <w:color w:val="auto"/>
        </w:rPr>
        <w:t>1,122</w:t>
      </w:r>
    </w:p>
    <w:p>
      <w:pPr>
        <w:ind w:left="3260"/>
        <w:spacing w:after="0"/>
        <w:rPr>
          <w:sz w:val="20"/>
          <w:szCs w:val="20"/>
          <w:color w:val="auto"/>
        </w:rPr>
      </w:pPr>
      <w:r>
        <w:rPr>
          <w:rFonts w:ascii="Courier New" w:cs="Courier New" w:eastAsia="Courier New" w:hAnsi="Courier New"/>
          <w:sz w:val="17"/>
          <w:szCs w:val="17"/>
          <w:color w:val="auto"/>
        </w:rPr>
        <w:t>8,708</w:t>
      </w:r>
    </w:p>
    <w:p>
      <w:pPr>
        <w:ind w:left="4260"/>
        <w:spacing w:after="0" w:line="237" w:lineRule="auto"/>
        <w:rPr>
          <w:sz w:val="20"/>
          <w:szCs w:val="20"/>
          <w:color w:val="auto"/>
        </w:rPr>
      </w:pPr>
      <w:r>
        <w:rPr>
          <w:rFonts w:ascii="Courier New" w:cs="Courier New" w:eastAsia="Courier New" w:hAnsi="Courier New"/>
          <w:sz w:val="17"/>
          <w:szCs w:val="17"/>
          <w:color w:val="auto"/>
        </w:rPr>
        <w:t>8,478</w:t>
      </w:r>
    </w:p>
    <w:p>
      <w:pPr>
        <w:ind w:left="3460"/>
        <w:spacing w:after="0" w:line="238" w:lineRule="auto"/>
        <w:rPr>
          <w:sz w:val="20"/>
          <w:szCs w:val="20"/>
          <w:color w:val="auto"/>
        </w:rPr>
      </w:pPr>
      <w:r>
        <w:rPr>
          <w:rFonts w:ascii="Courier New" w:cs="Courier New" w:eastAsia="Courier New" w:hAnsi="Courier New"/>
          <w:sz w:val="17"/>
          <w:szCs w:val="17"/>
          <w:color w:val="auto"/>
        </w:rPr>
        <w:t>3,623</w:t>
      </w:r>
    </w:p>
    <w:p>
      <w:pPr>
        <w:ind w:left="3360"/>
        <w:spacing w:after="0"/>
        <w:rPr>
          <w:sz w:val="20"/>
          <w:szCs w:val="20"/>
          <w:color w:val="auto"/>
        </w:rPr>
      </w:pPr>
      <w:r>
        <w:rPr>
          <w:rFonts w:ascii="Courier New" w:cs="Courier New" w:eastAsia="Courier New" w:hAnsi="Courier New"/>
          <w:sz w:val="17"/>
          <w:szCs w:val="17"/>
          <w:color w:val="auto"/>
        </w:rPr>
        <w:t>18,339</w:t>
      </w:r>
    </w:p>
    <w:p>
      <w:pPr>
        <w:ind w:left="2760"/>
        <w:spacing w:after="0" w:line="237" w:lineRule="auto"/>
        <w:rPr>
          <w:sz w:val="20"/>
          <w:szCs w:val="20"/>
          <w:color w:val="auto"/>
        </w:rPr>
      </w:pPr>
      <w:r>
        <w:rPr>
          <w:rFonts w:ascii="Courier New" w:cs="Courier New" w:eastAsia="Courier New" w:hAnsi="Courier New"/>
          <w:sz w:val="17"/>
          <w:szCs w:val="17"/>
          <w:color w:val="auto"/>
        </w:rPr>
        <w:t>2,869</w:t>
      </w:r>
    </w:p>
    <w:p>
      <w:pPr>
        <w:ind w:left="4160"/>
        <w:spacing w:after="0" w:line="238" w:lineRule="auto"/>
        <w:rPr>
          <w:sz w:val="20"/>
          <w:szCs w:val="20"/>
          <w:color w:val="auto"/>
        </w:rPr>
      </w:pPr>
      <w:r>
        <w:rPr>
          <w:rFonts w:ascii="Courier New" w:cs="Courier New" w:eastAsia="Courier New" w:hAnsi="Courier New"/>
          <w:sz w:val="17"/>
          <w:szCs w:val="17"/>
          <w:color w:val="auto"/>
        </w:rPr>
        <w:t>1,213</w:t>
      </w:r>
    </w:p>
    <w:p>
      <w:pPr>
        <w:ind w:left="3160"/>
        <w:spacing w:after="0"/>
        <w:rPr>
          <w:sz w:val="20"/>
          <w:szCs w:val="20"/>
          <w:color w:val="auto"/>
        </w:rPr>
      </w:pPr>
      <w:r>
        <w:rPr>
          <w:rFonts w:ascii="Courier New" w:cs="Courier New" w:eastAsia="Courier New" w:hAnsi="Courier New"/>
          <w:sz w:val="17"/>
          <w:szCs w:val="17"/>
          <w:color w:val="auto"/>
        </w:rPr>
        <w:t>0</w:t>
      </w:r>
    </w:p>
    <w:p>
      <w:pPr>
        <w:ind w:left="4160"/>
        <w:spacing w:after="0" w:line="237" w:lineRule="auto"/>
        <w:rPr>
          <w:sz w:val="20"/>
          <w:szCs w:val="20"/>
          <w:color w:val="auto"/>
        </w:rPr>
      </w:pPr>
      <w:r>
        <w:rPr>
          <w:rFonts w:ascii="Courier New" w:cs="Courier New" w:eastAsia="Courier New" w:hAnsi="Courier New"/>
          <w:sz w:val="17"/>
          <w:szCs w:val="17"/>
          <w:color w:val="auto"/>
        </w:rPr>
        <w:t>0</w:t>
      </w:r>
    </w:p>
    <w:p>
      <w:pPr>
        <w:ind w:left="4060"/>
        <w:spacing w:after="0" w:line="238" w:lineRule="auto"/>
        <w:rPr>
          <w:sz w:val="20"/>
          <w:szCs w:val="20"/>
          <w:color w:val="auto"/>
        </w:rPr>
      </w:pPr>
      <w:r>
        <w:rPr>
          <w:rFonts w:ascii="Courier New" w:cs="Courier New" w:eastAsia="Courier New" w:hAnsi="Courier New"/>
          <w:sz w:val="17"/>
          <w:szCs w:val="17"/>
          <w:color w:val="auto"/>
        </w:rPr>
        <w:t>1,731</w:t>
      </w:r>
    </w:p>
    <w:p>
      <w:pPr>
        <w:ind w:left="3760"/>
        <w:spacing w:after="0"/>
        <w:rPr>
          <w:sz w:val="20"/>
          <w:szCs w:val="20"/>
          <w:color w:val="auto"/>
        </w:rPr>
      </w:pPr>
      <w:r>
        <w:rPr>
          <w:rFonts w:ascii="Courier New" w:cs="Courier New" w:eastAsia="Courier New" w:hAnsi="Courier New"/>
          <w:sz w:val="17"/>
          <w:szCs w:val="17"/>
          <w:color w:val="auto"/>
        </w:rPr>
        <w:t>10,710</w:t>
      </w:r>
    </w:p>
    <w:p>
      <w:pPr>
        <w:ind w:left="1980"/>
        <w:spacing w:after="0" w:line="237" w:lineRule="auto"/>
        <w:rPr>
          <w:sz w:val="20"/>
          <w:szCs w:val="20"/>
          <w:color w:val="auto"/>
        </w:rPr>
      </w:pPr>
      <w:r>
        <w:rPr>
          <w:rFonts w:ascii="Courier New" w:cs="Courier New" w:eastAsia="Courier New" w:hAnsi="Courier New"/>
          <w:sz w:val="17"/>
          <w:szCs w:val="17"/>
          <w:color w:val="auto"/>
        </w:rPr>
        <w:t>18,339</w:t>
      </w:r>
    </w:p>
    <w:p>
      <w:pPr>
        <w:ind w:left="4160"/>
        <w:spacing w:after="0" w:line="238" w:lineRule="auto"/>
        <w:rPr>
          <w:sz w:val="20"/>
          <w:szCs w:val="20"/>
          <w:color w:val="auto"/>
        </w:rPr>
      </w:pPr>
      <w:r>
        <w:rPr>
          <w:rFonts w:ascii="Courier New" w:cs="Courier New" w:eastAsia="Courier New" w:hAnsi="Courier New"/>
          <w:sz w:val="17"/>
          <w:szCs w:val="17"/>
          <w:color w:val="auto"/>
        </w:rPr>
        <w:t>8,851</w:t>
      </w:r>
    </w:p>
    <w:p>
      <w:pPr>
        <w:ind w:left="3260"/>
        <w:spacing w:after="0"/>
        <w:rPr>
          <w:sz w:val="20"/>
          <w:szCs w:val="20"/>
          <w:color w:val="auto"/>
        </w:rPr>
      </w:pPr>
      <w:r>
        <w:rPr>
          <w:rFonts w:ascii="Courier New" w:cs="Courier New" w:eastAsia="Courier New" w:hAnsi="Courier New"/>
          <w:sz w:val="17"/>
          <w:szCs w:val="17"/>
          <w:color w:val="auto"/>
        </w:rPr>
        <w:t>8,851</w:t>
      </w:r>
    </w:p>
    <w:p>
      <w:pPr>
        <w:ind w:left="4360"/>
        <w:spacing w:after="0" w:line="237" w:lineRule="auto"/>
        <w:rPr>
          <w:sz w:val="20"/>
          <w:szCs w:val="20"/>
          <w:color w:val="auto"/>
        </w:rPr>
      </w:pPr>
      <w:r>
        <w:rPr>
          <w:rFonts w:ascii="Courier New" w:cs="Courier New" w:eastAsia="Courier New" w:hAnsi="Courier New"/>
          <w:sz w:val="17"/>
          <w:szCs w:val="17"/>
          <w:color w:val="auto"/>
        </w:rPr>
        <w:t>4,548</w:t>
      </w:r>
    </w:p>
    <w:p>
      <w:pPr>
        <w:ind w:left="3560"/>
        <w:spacing w:after="0" w:line="238" w:lineRule="auto"/>
        <w:rPr>
          <w:sz w:val="20"/>
          <w:szCs w:val="20"/>
          <w:color w:val="auto"/>
        </w:rPr>
      </w:pPr>
      <w:r>
        <w:rPr>
          <w:rFonts w:ascii="Courier New" w:cs="Courier New" w:eastAsia="Courier New" w:hAnsi="Courier New"/>
          <w:sz w:val="17"/>
          <w:szCs w:val="17"/>
          <w:color w:val="auto"/>
        </w:rPr>
        <w:t>4,548</w:t>
      </w:r>
    </w:p>
    <w:p>
      <w:pPr>
        <w:ind w:left="3260"/>
        <w:spacing w:after="0"/>
        <w:rPr>
          <w:sz w:val="20"/>
          <w:szCs w:val="20"/>
          <w:color w:val="auto"/>
        </w:rPr>
      </w:pPr>
      <w:r>
        <w:rPr>
          <w:rFonts w:ascii="Courier New" w:cs="Courier New" w:eastAsia="Courier New" w:hAnsi="Courier New"/>
          <w:sz w:val="17"/>
          <w:szCs w:val="17"/>
          <w:color w:val="auto"/>
        </w:rPr>
        <w:t>1,306</w:t>
      </w:r>
    </w:p>
    <w:p>
      <w:pPr>
        <w:ind w:left="3660"/>
        <w:spacing w:after="0" w:line="237" w:lineRule="auto"/>
        <w:rPr>
          <w:sz w:val="20"/>
          <w:szCs w:val="20"/>
          <w:color w:val="auto"/>
        </w:rPr>
      </w:pPr>
      <w:r>
        <w:rPr>
          <w:rFonts w:ascii="Courier New" w:cs="Courier New" w:eastAsia="Courier New" w:hAnsi="Courier New"/>
          <w:sz w:val="17"/>
          <w:szCs w:val="17"/>
          <w:color w:val="auto"/>
        </w:rPr>
        <w:t>0</w:t>
      </w:r>
    </w:p>
    <w:p>
      <w:pPr>
        <w:ind w:left="3360"/>
        <w:spacing w:after="0" w:line="238" w:lineRule="auto"/>
        <w:rPr>
          <w:sz w:val="20"/>
          <w:szCs w:val="20"/>
          <w:color w:val="auto"/>
        </w:rPr>
      </w:pPr>
      <w:r>
        <w:rPr>
          <w:rFonts w:ascii="Courier New" w:cs="Courier New" w:eastAsia="Courier New" w:hAnsi="Courier New"/>
          <w:sz w:val="17"/>
          <w:szCs w:val="17"/>
          <w:color w:val="auto"/>
        </w:rPr>
        <w:t>58</w:t>
      </w:r>
    </w:p>
    <w:p>
      <w:pPr>
        <w:ind w:left="3360"/>
        <w:spacing w:after="0"/>
        <w:rPr>
          <w:sz w:val="20"/>
          <w:szCs w:val="20"/>
          <w:color w:val="auto"/>
        </w:rPr>
      </w:pPr>
      <w:r>
        <w:rPr>
          <w:rFonts w:ascii="Courier New" w:cs="Courier New" w:eastAsia="Courier New" w:hAnsi="Courier New"/>
          <w:sz w:val="17"/>
          <w:szCs w:val="17"/>
          <w:color w:val="auto"/>
        </w:rPr>
        <w:t>3,711</w:t>
      </w:r>
    </w:p>
    <w:p>
      <w:pPr>
        <w:ind w:left="3660"/>
        <w:spacing w:after="0" w:line="237" w:lineRule="auto"/>
        <w:rPr>
          <w:sz w:val="20"/>
          <w:szCs w:val="20"/>
          <w:color w:val="auto"/>
        </w:rPr>
      </w:pPr>
      <w:r>
        <w:rPr>
          <w:rFonts w:ascii="Courier New" w:cs="Courier New" w:eastAsia="Courier New" w:hAnsi="Courier New"/>
          <w:sz w:val="17"/>
          <w:szCs w:val="17"/>
          <w:color w:val="auto"/>
        </w:rPr>
        <w:t>1,286</w:t>
      </w:r>
    </w:p>
    <w:p>
      <w:pPr>
        <w:ind w:left="2960"/>
        <w:spacing w:after="0" w:line="238" w:lineRule="auto"/>
        <w:rPr>
          <w:sz w:val="20"/>
          <w:szCs w:val="20"/>
          <w:color w:val="auto"/>
        </w:rPr>
      </w:pPr>
      <w:r>
        <w:rPr>
          <w:rFonts w:ascii="Courier New" w:cs="Courier New" w:eastAsia="Courier New" w:hAnsi="Courier New"/>
          <w:sz w:val="17"/>
          <w:szCs w:val="17"/>
          <w:color w:val="auto"/>
        </w:rPr>
        <w:t>2,425</w:t>
      </w:r>
    </w:p>
    <w:p>
      <w:pPr>
        <w:ind w:left="3860"/>
        <w:spacing w:after="0"/>
        <w:rPr>
          <w:sz w:val="20"/>
          <w:szCs w:val="20"/>
          <w:color w:val="auto"/>
        </w:rPr>
      </w:pPr>
      <w:r>
        <w:rPr>
          <w:rFonts w:ascii="Courier New" w:cs="Courier New" w:eastAsia="Courier New" w:hAnsi="Courier New"/>
          <w:sz w:val="17"/>
          <w:szCs w:val="17"/>
          <w:color w:val="auto"/>
        </w:rPr>
        <w:t>0</w:t>
      </w:r>
    </w:p>
    <w:p>
      <w:pPr>
        <w:ind w:left="3760"/>
        <w:spacing w:after="0" w:line="237" w:lineRule="auto"/>
        <w:rPr>
          <w:sz w:val="20"/>
          <w:szCs w:val="20"/>
          <w:color w:val="auto"/>
        </w:rPr>
      </w:pPr>
      <w:r>
        <w:rPr>
          <w:rFonts w:ascii="Courier New" w:cs="Courier New" w:eastAsia="Courier New" w:hAnsi="Courier New"/>
          <w:sz w:val="17"/>
          <w:szCs w:val="17"/>
          <w:color w:val="auto"/>
        </w:rPr>
        <w:t>0</w:t>
      </w:r>
    </w:p>
    <w:p>
      <w:pPr>
        <w:ind w:left="4360"/>
        <w:spacing w:after="0"/>
        <w:rPr>
          <w:sz w:val="20"/>
          <w:szCs w:val="20"/>
          <w:color w:val="auto"/>
        </w:rPr>
      </w:pPr>
      <w:r>
        <w:rPr>
          <w:rFonts w:ascii="Courier New" w:cs="Courier New" w:eastAsia="Courier New" w:hAnsi="Courier New"/>
          <w:sz w:val="17"/>
          <w:szCs w:val="17"/>
          <w:color w:val="auto"/>
        </w:rPr>
        <w:t>0</w:t>
      </w:r>
    </w:p>
    <w:p>
      <w:pPr>
        <w:ind w:left="3660"/>
        <w:spacing w:after="0" w:line="237" w:lineRule="auto"/>
        <w:rPr>
          <w:sz w:val="20"/>
          <w:szCs w:val="20"/>
          <w:color w:val="auto"/>
        </w:rPr>
      </w:pPr>
      <w:r>
        <w:rPr>
          <w:rFonts w:ascii="Courier New" w:cs="Courier New" w:eastAsia="Courier New" w:hAnsi="Courier New"/>
          <w:sz w:val="17"/>
          <w:szCs w:val="17"/>
          <w:color w:val="auto"/>
        </w:rPr>
        <w:t>2,425</w:t>
      </w:r>
    </w:p>
    <w:p>
      <w:pPr>
        <w:ind w:left="3860"/>
        <w:spacing w:after="0" w:line="238" w:lineRule="auto"/>
        <w:rPr>
          <w:sz w:val="20"/>
          <w:szCs w:val="20"/>
          <w:color w:val="auto"/>
        </w:rPr>
      </w:pPr>
      <w:r>
        <w:rPr>
          <w:rFonts w:ascii="Courier New" w:cs="Courier New" w:eastAsia="Courier New" w:hAnsi="Courier New"/>
          <w:sz w:val="17"/>
          <w:szCs w:val="17"/>
          <w:color w:val="auto"/>
        </w:rPr>
        <w:t>1.42</w:t>
      </w:r>
    </w:p>
    <w:p>
      <w:pPr>
        <w:ind w:left="3660"/>
        <w:spacing w:after="0"/>
        <w:rPr>
          <w:sz w:val="20"/>
          <w:szCs w:val="20"/>
          <w:color w:val="auto"/>
        </w:rPr>
      </w:pPr>
      <w:r>
        <w:rPr>
          <w:rFonts w:ascii="Courier New" w:cs="Courier New" w:eastAsia="Courier New" w:hAnsi="Courier New"/>
          <w:sz w:val="17"/>
          <w:szCs w:val="17"/>
          <w:color w:val="auto"/>
        </w:rPr>
        <w:t>1.36</w:t>
      </w:r>
    </w:p>
    <w:p>
      <w:pPr>
        <w:sectPr>
          <w:pgSz w:w="11900" w:h="16838" w:orient="portrait"/>
          <w:cols w:equalWidth="0" w:num="1">
            <w:col w:w="10199"/>
          </w:cols>
          <w:pgMar w:left="260" w:top="135" w:right="1440" w:bottom="1440" w:gutter="0" w:footer="0" w:header="0"/>
        </w:sectPr>
      </w:pPr>
    </w:p>
    <w:bookmarkStart w:id="37" w:name="page38"/>
    <w:bookmarkEnd w:id="3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ind w:left="8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7"/>
          <w:szCs w:val="17"/>
          <w:color w:val="auto"/>
        </w:rPr>
        <w:t>THIS RESTATED FINANCIAL DATA SCHEDULE CONTAINS SUMMARY FINANCIAL INFORMATION EXTRACTED FROM THE CONSOLIDATED FINANCIAL STATEMENTS OF TEXAS INSTRUMENTS INCORPORATED AND SUBSIDIARIES AS OF SEPTEMBER 30, 1999, AND FOR THE NINE MONTHS THEN ENDED, AND IS QUALIFIED IN ITS ENTIRETY BY REFERENCE TO SUCH FINANCIAL STATEMENTS.</w:t>
      </w:r>
    </w:p>
    <w:p>
      <w:pPr>
        <w:spacing w:after="0" w:line="381" w:lineRule="exact"/>
        <w:rPr>
          <w:sz w:val="20"/>
          <w:szCs w:val="20"/>
          <w:color w:val="auto"/>
        </w:rPr>
      </w:pPr>
    </w:p>
    <w:p>
      <w:pPr>
        <w:ind w:left="80"/>
        <w:spacing w:after="0"/>
        <w:rPr>
          <w:sz w:val="20"/>
          <w:szCs w:val="20"/>
          <w:color w:val="auto"/>
        </w:rPr>
      </w:pPr>
      <w:r>
        <w:rPr>
          <w:rFonts w:ascii="Courier New" w:cs="Courier New" w:eastAsia="Courier New" w:hAnsi="Courier New"/>
          <w:sz w:val="17"/>
          <w:szCs w:val="17"/>
          <w:color w:val="auto"/>
        </w:rPr>
        <w:t>1,000,000</w:t>
      </w:r>
    </w:p>
    <w:p>
      <w:pPr>
        <w:spacing w:after="0" w:line="381"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9-MOS</w:t>
      </w:r>
    </w:p>
    <w:p>
      <w:pPr>
        <w:ind w:left="2560"/>
        <w:spacing w:after="0" w:line="238" w:lineRule="auto"/>
        <w:rPr>
          <w:sz w:val="20"/>
          <w:szCs w:val="20"/>
          <w:color w:val="auto"/>
        </w:rPr>
      </w:pPr>
      <w:r>
        <w:rPr>
          <w:rFonts w:ascii="Courier New" w:cs="Courier New" w:eastAsia="Courier New" w:hAnsi="Courier New"/>
          <w:sz w:val="17"/>
          <w:szCs w:val="17"/>
          <w:color w:val="auto"/>
        </w:rPr>
        <w:t>DEC-31-1999</w:t>
      </w:r>
    </w:p>
    <w:p>
      <w:pPr>
        <w:ind w:left="3060"/>
        <w:spacing w:after="0" w:line="238" w:lineRule="auto"/>
        <w:rPr>
          <w:sz w:val="20"/>
          <w:szCs w:val="20"/>
          <w:color w:val="auto"/>
        </w:rPr>
      </w:pPr>
      <w:r>
        <w:rPr>
          <w:rFonts w:ascii="Courier New" w:cs="Courier New" w:eastAsia="Courier New" w:hAnsi="Courier New"/>
          <w:sz w:val="17"/>
          <w:szCs w:val="17"/>
          <w:color w:val="auto"/>
        </w:rPr>
        <w:t>SEP-30-1999</w:t>
      </w:r>
    </w:p>
    <w:p>
      <w:pPr>
        <w:ind w:left="4460"/>
        <w:spacing w:after="0"/>
        <w:rPr>
          <w:sz w:val="20"/>
          <w:szCs w:val="20"/>
          <w:color w:val="auto"/>
        </w:rPr>
      </w:pPr>
      <w:r>
        <w:rPr>
          <w:rFonts w:ascii="Courier New" w:cs="Courier New" w:eastAsia="Courier New" w:hAnsi="Courier New"/>
          <w:sz w:val="17"/>
          <w:szCs w:val="17"/>
          <w:color w:val="auto"/>
        </w:rPr>
        <w:t>411</w:t>
      </w:r>
    </w:p>
    <w:p>
      <w:pPr>
        <w:ind w:left="3660"/>
        <w:spacing w:after="0" w:line="237" w:lineRule="auto"/>
        <w:rPr>
          <w:sz w:val="20"/>
          <w:szCs w:val="20"/>
          <w:color w:val="auto"/>
        </w:rPr>
      </w:pPr>
      <w:r>
        <w:rPr>
          <w:rFonts w:ascii="Courier New" w:cs="Courier New" w:eastAsia="Courier New" w:hAnsi="Courier New"/>
          <w:sz w:val="17"/>
          <w:szCs w:val="17"/>
          <w:color w:val="auto"/>
        </w:rPr>
        <w:t>1,864</w:t>
      </w:r>
    </w:p>
    <w:p>
      <w:pPr>
        <w:ind w:left="3560"/>
        <w:spacing w:after="0" w:line="238" w:lineRule="auto"/>
        <w:rPr>
          <w:sz w:val="20"/>
          <w:szCs w:val="20"/>
          <w:color w:val="auto"/>
        </w:rPr>
      </w:pPr>
      <w:r>
        <w:rPr>
          <w:rFonts w:ascii="Courier New" w:cs="Courier New" w:eastAsia="Courier New" w:hAnsi="Courier New"/>
          <w:sz w:val="17"/>
          <w:szCs w:val="17"/>
          <w:color w:val="auto"/>
        </w:rPr>
        <w:t>2,131</w:t>
      </w:r>
    </w:p>
    <w:p>
      <w:pPr>
        <w:ind w:left="3960"/>
        <w:spacing w:after="0"/>
        <w:rPr>
          <w:sz w:val="20"/>
          <w:szCs w:val="20"/>
          <w:color w:val="auto"/>
        </w:rPr>
      </w:pPr>
      <w:r>
        <w:rPr>
          <w:rFonts w:ascii="Courier New" w:cs="Courier New" w:eastAsia="Courier New" w:hAnsi="Courier New"/>
          <w:sz w:val="17"/>
          <w:szCs w:val="17"/>
          <w:color w:val="auto"/>
        </w:rPr>
        <w:t>72</w:t>
      </w:r>
    </w:p>
    <w:p>
      <w:pPr>
        <w:ind w:left="3960"/>
        <w:spacing w:after="0" w:line="237" w:lineRule="auto"/>
        <w:rPr>
          <w:sz w:val="20"/>
          <w:szCs w:val="20"/>
          <w:color w:val="auto"/>
        </w:rPr>
      </w:pPr>
      <w:r>
        <w:rPr>
          <w:rFonts w:ascii="Courier New" w:cs="Courier New" w:eastAsia="Courier New" w:hAnsi="Courier New"/>
          <w:sz w:val="17"/>
          <w:szCs w:val="17"/>
          <w:color w:val="auto"/>
        </w:rPr>
        <w:t>832</w:t>
      </w:r>
    </w:p>
    <w:p>
      <w:pPr>
        <w:ind w:left="3260"/>
        <w:spacing w:after="0"/>
        <w:rPr>
          <w:sz w:val="20"/>
          <w:szCs w:val="20"/>
          <w:color w:val="auto"/>
        </w:rPr>
      </w:pPr>
      <w:r>
        <w:rPr>
          <w:rFonts w:ascii="Courier New" w:cs="Courier New" w:eastAsia="Courier New" w:hAnsi="Courier New"/>
          <w:sz w:val="17"/>
          <w:szCs w:val="17"/>
          <w:color w:val="auto"/>
        </w:rPr>
        <w:t>5,952</w:t>
      </w:r>
    </w:p>
    <w:p>
      <w:pPr>
        <w:ind w:left="4260"/>
        <w:spacing w:after="0" w:line="237" w:lineRule="auto"/>
        <w:rPr>
          <w:sz w:val="20"/>
          <w:szCs w:val="20"/>
          <w:color w:val="auto"/>
        </w:rPr>
      </w:pPr>
      <w:r>
        <w:rPr>
          <w:rFonts w:ascii="Courier New" w:cs="Courier New" w:eastAsia="Courier New" w:hAnsi="Courier New"/>
          <w:sz w:val="17"/>
          <w:szCs w:val="17"/>
          <w:color w:val="auto"/>
        </w:rPr>
        <w:t>7,122</w:t>
      </w:r>
    </w:p>
    <w:p>
      <w:pPr>
        <w:ind w:left="3460"/>
        <w:spacing w:after="0" w:line="238" w:lineRule="auto"/>
        <w:rPr>
          <w:sz w:val="20"/>
          <w:szCs w:val="20"/>
          <w:color w:val="auto"/>
        </w:rPr>
      </w:pPr>
      <w:r>
        <w:rPr>
          <w:rFonts w:ascii="Courier New" w:cs="Courier New" w:eastAsia="Courier New" w:hAnsi="Courier New"/>
          <w:sz w:val="17"/>
          <w:szCs w:val="17"/>
          <w:color w:val="auto"/>
        </w:rPr>
        <w:t>3,430</w:t>
      </w:r>
    </w:p>
    <w:p>
      <w:pPr>
        <w:ind w:left="3360"/>
        <w:spacing w:after="0"/>
        <w:rPr>
          <w:sz w:val="20"/>
          <w:szCs w:val="20"/>
          <w:color w:val="auto"/>
        </w:rPr>
      </w:pPr>
      <w:r>
        <w:rPr>
          <w:rFonts w:ascii="Courier New" w:cs="Courier New" w:eastAsia="Courier New" w:hAnsi="Courier New"/>
          <w:sz w:val="17"/>
          <w:szCs w:val="17"/>
          <w:color w:val="auto"/>
        </w:rPr>
        <w:t>13,855</w:t>
      </w:r>
    </w:p>
    <w:p>
      <w:pPr>
        <w:ind w:left="2760"/>
        <w:spacing w:after="0" w:line="237" w:lineRule="auto"/>
        <w:rPr>
          <w:sz w:val="20"/>
          <w:szCs w:val="20"/>
          <w:color w:val="auto"/>
        </w:rPr>
      </w:pPr>
      <w:r>
        <w:rPr>
          <w:rFonts w:ascii="Courier New" w:cs="Courier New" w:eastAsia="Courier New" w:hAnsi="Courier New"/>
          <w:sz w:val="17"/>
          <w:szCs w:val="17"/>
          <w:color w:val="auto"/>
        </w:rPr>
        <w:t>2,537</w:t>
      </w:r>
    </w:p>
    <w:p>
      <w:pPr>
        <w:ind w:left="4160"/>
        <w:spacing w:after="0" w:line="238" w:lineRule="auto"/>
        <w:rPr>
          <w:sz w:val="20"/>
          <w:szCs w:val="20"/>
          <w:color w:val="auto"/>
        </w:rPr>
      </w:pPr>
      <w:r>
        <w:rPr>
          <w:rFonts w:ascii="Courier New" w:cs="Courier New" w:eastAsia="Courier New" w:hAnsi="Courier New"/>
          <w:sz w:val="17"/>
          <w:szCs w:val="17"/>
          <w:color w:val="auto"/>
        </w:rPr>
        <w:t>1,161</w:t>
      </w:r>
    </w:p>
    <w:p>
      <w:pPr>
        <w:ind w:left="3160"/>
        <w:spacing w:after="0"/>
        <w:rPr>
          <w:sz w:val="20"/>
          <w:szCs w:val="20"/>
          <w:color w:val="auto"/>
        </w:rPr>
      </w:pPr>
      <w:r>
        <w:rPr>
          <w:rFonts w:ascii="Courier New" w:cs="Courier New" w:eastAsia="Courier New" w:hAnsi="Courier New"/>
          <w:sz w:val="17"/>
          <w:szCs w:val="17"/>
          <w:color w:val="auto"/>
        </w:rPr>
        <w:t>0</w:t>
      </w:r>
    </w:p>
    <w:p>
      <w:pPr>
        <w:ind w:left="4160"/>
        <w:spacing w:after="0" w:line="237" w:lineRule="auto"/>
        <w:rPr>
          <w:sz w:val="20"/>
          <w:szCs w:val="20"/>
          <w:color w:val="auto"/>
        </w:rPr>
      </w:pPr>
      <w:r>
        <w:rPr>
          <w:rFonts w:ascii="Courier New" w:cs="Courier New" w:eastAsia="Courier New" w:hAnsi="Courier New"/>
          <w:sz w:val="17"/>
          <w:szCs w:val="17"/>
          <w:color w:val="auto"/>
        </w:rPr>
        <w:t>0</w:t>
      </w:r>
    </w:p>
    <w:p>
      <w:pPr>
        <w:ind w:left="4260"/>
        <w:spacing w:after="0" w:line="238" w:lineRule="auto"/>
        <w:rPr>
          <w:sz w:val="20"/>
          <w:szCs w:val="20"/>
          <w:color w:val="auto"/>
        </w:rPr>
      </w:pPr>
      <w:r>
        <w:rPr>
          <w:rFonts w:ascii="Courier New" w:cs="Courier New" w:eastAsia="Courier New" w:hAnsi="Courier New"/>
          <w:sz w:val="17"/>
          <w:szCs w:val="17"/>
          <w:color w:val="auto"/>
        </w:rPr>
        <w:t>846</w:t>
      </w:r>
    </w:p>
    <w:p>
      <w:pPr>
        <w:ind w:left="3860"/>
        <w:spacing w:after="0"/>
        <w:rPr>
          <w:sz w:val="20"/>
          <w:szCs w:val="20"/>
          <w:color w:val="auto"/>
        </w:rPr>
      </w:pPr>
      <w:r>
        <w:rPr>
          <w:rFonts w:ascii="Courier New" w:cs="Courier New" w:eastAsia="Courier New" w:hAnsi="Courier New"/>
          <w:sz w:val="17"/>
          <w:szCs w:val="17"/>
          <w:color w:val="auto"/>
        </w:rPr>
        <w:t>7,621</w:t>
      </w:r>
    </w:p>
    <w:p>
      <w:pPr>
        <w:ind w:left="1980"/>
        <w:spacing w:after="0" w:line="237" w:lineRule="auto"/>
        <w:rPr>
          <w:sz w:val="20"/>
          <w:szCs w:val="20"/>
          <w:color w:val="auto"/>
        </w:rPr>
      </w:pPr>
      <w:r>
        <w:rPr>
          <w:rFonts w:ascii="Courier New" w:cs="Courier New" w:eastAsia="Courier New" w:hAnsi="Courier New"/>
          <w:sz w:val="17"/>
          <w:szCs w:val="17"/>
          <w:color w:val="auto"/>
        </w:rPr>
        <w:t>13,855</w:t>
      </w:r>
    </w:p>
    <w:p>
      <w:pPr>
        <w:ind w:left="4160"/>
        <w:spacing w:after="0" w:line="238" w:lineRule="auto"/>
        <w:rPr>
          <w:sz w:val="20"/>
          <w:szCs w:val="20"/>
          <w:color w:val="auto"/>
        </w:rPr>
      </w:pPr>
      <w:r>
        <w:rPr>
          <w:rFonts w:ascii="Courier New" w:cs="Courier New" w:eastAsia="Courier New" w:hAnsi="Courier New"/>
          <w:sz w:val="17"/>
          <w:szCs w:val="17"/>
          <w:color w:val="auto"/>
        </w:rPr>
        <w:t>7,121</w:t>
      </w:r>
    </w:p>
    <w:p>
      <w:pPr>
        <w:ind w:left="3260"/>
        <w:spacing w:after="0"/>
        <w:rPr>
          <w:sz w:val="20"/>
          <w:szCs w:val="20"/>
          <w:color w:val="auto"/>
        </w:rPr>
      </w:pPr>
      <w:r>
        <w:rPr>
          <w:rFonts w:ascii="Courier New" w:cs="Courier New" w:eastAsia="Courier New" w:hAnsi="Courier New"/>
          <w:sz w:val="17"/>
          <w:szCs w:val="17"/>
          <w:color w:val="auto"/>
        </w:rPr>
        <w:t>7,121</w:t>
      </w:r>
    </w:p>
    <w:p>
      <w:pPr>
        <w:ind w:left="4360"/>
        <w:spacing w:after="0" w:line="237" w:lineRule="auto"/>
        <w:rPr>
          <w:sz w:val="20"/>
          <w:szCs w:val="20"/>
          <w:color w:val="auto"/>
        </w:rPr>
      </w:pPr>
      <w:r>
        <w:rPr>
          <w:rFonts w:ascii="Courier New" w:cs="Courier New" w:eastAsia="Courier New" w:hAnsi="Courier New"/>
          <w:sz w:val="17"/>
          <w:szCs w:val="17"/>
          <w:color w:val="auto"/>
        </w:rPr>
        <w:t>3,726</w:t>
      </w:r>
    </w:p>
    <w:p>
      <w:pPr>
        <w:ind w:left="3560"/>
        <w:spacing w:after="0" w:line="238" w:lineRule="auto"/>
        <w:rPr>
          <w:sz w:val="20"/>
          <w:szCs w:val="20"/>
          <w:color w:val="auto"/>
        </w:rPr>
      </w:pPr>
      <w:r>
        <w:rPr>
          <w:rFonts w:ascii="Courier New" w:cs="Courier New" w:eastAsia="Courier New" w:hAnsi="Courier New"/>
          <w:sz w:val="17"/>
          <w:szCs w:val="17"/>
          <w:color w:val="auto"/>
        </w:rPr>
        <w:t>3,726</w:t>
      </w:r>
    </w:p>
    <w:p>
      <w:pPr>
        <w:ind w:left="3260"/>
        <w:spacing w:after="0"/>
        <w:rPr>
          <w:sz w:val="20"/>
          <w:szCs w:val="20"/>
          <w:color w:val="auto"/>
        </w:rPr>
      </w:pPr>
      <w:r>
        <w:rPr>
          <w:rFonts w:ascii="Courier New" w:cs="Courier New" w:eastAsia="Courier New" w:hAnsi="Courier New"/>
          <w:sz w:val="17"/>
          <w:szCs w:val="17"/>
          <w:color w:val="auto"/>
        </w:rPr>
        <w:t>1,046</w:t>
      </w:r>
    </w:p>
    <w:p>
      <w:pPr>
        <w:ind w:left="3660"/>
        <w:spacing w:after="0" w:line="237" w:lineRule="auto"/>
        <w:rPr>
          <w:sz w:val="20"/>
          <w:szCs w:val="20"/>
          <w:color w:val="auto"/>
        </w:rPr>
      </w:pPr>
      <w:r>
        <w:rPr>
          <w:rFonts w:ascii="Courier New" w:cs="Courier New" w:eastAsia="Courier New" w:hAnsi="Courier New"/>
          <w:sz w:val="17"/>
          <w:szCs w:val="17"/>
          <w:color w:val="auto"/>
        </w:rPr>
        <w:t>0</w:t>
      </w:r>
    </w:p>
    <w:p>
      <w:pPr>
        <w:ind w:left="3360"/>
        <w:spacing w:after="0" w:line="238" w:lineRule="auto"/>
        <w:rPr>
          <w:sz w:val="20"/>
          <w:szCs w:val="20"/>
          <w:color w:val="auto"/>
        </w:rPr>
      </w:pPr>
      <w:r>
        <w:rPr>
          <w:rFonts w:ascii="Courier New" w:cs="Courier New" w:eastAsia="Courier New" w:hAnsi="Courier New"/>
          <w:sz w:val="17"/>
          <w:szCs w:val="17"/>
          <w:color w:val="auto"/>
        </w:rPr>
        <w:t>55</w:t>
      </w:r>
    </w:p>
    <w:p>
      <w:pPr>
        <w:ind w:left="3360"/>
        <w:spacing w:after="0"/>
        <w:rPr>
          <w:sz w:val="20"/>
          <w:szCs w:val="20"/>
          <w:color w:val="auto"/>
        </w:rPr>
      </w:pPr>
      <w:r>
        <w:rPr>
          <w:rFonts w:ascii="Courier New" w:cs="Courier New" w:eastAsia="Courier New" w:hAnsi="Courier New"/>
          <w:sz w:val="17"/>
          <w:szCs w:val="17"/>
          <w:color w:val="auto"/>
        </w:rPr>
        <w:t>1,511</w:t>
      </w:r>
    </w:p>
    <w:p>
      <w:pPr>
        <w:ind w:left="3860"/>
        <w:spacing w:after="0" w:line="237" w:lineRule="auto"/>
        <w:rPr>
          <w:sz w:val="20"/>
          <w:szCs w:val="20"/>
          <w:color w:val="auto"/>
        </w:rPr>
      </w:pPr>
      <w:r>
        <w:rPr>
          <w:rFonts w:ascii="Courier New" w:cs="Courier New" w:eastAsia="Courier New" w:hAnsi="Courier New"/>
          <w:sz w:val="17"/>
          <w:szCs w:val="17"/>
          <w:color w:val="auto"/>
        </w:rPr>
        <w:t>505</w:t>
      </w:r>
    </w:p>
    <w:p>
      <w:pPr>
        <w:ind w:left="2960"/>
        <w:spacing w:after="0" w:line="238" w:lineRule="auto"/>
        <w:rPr>
          <w:sz w:val="20"/>
          <w:szCs w:val="20"/>
          <w:color w:val="auto"/>
        </w:rPr>
      </w:pPr>
      <w:r>
        <w:rPr>
          <w:rFonts w:ascii="Courier New" w:cs="Courier New" w:eastAsia="Courier New" w:hAnsi="Courier New"/>
          <w:sz w:val="17"/>
          <w:szCs w:val="17"/>
          <w:color w:val="auto"/>
        </w:rPr>
        <w:t>1,006</w:t>
      </w:r>
    </w:p>
    <w:p>
      <w:pPr>
        <w:ind w:left="3860"/>
        <w:spacing w:after="0"/>
        <w:rPr>
          <w:sz w:val="20"/>
          <w:szCs w:val="20"/>
          <w:color w:val="auto"/>
        </w:rPr>
      </w:pPr>
      <w:r>
        <w:rPr>
          <w:rFonts w:ascii="Courier New" w:cs="Courier New" w:eastAsia="Courier New" w:hAnsi="Courier New"/>
          <w:sz w:val="17"/>
          <w:szCs w:val="17"/>
          <w:color w:val="auto"/>
        </w:rPr>
        <w:t>0</w:t>
      </w:r>
    </w:p>
    <w:p>
      <w:pPr>
        <w:ind w:left="3760"/>
        <w:spacing w:after="0" w:line="237" w:lineRule="auto"/>
        <w:rPr>
          <w:sz w:val="20"/>
          <w:szCs w:val="20"/>
          <w:color w:val="auto"/>
        </w:rPr>
      </w:pPr>
      <w:r>
        <w:rPr>
          <w:rFonts w:ascii="Courier New" w:cs="Courier New" w:eastAsia="Courier New" w:hAnsi="Courier New"/>
          <w:sz w:val="17"/>
          <w:szCs w:val="17"/>
          <w:color w:val="auto"/>
        </w:rPr>
        <w:t>0</w:t>
      </w:r>
    </w:p>
    <w:p>
      <w:pPr>
        <w:ind w:left="4360"/>
        <w:spacing w:after="0"/>
        <w:rPr>
          <w:sz w:val="20"/>
          <w:szCs w:val="20"/>
          <w:color w:val="auto"/>
        </w:rPr>
      </w:pPr>
      <w:r>
        <w:rPr>
          <w:rFonts w:ascii="Courier New" w:cs="Courier New" w:eastAsia="Courier New" w:hAnsi="Courier New"/>
          <w:sz w:val="17"/>
          <w:szCs w:val="17"/>
          <w:color w:val="auto"/>
        </w:rPr>
        <w:t>0</w:t>
      </w:r>
    </w:p>
    <w:p>
      <w:pPr>
        <w:ind w:left="3660"/>
        <w:spacing w:after="0" w:line="237" w:lineRule="auto"/>
        <w:rPr>
          <w:sz w:val="20"/>
          <w:szCs w:val="20"/>
          <w:color w:val="auto"/>
        </w:rPr>
      </w:pPr>
      <w:r>
        <w:rPr>
          <w:rFonts w:ascii="Courier New" w:cs="Courier New" w:eastAsia="Courier New" w:hAnsi="Courier New"/>
          <w:sz w:val="17"/>
          <w:szCs w:val="17"/>
          <w:color w:val="auto"/>
        </w:rPr>
        <w:t>1,006</w:t>
      </w:r>
    </w:p>
    <w:p>
      <w:pPr>
        <w:ind w:left="3960"/>
        <w:spacing w:after="0" w:line="238" w:lineRule="auto"/>
        <w:rPr>
          <w:sz w:val="20"/>
          <w:szCs w:val="20"/>
          <w:color w:val="auto"/>
        </w:rPr>
      </w:pPr>
      <w:r>
        <w:rPr>
          <w:rFonts w:ascii="Courier New" w:cs="Courier New" w:eastAsia="Courier New" w:hAnsi="Courier New"/>
          <w:sz w:val="17"/>
          <w:szCs w:val="17"/>
          <w:color w:val="auto"/>
        </w:rPr>
        <w:t>.58</w:t>
      </w:r>
    </w:p>
    <w:p>
      <w:pPr>
        <w:ind w:left="3760"/>
        <w:spacing w:after="0"/>
        <w:rPr>
          <w:sz w:val="20"/>
          <w:szCs w:val="20"/>
          <w:color w:val="auto"/>
        </w:rPr>
      </w:pPr>
      <w:r>
        <w:rPr>
          <w:rFonts w:ascii="Courier New" w:cs="Courier New" w:eastAsia="Courier New" w:hAnsi="Courier New"/>
          <w:sz w:val="17"/>
          <w:szCs w:val="17"/>
          <w:color w:val="auto"/>
        </w:rPr>
        <w:t>.60</w:t>
      </w:r>
    </w:p>
    <w:sectPr>
      <w:pgSz w:w="11900" w:h="16838" w:orient="portrait"/>
      <w:cols w:equalWidth="0" w:num="1">
        <w:col w:w="10199"/>
      </w:cols>
      <w:pgMar w:left="2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
      <w:numFmt w:val="bullet"/>
      <w:start w:val="1"/>
    </w:lvl>
  </w:abstractNum>
  <w:abstractNum w:abstractNumId="2">
    <w:nsid w:val="12200854"/>
    <w:multiLevelType w:val="hybridMultilevel"/>
    <w:lvl w:ilvl="0">
      <w:lvlJc w:val="left"/>
      <w:lvlText w:val="%1."/>
      <w:numFmt w:val="decimal"/>
      <w:start w:val="5"/>
    </w:lvl>
  </w:abstractNum>
  <w:abstractNum w:abstractNumId="3">
    <w:nsid w:val="4DB127F8"/>
    <w:multiLevelType w:val="hybridMultilevel"/>
    <w:lvl w:ilvl="0">
      <w:lvlJc w:val="left"/>
      <w:lvlText w:val="%1."/>
      <w:numFmt w:val="decimal"/>
      <w:start w:val="8"/>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3"/>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5"/>
    </w:lvl>
  </w:abstractNum>
  <w:abstractNum w:abstractNumId="10">
    <w:nsid w:val="109CF92E"/>
    <w:multiLevelType w:val="hybridMultilevel"/>
    <w:lvl w:ilvl="0">
      <w:lvlJc w:val="left"/>
      <w:lvlText w:val="%1."/>
      <w:numFmt w:val="decimal"/>
      <w:start w:val="16"/>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decimal"/>
      <w:start w:val="1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2019-12-13T07:45:34Z</dcterms:created>
  <dcterms:modified xsi:type="dcterms:W3CDTF">2019-12-13T07:45:34Z</dcterms:modified>
</cp:coreProperties>
</file>