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74295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600" w:type="dxa"/>
            <w:vAlign w:val="bottom"/>
            <w:gridSpan w:val="2"/>
          </w:tcPr>
          <w:p>
            <w:pPr>
              <w:ind w:left="3280"/>
              <w:spacing w:after="0" w:line="204" w:lineRule="exact"/>
              <w:rPr>
                <w:sz w:val="20"/>
                <w:szCs w:val="20"/>
                <w:color w:val="auto"/>
              </w:rPr>
            </w:pPr>
            <w:r>
              <w:rPr>
                <w:rFonts w:ascii="Arial" w:cs="Arial" w:eastAsia="Arial" w:hAnsi="Arial"/>
                <w:sz w:val="18"/>
                <w:szCs w:val="18"/>
                <w:b w:val="1"/>
                <w:bCs w:val="1"/>
                <w:color w:val="auto"/>
                <w:w w:val="92"/>
              </w:rPr>
              <w:t>for the transition period from</w:t>
            </w:r>
          </w:p>
        </w:tc>
        <w:tc>
          <w:tcPr>
            <w:tcW w:w="200" w:type="dxa"/>
            <w:vAlign w:val="bottom"/>
            <w:tcBorders>
              <w:bottom w:val="single" w:sz="8" w:color="auto"/>
            </w:tcBorders>
            <w:gridSpan w:val="2"/>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20" w:type="dxa"/>
            <w:vAlign w:val="bottom"/>
            <w:gridSpan w:val="2"/>
          </w:tcPr>
          <w:p>
            <w:pPr>
              <w:ind w:left="80"/>
              <w:spacing w:after="0" w:line="204" w:lineRule="exact"/>
              <w:rPr>
                <w:sz w:val="20"/>
                <w:szCs w:val="20"/>
                <w:color w:val="auto"/>
              </w:rPr>
            </w:pPr>
            <w:r>
              <w:rPr>
                <w:rFonts w:ascii="Arial" w:cs="Arial" w:eastAsia="Arial" w:hAnsi="Arial"/>
                <w:sz w:val="18"/>
                <w:szCs w:val="18"/>
                <w:b w:val="1"/>
                <w:bCs w:val="1"/>
                <w:color w:val="auto"/>
              </w:rPr>
              <w:t>to</w:t>
            </w:r>
          </w:p>
        </w:tc>
        <w:tc>
          <w:tcPr>
            <w:tcW w:w="118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660" w:type="dxa"/>
            <w:vAlign w:val="bottom"/>
            <w:gridSpan w:val="9"/>
          </w:tcPr>
          <w:p>
            <w:pPr>
              <w:jc w:val="center"/>
              <w:ind w:left="2646"/>
              <w:spacing w:after="0"/>
              <w:rPr>
                <w:sz w:val="20"/>
                <w:szCs w:val="20"/>
                <w:color w:val="auto"/>
              </w:rPr>
            </w:pPr>
            <w:r>
              <w:rPr>
                <w:rFonts w:ascii="Arial" w:cs="Arial" w:eastAsia="Arial" w:hAnsi="Arial"/>
                <w:sz w:val="18"/>
                <w:szCs w:val="18"/>
                <w:b w:val="1"/>
                <w:bCs w:val="1"/>
                <w:color w:val="auto"/>
                <w:w w:val="90"/>
              </w:rPr>
              <w:t>Commission File Number 1-3761</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30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11400" w:type="dxa"/>
            <w:vAlign w:val="bottom"/>
            <w:gridSpan w:val="11"/>
          </w:tcPr>
          <w:p>
            <w:pPr>
              <w:jc w:val="center"/>
              <w:spacing w:after="0"/>
              <w:rPr>
                <w:sz w:val="20"/>
                <w:szCs w:val="20"/>
                <w:color w:val="auto"/>
              </w:rPr>
            </w:pPr>
            <w:r>
              <w:rPr>
                <w:rFonts w:ascii="Arial" w:cs="Arial" w:eastAsia="Arial" w:hAnsi="Arial"/>
                <w:sz w:val="40"/>
                <w:szCs w:val="40"/>
                <w:b w:val="1"/>
                <w:bCs w:val="1"/>
                <w:color w:val="auto"/>
                <w:w w:val="99"/>
              </w:rPr>
              <w:t>TEXAS INSTRUMENTS INCORPORATED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60" w:type="dxa"/>
            <w:vAlign w:val="bottom"/>
            <w:gridSpan w:val="9"/>
          </w:tcPr>
          <w:p>
            <w:pPr>
              <w:jc w:val="center"/>
              <w:ind w:left="262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8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75-0289970</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(State of Incorporation)</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80" w:type="dxa"/>
            <w:vAlign w:val="bottom"/>
            <w:gridSpan w:val="4"/>
          </w:tcPr>
          <w:p>
            <w:pPr>
              <w:jc w:val="center"/>
              <w:ind w:right="1130"/>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12500 TI Boulevard, Dallas, Texas</w:t>
            </w:r>
          </w:p>
        </w:tc>
        <w:tc>
          <w:tcPr>
            <w:tcW w:w="3560" w:type="dxa"/>
            <w:vAlign w:val="bottom"/>
            <w:gridSpan w:val="6"/>
          </w:tcPr>
          <w:p>
            <w:pPr>
              <w:jc w:val="right"/>
              <w:ind w:right="490"/>
              <w:spacing w:after="0"/>
              <w:rPr>
                <w:sz w:val="20"/>
                <w:szCs w:val="20"/>
                <w:color w:val="auto"/>
              </w:rPr>
            </w:pPr>
            <w:r>
              <w:rPr>
                <w:rFonts w:ascii="Arial" w:cs="Arial" w:eastAsia="Arial" w:hAnsi="Arial"/>
                <w:sz w:val="18"/>
                <w:szCs w:val="18"/>
                <w:b w:val="1"/>
                <w:bCs w:val="1"/>
                <w:color w:val="auto"/>
              </w:rPr>
              <w:t>75243</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(Zip Code)</w:t>
            </w: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660" w:type="dxa"/>
            <w:vAlign w:val="bottom"/>
            <w:gridSpan w:val="9"/>
          </w:tcPr>
          <w:p>
            <w:pPr>
              <w:jc w:val="center"/>
              <w:ind w:left="2626"/>
              <w:spacing w:after="0"/>
              <w:rPr>
                <w:sz w:val="20"/>
                <w:szCs w:val="20"/>
                <w:color w:val="auto"/>
              </w:rPr>
            </w:pPr>
            <w:r>
              <w:rPr>
                <w:rFonts w:ascii="Arial" w:cs="Arial" w:eastAsia="Arial" w:hAnsi="Arial"/>
                <w:sz w:val="18"/>
                <w:szCs w:val="18"/>
                <w:b w:val="1"/>
                <w:bCs w:val="1"/>
                <w:color w:val="auto"/>
                <w:w w:val="90"/>
              </w:rPr>
              <w:t>Registrant’s Telephone Number, Including Area Code: 214-479-3773</w:t>
            </w:r>
          </w:p>
        </w:tc>
        <w:tc>
          <w:tcPr>
            <w:tcW w:w="7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60" w:type="dxa"/>
            <w:vAlign w:val="bottom"/>
            <w:gridSpan w:val="9"/>
          </w:tcPr>
          <w:p>
            <w:pPr>
              <w:jc w:val="center"/>
              <w:ind w:left="2646"/>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80" w:type="dxa"/>
            <w:vAlign w:val="bottom"/>
            <w:gridSpan w:val="4"/>
          </w:tcPr>
          <w:p>
            <w:pPr>
              <w:jc w:val="right"/>
              <w:ind w:right="137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0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Common Stock, par value $1.00</w:t>
            </w:r>
          </w:p>
        </w:tc>
        <w:tc>
          <w:tcPr>
            <w:tcW w:w="1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80" w:type="dxa"/>
            <w:vAlign w:val="bottom"/>
            <w:tcBorders>
              <w:top w:val="single" w:sz="8" w:color="auto"/>
            </w:tcBorders>
            <w:gridSpan w:val="4"/>
          </w:tcPr>
          <w:p>
            <w:pPr>
              <w:jc w:val="right"/>
              <w:ind w:right="1310"/>
              <w:spacing w:after="0"/>
              <w:rPr>
                <w:sz w:val="20"/>
                <w:szCs w:val="20"/>
                <w:color w:val="auto"/>
              </w:rPr>
            </w:pPr>
            <w:r>
              <w:rPr>
                <w:rFonts w:ascii="Arial" w:cs="Arial" w:eastAsia="Arial" w:hAnsi="Arial"/>
                <w:sz w:val="18"/>
                <w:szCs w:val="18"/>
                <w:b w:val="1"/>
                <w:bCs w:val="1"/>
                <w:color w:val="auto"/>
              </w:rPr>
              <w:t>The NASDAQ Global Select Market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660" w:type="dxa"/>
            <w:vAlign w:val="bottom"/>
            <w:gridSpan w:val="9"/>
          </w:tcPr>
          <w:p>
            <w:pPr>
              <w:jc w:val="center"/>
              <w:ind w:left="2626"/>
              <w:spacing w:after="0"/>
              <w:rPr>
                <w:sz w:val="20"/>
                <w:szCs w:val="20"/>
                <w:color w:val="auto"/>
              </w:rPr>
            </w:pPr>
            <w:r>
              <w:rPr>
                <w:rFonts w:ascii="Arial" w:cs="Arial" w:eastAsia="Arial" w:hAnsi="Arial"/>
                <w:sz w:val="18"/>
                <w:szCs w:val="18"/>
                <w:b w:val="1"/>
                <w:bCs w:val="1"/>
                <w:color w:val="auto"/>
                <w:w w:val="88"/>
              </w:rPr>
              <w:t xml:space="preserve">Securities registered pursuant to Section 12(g) of the Act: </w:t>
            </w:r>
            <w:r>
              <w:rPr>
                <w:rFonts w:ascii="Arial" w:cs="Arial" w:eastAsia="Arial" w:hAnsi="Arial"/>
                <w:sz w:val="18"/>
                <w:szCs w:val="18"/>
                <w:color w:val="auto"/>
                <w:w w:val="88"/>
              </w:rPr>
              <w:t>None</w:t>
            </w:r>
          </w:p>
        </w:tc>
        <w:tc>
          <w:tcPr>
            <w:tcW w:w="7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580" w:type="dxa"/>
            <w:vAlign w:val="bottom"/>
            <w:gridSpan w:val="2"/>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3"/>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040" w:type="dxa"/>
            <w:vAlign w:val="bottom"/>
            <w:vMerge w:val="restart"/>
          </w:tcPr>
          <w:p>
            <w:pPr>
              <w:jc w:val="right"/>
              <w:ind w:right="147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71"/>
        </w:trPr>
        <w:tc>
          <w:tcPr>
            <w:tcW w:w="8680" w:type="dxa"/>
            <w:vAlign w:val="bottom"/>
            <w:gridSpan w:val="10"/>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vMerge w:val="continue"/>
          </w:tcPr>
          <w:p>
            <w:pPr>
              <w:spacing w:after="0"/>
              <w:rPr>
                <w:sz w:val="23"/>
                <w:szCs w:val="23"/>
                <w:color w:val="auto"/>
              </w:rPr>
            </w:pPr>
          </w:p>
        </w:tc>
        <w:tc>
          <w:tcPr>
            <w:tcW w:w="20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8680" w:type="dxa"/>
            <w:vAlign w:val="bottom"/>
            <w:gridSpan w:val="10"/>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040" w:type="dxa"/>
            <w:vAlign w:val="bottom"/>
          </w:tcPr>
          <w:p>
            <w:pPr>
              <w:jc w:val="right"/>
              <w:ind w:right="13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05" w:right="239" w:bottom="1440" w:gutter="0" w:footer="0" w:header="0"/>
        </w:sectPr>
      </w:pPr>
    </w:p>
    <w:p>
      <w:pPr>
        <w:spacing w:after="0" w:line="207" w:lineRule="exact"/>
        <w:tabs>
          <w:tab w:leader="none" w:pos="25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right"/>
        <w:spacing w:after="0" w:line="20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0" w:lineRule="exact"/>
        <w:rPr>
          <w:sz w:val="24"/>
          <w:szCs w:val="24"/>
          <w:color w:val="auto"/>
        </w:rPr>
      </w:pPr>
    </w:p>
    <w:p>
      <w:pPr>
        <w:sectPr>
          <w:pgSz w:w="11900" w:h="16838" w:orient="portrait"/>
          <w:cols w:equalWidth="0" w:num="5">
            <w:col w:w="2680" w:space="200"/>
            <w:col w:w="1900" w:space="720"/>
            <w:col w:w="160" w:space="200"/>
            <w:col w:w="1780" w:space="720"/>
            <w:col w:w="3060"/>
          </w:cols>
          <w:pgMar w:left="240" w:top="405" w:right="23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7640" w:val="left"/>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left="2640" w:right="1300" w:hanging="2637"/>
        <w:spacing w:after="0" w:line="331" w:lineRule="auto"/>
        <w:rPr>
          <w:sz w:val="20"/>
          <w:szCs w:val="20"/>
          <w:color w:val="auto"/>
        </w:rPr>
      </w:pPr>
      <w:r>
        <w:rPr>
          <w:rFonts w:ascii="Arial" w:cs="Arial" w:eastAsia="Arial" w:hAnsi="Arial"/>
          <w:sz w:val="17"/>
          <w:szCs w:val="17"/>
          <w:color w:val="auto"/>
        </w:rPr>
        <w:t>The aggregate market value of voting stock held by non-affiliates of the Registrant was approximately $76,179,967,734 as of June 30, 2017. 983,787,502 (Number of shares of common stock outstanding as of February 20, 2018)</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Part III hereof incorporates information by reference to the Registrant’s proxy statement for the 2018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499745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type w:val="continuous"/>
        </w:sectPr>
      </w:pPr>
    </w:p>
    <w:bookmarkStart w:id="1" w:name="page2"/>
    <w:bookmarkEnd w:id="1"/>
    <w:p>
      <w:pPr>
        <w:ind w:left="580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 We have two reportable segments: Analog and Embedded Processing. We report the results of our remaining business activities in Other. In 2017, we generated $14.96 billion of revenue.</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business model is designed around four sustainable competitive advantages, that we believe, in combination, put us in a unique class of companies. These advantages include (1) a strong foundation of manufacturing and technology, (2) a broad portfolio of differentiated analog and embedded processing products,</w:t>
      </w:r>
    </w:p>
    <w:p>
      <w:pPr>
        <w:ind w:right="60" w:firstLine="8"/>
        <w:spacing w:after="0" w:line="288"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broadest reach of market channels and (4) diversity and longevity of our products, markets and customer positions. 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 Free cash flow is cash flow from operations less capital expenditures.</w:t>
      </w:r>
    </w:p>
    <w:p>
      <w:pPr>
        <w:spacing w:after="0" w:line="20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and returned free cash flow. TI’s business model puts us in a unique class of companies with the ability to grow, generate cash, and return that cash to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information</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Semiconductors are electronic components that serve as the building blocks inside modern electronic systems and equipment. Semiconductors, generally known as “chips,” combine multiple transistors to form a complete electronic circuit. We have tens of thousands of products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9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 In 2017, we reorganized the product lines within our segments to align our business structure with the way our customers select and buy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5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Analog segment generated $9.90 billion of revenue in 2017.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also are used to manage power in all electronic equipment by converting, distributing, storing, discharging, isolating and measuring electrical energy, whether the equipment is plugged into a wall or running off a battery. Our Analog products are used in many markets, particularly industrial, automotive and personal electronics.</w:t>
      </w:r>
    </w:p>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Sales of our Analog products generated about 66 percent of our revenue in 2017. According to external sources, the market for analog semiconductors was about $53 billion in 2017. Our Analog segment’s revenue in 2017 was about 19 percent of this fragmented market, the leading position. We believe we are well positioned to increase our market share over time.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Signal Chain and High Volume.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Power</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Power includes products that help customers manage power in electronic systems. Our broad portfolio is designed to manage power requirements across different voltage levels using battery management solutions, portable components, power supply controls, point-of-load products, switches and interfaces, integrated protection devices, high-voltage products, and mobile lighting and display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and sensing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Volume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High Volume includes integrated analog and standard products that are primarily sold into markets such as personal electronics, industrial and automotive.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products support applications like touch screens and automotive safety systems.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5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Embedded Processing segment generated $3.50 billion of revenue in 2017. Embedded Processing products are the “brains” of many types of electronic equipment. Embedded processors are designed to handle specific tasks and can be optimized for various combinations of performance, power and cost, depending on the application. Our devices vary from simple, low-cost microcontrollers used in electric toothbrushes to highly specialized, complex devices used in automotive applications such as infotainment systems and advanced driver assistance systems (ADAS). Our Embedded Processing products are used in many markets, particularly industrial and automotive.</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22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Sales of Embedded Processing products generated about 23 percent of our revenue in 2017. According to external sources, the market for embedded processors was about $20 billion in 2017. Our Embedded Processing segment’s revenue in 2017 was about 18 percent of this fragmented market, among the leaders. We believe we are well positioned to increase our market share over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Connected Microcontrollers and Processors.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Microcontrollers</w:t>
      </w:r>
    </w:p>
    <w:p>
      <w:pPr>
        <w:spacing w:after="0" w:line="2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Connected Microcontrollers includes microcontrollers, microcontrollers with integrated wireless capabilities and stand-alone wireless connectivity solutions. Microcontrollers are self-contained systems with a processor core, memory and peripherals that are designed to control a set of specific tasks for electronic equipment. Microcontrollers tend to have minimal requirements for memory, program length and software complexity. Our products are used in a wide range of applications and incorporate both wired and wireless communication with integrated analog functions to enable electronic equipment to sense, connect, log and transfer data.</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Processors</w:t>
      </w:r>
    </w:p>
    <w:p>
      <w:pPr>
        <w:spacing w:after="0" w:line="2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Processors includes digital signal processors (DSPs) and applications processors. DSPs perform mathematical computations almost instantaneously to process or improve digital data. Applications processors are designed for specific computing activity.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Other</w:t>
      </w:r>
    </w:p>
    <w:p>
      <w:pPr>
        <w:spacing w:after="0" w:line="25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$1.56 billion of revenue in 2017 and includes revenue from DLP</w:t>
      </w:r>
      <w:r>
        <w:rPr>
          <w:rFonts w:ascii="Arial" w:cs="Arial" w:eastAsia="Arial" w:hAnsi="Arial"/>
          <w:sz w:val="15"/>
          <w:szCs w:val="15"/>
          <w:color w:val="auto"/>
        </w:rPr>
        <w:t>®</w:t>
      </w:r>
      <w:r>
        <w:rPr>
          <w:rFonts w:ascii="Arial" w:cs="Arial" w:eastAsia="Arial" w:hAnsi="Arial"/>
          <w:sz w:val="18"/>
          <w:szCs w:val="18"/>
          <w:color w:val="auto"/>
        </w:rPr>
        <w:t xml:space="preserve"> products (primarily used in projectors to create high-definition images), calculators and certain custom semiconductors known as application-specific integrated circuits (ASICs).</w:t>
      </w:r>
    </w:p>
    <w:p>
      <w:pPr>
        <w:spacing w:after="0" w:line="2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charges; restructuring charges; and certain corporate-level items, such as litigation expenses, environmental costs, insurance settlements, and gains and losses from other activities, including asset dispositions.</w:t>
      </w:r>
    </w:p>
    <w:p>
      <w:pPr>
        <w:spacing w:after="0" w:line="22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Financial information with respect to our segments and our operations outside the United States is contained in Note 1 to the financial statements, which is included in Item 8, “Financial Statements and Supplementary Data.” Risks attendant to our foreign operations are described in Item 1A, “Risk Factors.”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table below lists the major markets for our products in 2017 and the estimated percentage of our 2017 revenue that the market represented. The chart also lists, in declining order of our revenue, the sectors within each market.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Borders>
              <w:bottom w:val="single" w:sz="8" w:color="auto"/>
            </w:tcBorders>
          </w:tcPr>
          <w:p>
            <w:pPr>
              <w:ind w:left="2580"/>
              <w:spacing w:after="0"/>
              <w:rPr>
                <w:sz w:val="20"/>
                <w:szCs w:val="20"/>
                <w:color w:val="auto"/>
              </w:rPr>
            </w:pPr>
            <w:r>
              <w:rPr>
                <w:rFonts w:ascii="Arial" w:cs="Arial" w:eastAsia="Arial" w:hAnsi="Arial"/>
                <w:sz w:val="14"/>
                <w:szCs w:val="14"/>
                <w:b w:val="1"/>
                <w:bCs w:val="1"/>
                <w:color w:val="auto"/>
              </w:rPr>
              <w:t>Market</w:t>
            </w:r>
          </w:p>
        </w:tc>
        <w:tc>
          <w:tcPr>
            <w:tcW w:w="160" w:type="dxa"/>
            <w:vAlign w:val="bottom"/>
            <w:tcBorders>
              <w:bottom w:val="single" w:sz="8" w:color="CFF0FC"/>
            </w:tcBorders>
          </w:tcPr>
          <w:p>
            <w:pPr>
              <w:spacing w:after="0"/>
              <w:rPr>
                <w:sz w:val="14"/>
                <w:szCs w:val="14"/>
                <w:color w:val="auto"/>
              </w:rPr>
            </w:pPr>
          </w:p>
        </w:tc>
        <w:tc>
          <w:tcPr>
            <w:tcW w:w="562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Sector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20" w:type="dxa"/>
            <w:vAlign w:val="bottom"/>
            <w:shd w:val="clear" w:color="auto" w:fill="CFF0FC"/>
          </w:tcPr>
          <w:p>
            <w:pPr>
              <w:spacing w:after="0" w:line="195" w:lineRule="exact"/>
              <w:rPr>
                <w:sz w:val="20"/>
                <w:szCs w:val="20"/>
                <w:color w:val="auto"/>
              </w:rPr>
            </w:pPr>
            <w:r>
              <w:rPr>
                <w:rFonts w:ascii="Arial" w:cs="Arial" w:eastAsia="Arial" w:hAnsi="Arial"/>
                <w:sz w:val="18"/>
                <w:szCs w:val="18"/>
                <w:b w:val="1"/>
                <w:bCs w:val="1"/>
                <w:color w:val="auto"/>
              </w:rPr>
              <w:t>Industrial</w:t>
            </w:r>
          </w:p>
        </w:tc>
        <w:tc>
          <w:tcPr>
            <w:tcW w:w="160" w:type="dxa"/>
            <w:vAlign w:val="bottom"/>
            <w:shd w:val="clear" w:color="auto" w:fill="CFF0FC"/>
          </w:tcPr>
          <w:p>
            <w:pPr>
              <w:spacing w:after="0"/>
              <w:rPr>
                <w:sz w:val="16"/>
                <w:szCs w:val="16"/>
                <w:color w:val="auto"/>
              </w:rPr>
            </w:pPr>
          </w:p>
        </w:tc>
        <w:tc>
          <w:tcPr>
            <w:tcW w:w="56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Factory automation and control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(35% of TI revenue)</w:t>
            </w: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Building automation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Medical/healthcare/fitness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Grid infrastructure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Test and measurement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Motor drives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Space/avionics/defense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Appliances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Power delivery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Electronic point of sale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Display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Industrial transportation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Lighting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Industrial other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b w:val="1"/>
                <w:bCs w:val="1"/>
                <w:color w:val="auto"/>
              </w:rPr>
              <w:t>Automotive</w:t>
            </w:r>
          </w:p>
        </w:tc>
        <w:tc>
          <w:tcPr>
            <w:tcW w:w="16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Infotainment and cluster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(19% of TI revenue)</w:t>
            </w: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Passive safety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Advanced driver assistance systems (ADAS)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Hybrid/electric vehicle and powertrain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Body electronics and lighting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b w:val="1"/>
                <w:bCs w:val="1"/>
                <w:color w:val="auto"/>
              </w:rPr>
              <w:t>Personal electronics</w:t>
            </w:r>
          </w:p>
        </w:tc>
        <w:tc>
          <w:tcPr>
            <w:tcW w:w="16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Mobile phones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(25% of TI revenue)</w:t>
            </w: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Personal and notebook computers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Portable electronics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Storage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Tablets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Printers and other peripherals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Home theater and entertainment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Wearables (non-medical)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TV</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Gaming</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b w:val="1"/>
                <w:bCs w:val="1"/>
                <w:color w:val="auto"/>
              </w:rPr>
              <w:t>Communications equipment</w:t>
            </w:r>
          </w:p>
        </w:tc>
        <w:tc>
          <w:tcPr>
            <w:tcW w:w="16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Wireless infrastructure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(12% of TI revenue)</w:t>
            </w: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Telecom infrastructure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Enterprise switching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b w:val="1"/>
                <w:bCs w:val="1"/>
                <w:color w:val="auto"/>
              </w:rPr>
              <w:t>Enterprise systems</w:t>
            </w:r>
          </w:p>
        </w:tc>
        <w:tc>
          <w:tcPr>
            <w:tcW w:w="160" w:type="dxa"/>
            <w:vAlign w:val="bottom"/>
            <w:shd w:val="clear" w:color="auto" w:fill="CFF0FC"/>
          </w:tcPr>
          <w:p>
            <w:pPr>
              <w:spacing w:after="0"/>
              <w:rPr>
                <w:sz w:val="17"/>
                <w:szCs w:val="17"/>
                <w:color w:val="auto"/>
              </w:rPr>
            </w:pPr>
          </w:p>
        </w:tc>
        <w:tc>
          <w:tcPr>
            <w:tcW w:w="5620" w:type="dxa"/>
            <w:vAlign w:val="bottom"/>
            <w:shd w:val="clear" w:color="auto" w:fill="CFF0FC"/>
          </w:tcPr>
          <w:p>
            <w:pPr>
              <w:spacing w:after="0" w:line="201" w:lineRule="exact"/>
              <w:rPr>
                <w:sz w:val="20"/>
                <w:szCs w:val="20"/>
                <w:color w:val="auto"/>
              </w:rPr>
            </w:pPr>
            <w:r>
              <w:rPr>
                <w:rFonts w:ascii="Arial" w:cs="Arial" w:eastAsia="Arial" w:hAnsi="Arial"/>
                <w:sz w:val="18"/>
                <w:szCs w:val="18"/>
                <w:color w:val="auto"/>
              </w:rPr>
              <w:t>Projectors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(6% of TI revenue)</w:t>
            </w: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Servers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Multi-function printers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High-performance computing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Thin client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5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62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b w:val="1"/>
                <w:bCs w:val="1"/>
                <w:color w:val="auto"/>
              </w:rPr>
              <w:t>Other (calculators and other)</w:t>
            </w:r>
          </w:p>
        </w:tc>
        <w:tc>
          <w:tcPr>
            <w:tcW w:w="1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(3% of TI revenue)</w:t>
            </w:r>
          </w:p>
        </w:tc>
        <w:tc>
          <w:tcPr>
            <w:tcW w:w="1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52"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Despite recent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 that sell products into the same markets in which we operate.</w:t>
      </w:r>
    </w:p>
    <w:p>
      <w:pPr>
        <w:spacing w:after="0" w:line="20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believe that competitive performance in the semiconductor market generally depends on several factors, including the breadth of a company’s product line, the strength and depth of its channels to market, technological innovation, product development execution, technical support, customer service, quality, reliability, capacity and price. In addition, manufacturing process technologies that provide differentiated levels of performance are a competitive factor for our Analog products and customers’ prior investments in software development is a competitive factor for our Embedded Processing products.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could be affected by the significant time and money required to build and maintain semiconductor manufacturing facilities.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We employ several strategies to dampen the effect of the semiconductor cycle on TI. We acquire our manufacturing facilities and equipment ahead of demand, which usually allows us to acquire this capacity at lower costs. We focus our resources on our Analog and Embedded Processing segments, which serve diverse markets and diverse customers. This diversity reduces our dependence on the performance of a single market or small group of customers. Additionally, we utilize consignment inventory programs with our customers and distributors that give us improved insight into customer demand.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sell our products to about 100,000 customers. Our customer base is diverse, with more than one-third of our revenue derived from customers outside our largest 100.</w:t>
      </w:r>
    </w:p>
    <w:p>
      <w:pPr>
        <w:spacing w:after="0" w:line="211"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We market and sell our semiconductor products through direct sales and distributors, and online. We have sales or marketing offices in more than 30 countries, and we continue to expand and enhance our online presence. About 65 percent of our sales are fulfilled through distribution channels. Our distributors maintain an inventory of our products and sell directly to a wide range of customers. They also sell products from our competitors.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and requires an average of 12 weeks, with most products being completed within 6 to 14 weeks.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2" w:right="259" w:bottom="1440" w:gutter="0" w:footer="0" w:header="0"/>
        </w:sectPr>
      </w:pPr>
    </w:p>
    <w:bookmarkStart w:id="6" w:name="page7"/>
    <w:bookmarkEnd w:id="6"/>
    <w:p>
      <w:pPr>
        <w:ind w:right="920"/>
        <w:spacing w:after="0" w:line="342" w:lineRule="auto"/>
        <w:rPr>
          <w:sz w:val="20"/>
          <w:szCs w:val="20"/>
          <w:color w:val="auto"/>
        </w:rPr>
      </w:pPr>
      <w:r>
        <w:rPr>
          <w:rFonts w:ascii="Arial" w:cs="Arial" w:eastAsia="Arial" w:hAnsi="Arial"/>
          <w:sz w:val="16"/>
          <w:szCs w:val="16"/>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do most of our manufacturing in-house. 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increasing factory loadings of our advanced analog 300-millimeter wafers, which have about a 40 percent cost advantage per unpackaged chip over 200-millimeter wafers. 300-millimeter wafers will support the majority of our Analog growth going forward.</w:t>
      </w:r>
    </w:p>
    <w:p>
      <w:pPr>
        <w:spacing w:after="0" w:line="21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Additionally, we keep our manufacturing costs low by using mature assets acquired ahead of demand when their prices are most attractive. We expect to continue to maintain sufficient internal manufacturing capacity to meet the vast majority of our production needs, and to obtain manufacturing equipment to support new technology developments and revenue growth. To supplement our manufacturing capacity and maximize our responsiveness to customer demand, we use the capacity of outside suppliers, commonly known as foundries, and subcontractors. In 2017, we sourced about 20 percent of our total wafers from external foundries and about 40 percent of our assembly/test services from subcontractors.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R&amp;D expense was $1.51 billion in 2017, compared with $1.36 billion in 2016 and $1.27 billion in 2015. We continually grow and strengthen our broad Analog and Embedded Processing portfolios through disciplined allocation of R&amp;D resources. We invest in R&amp;D to develop differentiated products, with a particular emphasis on designing for the industrial and automotive markets.</w:t>
      </w:r>
    </w:p>
    <w:p>
      <w:pPr>
        <w:spacing w:after="0" w:line="22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conduct most of our R&amp;D internally. We also closely engage with a wide range of third parties, including software suppliers, universities and select industry consortia, and we collaborate with our foundry suppliers on semiconductor manufacturing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long-term inventory strategy is to maintain high levels of customer service and stable lead times, minimize inventory obsolescence and improve manufacturing asset utilization. To capitalize on manufacturing efficiencies, we build in advance of demand low-volume, long-lived devices with a broad customer base and a low risk of obsolescence. Additionally, we sometimes maintain product inventory in unfinished wafer form to allow greater flexibility in periods of high demand. Further, we have improved insight into demand and are better able to manage our factory loadings because over time we have increased consignment inventory programs with our customers and distributors. About 60 percent of TI revenue is fulfilled from consignment programs. Our strategy and expected customer demand will cause our inventory levels to fluctuate over time.</w:t>
      </w: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Longer term, we expect to carry more inventory than we have in the past as we move towards higher consignment levels and more long-lived, low-volume devices to serve industrial customers, a growing portion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define backlog as of a particular date as purchase orders with a customer-requested delivery date within a specified length of time. Our backlog at any particular date may not be indicative of revenue for any future period. As customer requirements and industry conditions change, orders may be subject to cancellation or modification of terms such as pricing, quantity or delivery date. Customer order placement practices continually evolve based on customers’ individual business needs and capabilities, as well as industry supply and capacity considerations. Further, our consignment programs do not result in backlog because the order occurs at the same time as delivery, i.e., when the customer pulls the product from consigned inventory. Our backlog of orders was $1.32 billion at December 31, 2017, and $1.09 billion at December 31, 2016.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participate in the same initiatives. Participation in these initiatives may require us to license certain of our patents to other companies on reasonable and non-discriminatory terms.</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time to time we consider acquisitions and divestitures. We focus on transactions that are a strategic fit and strengthen our portfolio, and that also meet our financial objectives.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jc w:val="center"/>
              <w:ind w:left="1131"/>
              <w:spacing w:after="0"/>
              <w:rPr>
                <w:sz w:val="20"/>
                <w:szCs w:val="20"/>
                <w:color w:val="auto"/>
              </w:rPr>
            </w:pPr>
            <w:r>
              <w:rPr>
                <w:rFonts w:ascii="Arial" w:cs="Arial" w:eastAsia="Arial" w:hAnsi="Arial"/>
                <w:sz w:val="14"/>
                <w:szCs w:val="14"/>
                <w:b w:val="1"/>
                <w:bCs w:val="1"/>
                <w:color w:val="auto"/>
                <w:w w:val="90"/>
              </w:rPr>
              <w:t>Age</w:t>
            </w:r>
          </w:p>
        </w:tc>
        <w:tc>
          <w:tcPr>
            <w:tcW w:w="6400" w:type="dxa"/>
            <w:vAlign w:val="bottom"/>
          </w:tcPr>
          <w:p>
            <w:pPr>
              <w:ind w:left="18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Niels Anderskouv</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48</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Vice President</w:t>
            </w:r>
          </w:p>
        </w:tc>
      </w:tr>
      <w:tr>
        <w:trPr>
          <w:trHeight w:val="237"/>
        </w:trPr>
        <w:tc>
          <w:tcPr>
            <w:tcW w:w="3160" w:type="dxa"/>
            <w:vAlign w:val="bottom"/>
          </w:tcPr>
          <w:p>
            <w:pPr>
              <w:ind w:left="60"/>
              <w:spacing w:after="0"/>
              <w:rPr>
                <w:sz w:val="20"/>
                <w:szCs w:val="20"/>
                <w:color w:val="auto"/>
              </w:rPr>
            </w:pPr>
            <w:r>
              <w:rPr>
                <w:rFonts w:ascii="Arial" w:cs="Arial" w:eastAsia="Arial" w:hAnsi="Arial"/>
                <w:sz w:val="18"/>
                <w:szCs w:val="18"/>
                <w:color w:val="auto"/>
              </w:rPr>
              <w:t>Stephen A. Anderson</w:t>
            </w:r>
          </w:p>
        </w:tc>
        <w:tc>
          <w:tcPr>
            <w:tcW w:w="1860" w:type="dxa"/>
            <w:vAlign w:val="bottom"/>
          </w:tcPr>
          <w:p>
            <w:pPr>
              <w:jc w:val="center"/>
              <w:ind w:left="1111"/>
              <w:spacing w:after="0"/>
              <w:rPr>
                <w:sz w:val="20"/>
                <w:szCs w:val="20"/>
                <w:color w:val="auto"/>
              </w:rPr>
            </w:pPr>
            <w:r>
              <w:rPr>
                <w:rFonts w:ascii="Arial" w:cs="Arial" w:eastAsia="Arial" w:hAnsi="Arial"/>
                <w:sz w:val="18"/>
                <w:szCs w:val="18"/>
                <w:color w:val="auto"/>
                <w:w w:val="89"/>
              </w:rPr>
              <w:t>56</w:t>
            </w:r>
          </w:p>
        </w:tc>
        <w:tc>
          <w:tcPr>
            <w:tcW w:w="6400" w:type="dxa"/>
            <w:vAlign w:val="bottom"/>
          </w:tcPr>
          <w:p>
            <w:pPr>
              <w:ind w:left="180"/>
              <w:spacing w:after="0"/>
              <w:rPr>
                <w:sz w:val="20"/>
                <w:szCs w:val="20"/>
                <w:color w:val="auto"/>
              </w:rPr>
            </w:pPr>
            <w:r>
              <w:rPr>
                <w:rFonts w:ascii="Arial" w:cs="Arial" w:eastAsia="Arial" w:hAnsi="Arial"/>
                <w:sz w:val="18"/>
                <w:szCs w:val="18"/>
                <w:color w:val="auto"/>
              </w:rPr>
              <w:t>Senior Vice President</w:t>
            </w:r>
          </w:p>
        </w:tc>
      </w:tr>
      <w:tr>
        <w:trPr>
          <w:trHeight w:val="249"/>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Ellen L. Barker</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55</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Vice President and Chief Information Officer</w:t>
            </w:r>
          </w:p>
        </w:tc>
      </w:tr>
      <w:tr>
        <w:trPr>
          <w:trHeight w:val="237"/>
        </w:trPr>
        <w:tc>
          <w:tcPr>
            <w:tcW w:w="3160" w:type="dxa"/>
            <w:vAlign w:val="bottom"/>
          </w:tcPr>
          <w:p>
            <w:pPr>
              <w:ind w:left="60"/>
              <w:spacing w:after="0"/>
              <w:rPr>
                <w:sz w:val="20"/>
                <w:szCs w:val="20"/>
                <w:color w:val="auto"/>
              </w:rPr>
            </w:pPr>
            <w:r>
              <w:rPr>
                <w:rFonts w:ascii="Arial" w:cs="Arial" w:eastAsia="Arial" w:hAnsi="Arial"/>
                <w:sz w:val="18"/>
                <w:szCs w:val="18"/>
                <w:color w:val="auto"/>
              </w:rPr>
              <w:t>Brian T. Crutcher*</w:t>
            </w:r>
          </w:p>
        </w:tc>
        <w:tc>
          <w:tcPr>
            <w:tcW w:w="1860" w:type="dxa"/>
            <w:vAlign w:val="bottom"/>
          </w:tcPr>
          <w:p>
            <w:pPr>
              <w:jc w:val="center"/>
              <w:ind w:left="1111"/>
              <w:spacing w:after="0"/>
              <w:rPr>
                <w:sz w:val="20"/>
                <w:szCs w:val="20"/>
                <w:color w:val="auto"/>
              </w:rPr>
            </w:pPr>
            <w:r>
              <w:rPr>
                <w:rFonts w:ascii="Arial" w:cs="Arial" w:eastAsia="Arial" w:hAnsi="Arial"/>
                <w:sz w:val="18"/>
                <w:szCs w:val="18"/>
                <w:color w:val="auto"/>
                <w:w w:val="89"/>
              </w:rPr>
              <w:t>45</w:t>
            </w:r>
          </w:p>
        </w:tc>
        <w:tc>
          <w:tcPr>
            <w:tcW w:w="6400" w:type="dxa"/>
            <w:vAlign w:val="bottom"/>
          </w:tcPr>
          <w:p>
            <w:pPr>
              <w:ind w:left="180"/>
              <w:spacing w:after="0"/>
              <w:rPr>
                <w:sz w:val="20"/>
                <w:szCs w:val="20"/>
                <w:color w:val="auto"/>
              </w:rPr>
            </w:pPr>
            <w:r>
              <w:rPr>
                <w:rFonts w:ascii="Arial" w:cs="Arial" w:eastAsia="Arial" w:hAnsi="Arial"/>
                <w:sz w:val="18"/>
                <w:szCs w:val="18"/>
                <w:color w:val="auto"/>
              </w:rPr>
              <w:t>Director, Executive Vice President and Chief Operating Officer</w:t>
            </w:r>
          </w:p>
        </w:tc>
      </w:tr>
      <w:tr>
        <w:trPr>
          <w:trHeight w:val="249"/>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R. Gregory Delagi</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55</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Vice President</w:t>
            </w:r>
          </w:p>
        </w:tc>
      </w:tr>
      <w:tr>
        <w:trPr>
          <w:trHeight w:val="237"/>
        </w:trPr>
        <w:tc>
          <w:tcPr>
            <w:tcW w:w="3160" w:type="dxa"/>
            <w:vAlign w:val="bottom"/>
          </w:tcPr>
          <w:p>
            <w:pPr>
              <w:ind w:left="60"/>
              <w:spacing w:after="0"/>
              <w:rPr>
                <w:sz w:val="20"/>
                <w:szCs w:val="20"/>
                <w:color w:val="auto"/>
              </w:rPr>
            </w:pPr>
            <w:r>
              <w:rPr>
                <w:rFonts w:ascii="Arial" w:cs="Arial" w:eastAsia="Arial" w:hAnsi="Arial"/>
                <w:sz w:val="18"/>
                <w:szCs w:val="18"/>
                <w:color w:val="auto"/>
              </w:rPr>
              <w:t>Haviv Ilan</w:t>
            </w:r>
          </w:p>
        </w:tc>
        <w:tc>
          <w:tcPr>
            <w:tcW w:w="1860" w:type="dxa"/>
            <w:vAlign w:val="bottom"/>
          </w:tcPr>
          <w:p>
            <w:pPr>
              <w:jc w:val="center"/>
              <w:ind w:left="1111"/>
              <w:spacing w:after="0"/>
              <w:rPr>
                <w:sz w:val="20"/>
                <w:szCs w:val="20"/>
                <w:color w:val="auto"/>
              </w:rPr>
            </w:pPr>
            <w:r>
              <w:rPr>
                <w:rFonts w:ascii="Arial" w:cs="Arial" w:eastAsia="Arial" w:hAnsi="Arial"/>
                <w:sz w:val="18"/>
                <w:szCs w:val="18"/>
                <w:color w:val="auto"/>
                <w:w w:val="89"/>
              </w:rPr>
              <w:t>49</w:t>
            </w:r>
          </w:p>
        </w:tc>
        <w:tc>
          <w:tcPr>
            <w:tcW w:w="6400" w:type="dxa"/>
            <w:vAlign w:val="bottom"/>
          </w:tcPr>
          <w:p>
            <w:pPr>
              <w:ind w:left="180"/>
              <w:spacing w:after="0"/>
              <w:rPr>
                <w:sz w:val="20"/>
                <w:szCs w:val="20"/>
                <w:color w:val="auto"/>
              </w:rPr>
            </w:pPr>
            <w:r>
              <w:rPr>
                <w:rFonts w:ascii="Arial" w:cs="Arial" w:eastAsia="Arial" w:hAnsi="Arial"/>
                <w:sz w:val="18"/>
                <w:szCs w:val="18"/>
                <w:color w:val="auto"/>
              </w:rPr>
              <w:t>Senior Vice President</w:t>
            </w:r>
          </w:p>
        </w:tc>
      </w:tr>
      <w:tr>
        <w:trPr>
          <w:trHeight w:val="249"/>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Rafael R. Lizardi</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45</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Vice President, Chief Financial Officer and Chief Accounting Officer</w:t>
            </w:r>
          </w:p>
        </w:tc>
      </w:tr>
      <w:tr>
        <w:trPr>
          <w:trHeight w:val="237"/>
        </w:trPr>
        <w:tc>
          <w:tcPr>
            <w:tcW w:w="3160" w:type="dxa"/>
            <w:vAlign w:val="bottom"/>
          </w:tcPr>
          <w:p>
            <w:pPr>
              <w:ind w:left="60"/>
              <w:spacing w:after="0"/>
              <w:rPr>
                <w:sz w:val="20"/>
                <w:szCs w:val="20"/>
                <w:color w:val="auto"/>
              </w:rPr>
            </w:pPr>
            <w:r>
              <w:rPr>
                <w:rFonts w:ascii="Arial" w:cs="Arial" w:eastAsia="Arial" w:hAnsi="Arial"/>
                <w:sz w:val="18"/>
                <w:szCs w:val="18"/>
                <w:color w:val="auto"/>
              </w:rPr>
              <w:t>Kevin J. Ritchie</w:t>
            </w:r>
          </w:p>
        </w:tc>
        <w:tc>
          <w:tcPr>
            <w:tcW w:w="1860" w:type="dxa"/>
            <w:vAlign w:val="bottom"/>
          </w:tcPr>
          <w:p>
            <w:pPr>
              <w:jc w:val="center"/>
              <w:ind w:left="1111"/>
              <w:spacing w:after="0"/>
              <w:rPr>
                <w:sz w:val="20"/>
                <w:szCs w:val="20"/>
                <w:color w:val="auto"/>
              </w:rPr>
            </w:pPr>
            <w:r>
              <w:rPr>
                <w:rFonts w:ascii="Arial" w:cs="Arial" w:eastAsia="Arial" w:hAnsi="Arial"/>
                <w:sz w:val="18"/>
                <w:szCs w:val="18"/>
                <w:color w:val="auto"/>
                <w:w w:val="89"/>
              </w:rPr>
              <w:t>61</w:t>
            </w:r>
          </w:p>
        </w:tc>
        <w:tc>
          <w:tcPr>
            <w:tcW w:w="6400" w:type="dxa"/>
            <w:vAlign w:val="bottom"/>
          </w:tcPr>
          <w:p>
            <w:pPr>
              <w:ind w:left="180"/>
              <w:spacing w:after="0"/>
              <w:rPr>
                <w:sz w:val="20"/>
                <w:szCs w:val="20"/>
                <w:color w:val="auto"/>
              </w:rPr>
            </w:pPr>
            <w:r>
              <w:rPr>
                <w:rFonts w:ascii="Arial" w:cs="Arial" w:eastAsia="Arial" w:hAnsi="Arial"/>
                <w:sz w:val="18"/>
                <w:szCs w:val="18"/>
                <w:color w:val="auto"/>
              </w:rPr>
              <w:t>Senior Vice President</w:t>
            </w:r>
          </w:p>
        </w:tc>
      </w:tr>
      <w:tr>
        <w:trPr>
          <w:trHeight w:val="249"/>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Richard K. Templeton*</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59</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37"/>
        </w:trPr>
        <w:tc>
          <w:tcPr>
            <w:tcW w:w="3160" w:type="dxa"/>
            <w:vAlign w:val="bottom"/>
          </w:tcPr>
          <w:p>
            <w:pPr>
              <w:ind w:left="60"/>
              <w:spacing w:after="0"/>
              <w:rPr>
                <w:sz w:val="20"/>
                <w:szCs w:val="20"/>
                <w:color w:val="auto"/>
              </w:rPr>
            </w:pPr>
            <w:r>
              <w:rPr>
                <w:rFonts w:ascii="Arial" w:cs="Arial" w:eastAsia="Arial" w:hAnsi="Arial"/>
                <w:sz w:val="18"/>
                <w:szCs w:val="18"/>
                <w:color w:val="auto"/>
              </w:rPr>
              <w:t>Cynthia Hoff Trochu</w:t>
            </w:r>
          </w:p>
        </w:tc>
        <w:tc>
          <w:tcPr>
            <w:tcW w:w="1860" w:type="dxa"/>
            <w:vAlign w:val="bottom"/>
          </w:tcPr>
          <w:p>
            <w:pPr>
              <w:jc w:val="center"/>
              <w:ind w:left="1111"/>
              <w:spacing w:after="0"/>
              <w:rPr>
                <w:sz w:val="20"/>
                <w:szCs w:val="20"/>
                <w:color w:val="auto"/>
              </w:rPr>
            </w:pPr>
            <w:r>
              <w:rPr>
                <w:rFonts w:ascii="Arial" w:cs="Arial" w:eastAsia="Arial" w:hAnsi="Arial"/>
                <w:sz w:val="18"/>
                <w:szCs w:val="18"/>
                <w:color w:val="auto"/>
                <w:w w:val="89"/>
              </w:rPr>
              <w:t>54</w:t>
            </w:r>
          </w:p>
        </w:tc>
        <w:tc>
          <w:tcPr>
            <w:tcW w:w="6400" w:type="dxa"/>
            <w:vAlign w:val="bottom"/>
          </w:tcPr>
          <w:p>
            <w:pPr>
              <w:ind w:left="180"/>
              <w:spacing w:after="0"/>
              <w:rPr>
                <w:sz w:val="20"/>
                <w:szCs w:val="20"/>
                <w:color w:val="auto"/>
              </w:rPr>
            </w:pPr>
            <w:r>
              <w:rPr>
                <w:rFonts w:ascii="Arial" w:cs="Arial" w:eastAsia="Arial" w:hAnsi="Arial"/>
                <w:sz w:val="18"/>
                <w:szCs w:val="18"/>
                <w:color w:val="auto"/>
              </w:rPr>
              <w:t>Senior Vice President, Secretary and General Counsel</w:t>
            </w:r>
          </w:p>
        </w:tc>
      </w:tr>
      <w:tr>
        <w:trPr>
          <w:trHeight w:val="249"/>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Julie M. Van Haren</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49</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Vice President</w:t>
            </w:r>
          </w:p>
        </w:tc>
      </w:tr>
      <w:tr>
        <w:trPr>
          <w:trHeight w:val="237"/>
        </w:trPr>
        <w:tc>
          <w:tcPr>
            <w:tcW w:w="3160" w:type="dxa"/>
            <w:vAlign w:val="bottom"/>
          </w:tcPr>
          <w:p>
            <w:pPr>
              <w:ind w:left="60"/>
              <w:spacing w:after="0"/>
              <w:rPr>
                <w:sz w:val="20"/>
                <w:szCs w:val="20"/>
                <w:color w:val="auto"/>
              </w:rPr>
            </w:pPr>
            <w:r>
              <w:rPr>
                <w:rFonts w:ascii="Arial" w:cs="Arial" w:eastAsia="Arial" w:hAnsi="Arial"/>
                <w:sz w:val="18"/>
                <w:szCs w:val="18"/>
                <w:color w:val="auto"/>
              </w:rPr>
              <w:t>Darla H. Whitaker</w:t>
            </w:r>
          </w:p>
        </w:tc>
        <w:tc>
          <w:tcPr>
            <w:tcW w:w="1860" w:type="dxa"/>
            <w:vAlign w:val="bottom"/>
          </w:tcPr>
          <w:p>
            <w:pPr>
              <w:jc w:val="center"/>
              <w:ind w:left="1111"/>
              <w:spacing w:after="0"/>
              <w:rPr>
                <w:sz w:val="20"/>
                <w:szCs w:val="20"/>
                <w:color w:val="auto"/>
              </w:rPr>
            </w:pPr>
            <w:r>
              <w:rPr>
                <w:rFonts w:ascii="Arial" w:cs="Arial" w:eastAsia="Arial" w:hAnsi="Arial"/>
                <w:sz w:val="18"/>
                <w:szCs w:val="18"/>
                <w:color w:val="auto"/>
                <w:w w:val="89"/>
              </w:rPr>
              <w:t>52</w:t>
            </w:r>
          </w:p>
        </w:tc>
        <w:tc>
          <w:tcPr>
            <w:tcW w:w="6400" w:type="dxa"/>
            <w:vAlign w:val="bottom"/>
          </w:tcPr>
          <w:p>
            <w:pPr>
              <w:ind w:left="180"/>
              <w:spacing w:after="0"/>
              <w:rPr>
                <w:sz w:val="20"/>
                <w:szCs w:val="20"/>
                <w:color w:val="auto"/>
              </w:rPr>
            </w:pPr>
            <w:r>
              <w:rPr>
                <w:rFonts w:ascii="Arial" w:cs="Arial" w:eastAsia="Arial" w:hAnsi="Arial"/>
                <w:sz w:val="18"/>
                <w:szCs w:val="18"/>
                <w:color w:val="auto"/>
              </w:rPr>
              <w:t>Senior Vice President</w:t>
            </w:r>
          </w:p>
        </w:tc>
      </w:tr>
      <w:tr>
        <w:trPr>
          <w:trHeight w:val="249"/>
        </w:trPr>
        <w:tc>
          <w:tcPr>
            <w:tcW w:w="3160" w:type="dxa"/>
            <w:vAlign w:val="bottom"/>
            <w:shd w:val="clear" w:color="auto" w:fill="CFF0FC"/>
          </w:tcPr>
          <w:p>
            <w:pPr>
              <w:ind w:left="60"/>
              <w:spacing w:after="0"/>
              <w:rPr>
                <w:sz w:val="20"/>
                <w:szCs w:val="20"/>
                <w:color w:val="auto"/>
              </w:rPr>
            </w:pPr>
            <w:r>
              <w:rPr>
                <w:rFonts w:ascii="Arial" w:cs="Arial" w:eastAsia="Arial" w:hAnsi="Arial"/>
                <w:sz w:val="18"/>
                <w:szCs w:val="18"/>
                <w:color w:val="auto"/>
              </w:rPr>
              <w:t>Bing Xie</w:t>
            </w:r>
          </w:p>
        </w:tc>
        <w:tc>
          <w:tcPr>
            <w:tcW w:w="1860" w:type="dxa"/>
            <w:vAlign w:val="bottom"/>
            <w:shd w:val="clear" w:color="auto" w:fill="CFF0FC"/>
          </w:tcPr>
          <w:p>
            <w:pPr>
              <w:jc w:val="center"/>
              <w:ind w:left="1111"/>
              <w:spacing w:after="0"/>
              <w:rPr>
                <w:sz w:val="20"/>
                <w:szCs w:val="20"/>
                <w:color w:val="auto"/>
              </w:rPr>
            </w:pPr>
            <w:r>
              <w:rPr>
                <w:rFonts w:ascii="Arial" w:cs="Arial" w:eastAsia="Arial" w:hAnsi="Arial"/>
                <w:sz w:val="18"/>
                <w:szCs w:val="18"/>
                <w:color w:val="auto"/>
                <w:w w:val="89"/>
              </w:rPr>
              <w:t>50</w:t>
            </w:r>
          </w:p>
        </w:tc>
        <w:tc>
          <w:tcPr>
            <w:tcW w:w="6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Vice President</w:t>
            </w:r>
          </w:p>
        </w:tc>
      </w:tr>
    </w:tbl>
    <w:p>
      <w:pPr>
        <w:spacing w:after="0" w:line="242" w:lineRule="exact"/>
        <w:rPr>
          <w:sz w:val="20"/>
          <w:szCs w:val="20"/>
          <w:color w:val="auto"/>
        </w:rPr>
      </w:pPr>
    </w:p>
    <w:p>
      <w:pPr>
        <w:ind w:right="80" w:firstLine="8"/>
        <w:spacing w:after="0" w:line="277"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January 18, 2018, Mr. Crutcher was appointed to succeed Mr. Templeton as president and chief executive officer, effective June 1, 2018. Mr. Templeton will continue as chairman of the board.</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term of office of these officers is from the date of their election until their successor shall have been elected and qualified. All have been employees of the company for more than five years. Messrs. Anderson, Crutcher, Delagi, Ritchie and Templeton and Ms. Whitaker have served as executive officers of the company for more than five years. Ms. Trochu and Mr. Xie became executive officers of the company in 2015. Messrs. Anderskouv, Ilan and Lizardi and Mses. Barker and Van Haren became executive officers of the company in 2017. Mr. Anderskouv was previously an executive officer of the company from 2012 to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2017, we had 29,714 employees.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 Also available through the TI Investor Relations website are reports filed by our directors and executive officers on Forms 3, 4 and 5, and amendments to those reports.</w:t>
      </w:r>
    </w:p>
    <w:p>
      <w:pPr>
        <w:spacing w:after="0" w:line="18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Available on our website at www.ti.com/corporategovernance are: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P.O. Box 660199, MS 8657, Dallas, Texas, 75266-0199, Attention: Investor Relations.</w:t>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may restrict us from participating in the China market or may prevent us from competing effectively with Chinese companies. Certain competitors possess sufficient financial, technical and management resources to develop and market products that may compete favorably against our products, and consolidation among our competitors may allow them to compete more effectively. Additionally, traditional intellectual property licensors are increasingly providing functionality, designs and complete hardware or software solutions that compete with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6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may lead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20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results of operations also might suffer because of a general decline in customer demand resulting from, for example: uncertainty regarding the stability of global credit and financial markets; natural events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facilities in more than 30 countries. About 85 percent of our revenue comes from shipments to locations outside the United States; in particular, shipments of products into China typically represent a large portion of our revenue. We are exposed to political, social and economic conditions, security risks, terrorism or other hostile acts, health conditions, labor conditions, and possible disruptions in transportation, communications and information technology networks of the various countries in which we operate, including the United States. Additionally, certain countries where we operate have experienced, and other countries may experience, increasing protectionism that may impact global trade. This could result in an adverse effect on our operations and our financial results.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operating results and our reputation could be adversely affected by breaches or disruptions of information technology systems.</w:t>
      </w:r>
    </w:p>
    <w:p>
      <w:pPr>
        <w:spacing w:after="0" w:line="26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Breaches or disruptions of our information technology systems or the systems of our customers, vendors and other third parties could be caused by factors such as computer viruses, system failures, restricted network access, unauthorized access, terrorism,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or penalties, any of which could adversely affect our operating results and our reputation. Cybersecurity threats are frequent and constantly evolving, thereby increasing the difficulty of defending against them.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have manufacturing, data and design facilities and other operations in locations subject to natural occurrences such as severe weather, geological events or health epidemics that could disrupt operations. A natural disaster that results in a prolonged disruption to our operations may adversely affect our results and financial condition.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manner. We make significant investments in research and development to improve existing technology and products and develop new ones to meet changing customer demands. In some cases, we might not realize a return on our investments because they are generally made before commercial viability can be assured. Further, projects that are commercially viable may not contribute significant revenue until at least a few years after they are completed.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6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We rely on third parties to supply us with goods and services in a cost-effective and timely manner. Our access to needed goods and services may be adversely affected by potential disputes with suppliers or disruptions in our suppliers’ operations as a result of, for example: quality excursions; uncertainty regarding the stability of global credit and financial markets; domestic or international political, social, economic and other conditions; natural events in the locations in which our suppliers operate; or limited or delayed access to key raw materials, natural resources and utilities. Additionally, a breach of our suppliers’ information technology systems could result in a release of our confidential or proprietary information. If our suppliers are unable to access credit markets and other sources of needed liquidity, we may be unable to obtain needed supplies, collect accounts receivable or access needed technology.</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66" w:right="259" w:bottom="1440" w:gutter="0" w:footer="0" w:header="0"/>
        </w:sectPr>
      </w:pPr>
    </w:p>
    <w:bookmarkStart w:id="10" w:name="page11"/>
    <w:bookmarkEnd w:id="10"/>
    <w:p>
      <w:pPr>
        <w:ind w:right="260"/>
        <w:spacing w:after="0" w:line="255" w:lineRule="auto"/>
        <w:rPr>
          <w:sz w:val="20"/>
          <w:szCs w:val="20"/>
          <w:color w:val="auto"/>
        </w:rPr>
      </w:pPr>
      <w:r>
        <w:rPr>
          <w:rFonts w:ascii="Arial" w:cs="Arial" w:eastAsia="Arial" w:hAnsi="Arial"/>
          <w:sz w:val="18"/>
          <w:szCs w:val="18"/>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 effective, and appropriate manner and the possibility of suppliers’ imposition of increased costs on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subject to complex laws, rules and regulations affecting our domestic and international operations relating to, for example, the environment, safety and health; exports and imports; bribery and corruption; tax; data privacy and protection; labor and employment; competition; market access; intellectual property ownership and infringement; and the movement of currency. Compliance with these laws, rules and regulations may be onerous and expensive and could restrict our ability to manufacture or ship our products and operate our business. If we fail to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20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our reputation could be affected by warranty claims, product liability claims, product recalls or legal proceedings.</w:t>
      </w:r>
    </w:p>
    <w:p>
      <w:pPr>
        <w:spacing w:after="0" w:line="2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could be subject to claims based on warranty, product liability, epidemic or delivery failures, or other grounds relating to our products, manufacturing, services, designs, communications or cybersecurity that could lead to significant expenses as we defend such claims or pay damage awards or settlements. In the event of a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our reputation.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facilities in more than 30 countries and as a result are subject to taxation and audit by a number of taxing authorities. Tax rates vary among the jurisdictions in which we operate. A number of factors could cause our tax rate to increase, including a change in the jurisdictions in which our profits are earned and taxed; a change in the mix of profits from those jurisdictions; changes in available tax credits;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 If our tax rate increases, our results of operations could be adversely affected.</w:t>
      </w:r>
    </w:p>
    <w:p>
      <w:pPr>
        <w:spacing w:after="0" w:line="20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we are subject to laws and regulations in various jurisdictions that determine how much profit has been earned and when it is subject to taxation in that jurisdiction.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liability based on our forecast of our performance for the year. If that performance forecast changes, our forecasted tax liability will change.</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initial estimates of the financial impact of the U.S. Tax Cuts and Jobs Act, enacted in December 2017, may change as we refine our analysis and as additional guidance becomes available. If in the future we repatriate any of the earnings represented by non-cash, operating assets such as inventory and fixed assets, we might incur incremental non-U.S. taxes, which could affect our results of operations.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Our results of operations and financial condition could be adversely affected if a customer or a distributor suffers a loss with respect to our inventory.</w:t>
      </w:r>
    </w:p>
    <w:p>
      <w:pPr>
        <w:spacing w:after="0" w:line="26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may be adversely affected if we do not recover the full value of the lost inventory from the customer, distributor or insurer, or if our recovery is delayed.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could be adversely affected by our distributors’ promotion of competing product lines or our distributors’ financial performance.</w:t>
      </w:r>
    </w:p>
    <w:p>
      <w:pPr>
        <w:spacing w:after="0" w:line="2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2017, about 65 percent of our revenue was generated from sales of our products through distributors. Our distributors carry competing product lines, and our sales could be affected if our distributors promote competing products over our products. Moreover, our results of operations could be affected if our distributors suffer financial difficulties that result in their inability to pay amounts owed to us. Disputes with or the loss of a significant number of distributors could be disruptive or harmful to our current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margins may vary over time.</w:t>
      </w:r>
    </w:p>
    <w:p>
      <w:pPr>
        <w:spacing w:after="0" w:line="2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profit margins may be adversely affected by a number of factors, including decreases in customer demand and shipment volume; obsolescence of our inventory; shifts in our product mix; changes in tariffs; changes in our manufacturing processes;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We may, directly or indirectly, face infringement claims from third parties, including non-practicing entities that have acquired patents to pursue enforcement actions against other companies. We may also face infringement claims where we or our customers make, use or sell products and where the intellectual property laws may be less established or less predictable. These assertions, whether or not of any merit, could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22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would be invested in our operations or returned to shareholders, or could cause us to raise funds by, for example, issuing new debt or equity or selling assets.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66"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Increases in health care and pension benefit costs could affect our results of operations and financial condition.</w:t>
      </w:r>
    </w:p>
    <w:p>
      <w:pPr>
        <w:spacing w:after="0" w:line="2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continued success depends in part on our ability to retain and recruit a sufficient number of qualified employees in a competitive environment.</w:t>
      </w:r>
    </w:p>
    <w:p>
      <w:pPr>
        <w:spacing w:after="0" w:line="27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continued success depends in part on the retention and recruitment of skilled personnel, including engineering, management, marketing, technical and staff personnel. Skilled and experienced personnel in our industry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ability to successfully implement business and organizational changes could affect our business plans and results of operations.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undertake business and organizational changes, including acquisitions, divestitures and restructuring actions, to support or carry out our strategic objectives. Our failure to successfully implement these changes could adversely affect our business plans and operating results. For example, we may not realize the expected benefits of an acquisition if we are unable to timely and successfully integrate acquired operations, product lines and technology, and our pre-acquisition due diligence may not identify all possible issues and risks that might arise with respect to an acquisition. Further, we may not achieve or sustain the expected growth or cost savings benefits of business and organizational changes, and restructuring charges could differ materially in amount and timing from our expectations.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a significant amount of goodwill and intangible assets on our consolidated balance sheet. Charges associated with impairments of goodwill or intangible assets could adversely affect our financial condition and results of operations.</w:t>
      </w:r>
    </w:p>
    <w:p>
      <w:pPr>
        <w:spacing w:after="0" w:line="19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Analog</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4"/>
              </w:rPr>
              <w:t>Embedded</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4"/>
              </w:rPr>
              <w:t>Processing</w:t>
            </w:r>
          </w:p>
        </w:tc>
        <w:tc>
          <w:tcPr>
            <w:tcW w:w="0" w:type="dxa"/>
            <w:vAlign w:val="bottom"/>
          </w:tcPr>
          <w:p>
            <w:pPr>
              <w:spacing w:after="0"/>
              <w:rPr>
                <w:sz w:val="1"/>
                <w:szCs w:val="1"/>
                <w:color w:val="auto"/>
              </w:rPr>
            </w:pPr>
          </w:p>
        </w:tc>
      </w:tr>
      <w:tr>
        <w:trPr>
          <w:trHeight w:val="223"/>
        </w:trPr>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Dallas, Texas</w:t>
            </w:r>
          </w:p>
        </w:tc>
        <w:tc>
          <w:tcPr>
            <w:tcW w:w="18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0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Houston, Texas</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Sherman, Texas</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Tucson, Arizona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Santa Clara, California</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South Portland, Maine</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Chengdu, China</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Shanghai, China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Freising, Germany</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Bangalore, India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Aizu, Japan</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Miho, Japan</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Kuala Lumpur, Malaysia</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Melaka, Malaysia</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Aguascalientes, Mexico</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Baguio, Philippines</w:t>
            </w:r>
            <w:r>
              <w:rPr>
                <w:rFonts w:ascii="Arial" w:cs="Arial" w:eastAsia="Arial" w:hAnsi="Arial"/>
                <w:sz w:val="15"/>
                <w:szCs w:val="15"/>
                <w:color w:val="auto"/>
              </w:rPr>
              <w:t>†</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Pampanga (Clark), Philippines</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Greenock, Scotland</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Taipei, Taiwan</w:t>
            </w:r>
            <w:r>
              <w:rPr>
                <w:rFonts w:ascii="Arial" w:cs="Arial" w:eastAsia="Arial" w:hAnsi="Arial"/>
                <w:sz w:val="15"/>
                <w:szCs w:val="15"/>
                <w:color w:val="auto"/>
              </w:rPr>
              <w:t>†</w:t>
            </w:r>
          </w:p>
        </w:tc>
        <w:tc>
          <w:tcPr>
            <w:tcW w:w="19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rPr>
              <w:t>X</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Leased.</w:t>
      </w:r>
    </w:p>
    <w:p>
      <w:pPr>
        <w:spacing w:after="0" w:line="23"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Portions of the facilities are leased and owned. This may include land leases.</w:t>
      </w:r>
    </w:p>
    <w:p>
      <w:pPr>
        <w:spacing w:after="0" w:line="23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facilities in the United States contained approximately 13.1 million square feet at December 31, 2017, of which approximately 0.7 million square feet were leased. Our facilities outside the United States contained approximately 10.0 million square feet at December 31, 2017, of which approximately 1.5 million square feet were leased.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2017, we occupied substantially all of the space in our facilities.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20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concerning the number of stockholders of record at December 31, 2017, is contained in Item 6, “Summary of Selected Financial Data.”</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 common stock is listed on The NASDAQ Global Select Market. The table below shows the high and low closing prices of TI common stock as reported by Bloomberg L.P. and the dividends paid per common share in each quarter during the past two years.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Quarter</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1460" w:type="dxa"/>
            <w:vAlign w:val="bottom"/>
            <w:tcBorders>
              <w:bottom w:val="single" w:sz="8" w:color="CFF0FC"/>
            </w:tcBorders>
          </w:tcPr>
          <w:p>
            <w:pPr>
              <w:spacing w:after="0"/>
              <w:rPr>
                <w:sz w:val="13"/>
                <w:szCs w:val="13"/>
                <w:color w:val="auto"/>
              </w:rPr>
            </w:pPr>
          </w:p>
        </w:tc>
        <w:tc>
          <w:tcPr>
            <w:tcW w:w="236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1st</w:t>
            </w:r>
          </w:p>
        </w:tc>
        <w:tc>
          <w:tcPr>
            <w:tcW w:w="2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2nd</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3rd</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4th</w:t>
            </w:r>
          </w:p>
        </w:tc>
        <w:tc>
          <w:tcPr>
            <w:tcW w:w="100" w:type="dxa"/>
            <w:vAlign w:val="bottom"/>
            <w:tcBorders>
              <w:bottom w:val="single" w:sz="8" w:color="CFF0FC"/>
            </w:tcBorders>
          </w:tcPr>
          <w:p>
            <w:pPr>
              <w:spacing w:after="0"/>
              <w:rPr>
                <w:sz w:val="13"/>
                <w:szCs w:val="13"/>
                <w:color w:val="auto"/>
              </w:rPr>
            </w:pPr>
          </w:p>
        </w:tc>
      </w:tr>
      <w:tr>
        <w:trPr>
          <w:trHeight w:val="223"/>
        </w:trPr>
        <w:tc>
          <w:tcPr>
            <w:tcW w:w="1460" w:type="dxa"/>
            <w:vAlign w:val="bottom"/>
            <w:shd w:val="clear" w:color="auto" w:fill="CFF0FC"/>
          </w:tcPr>
          <w:p>
            <w:pPr>
              <w:spacing w:after="0"/>
              <w:rPr>
                <w:sz w:val="20"/>
                <w:szCs w:val="20"/>
                <w:color w:val="auto"/>
              </w:rPr>
            </w:pPr>
            <w:r>
              <w:rPr>
                <w:rFonts w:ascii="Arial" w:cs="Arial" w:eastAsia="Arial" w:hAnsi="Arial"/>
                <w:sz w:val="18"/>
                <w:szCs w:val="18"/>
                <w:color w:val="auto"/>
              </w:rPr>
              <w:t>Stock prices:</w:t>
            </w:r>
          </w:p>
        </w:tc>
        <w:tc>
          <w:tcPr>
            <w:tcW w:w="23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2360" w:type="dxa"/>
            <w:vAlign w:val="bottom"/>
          </w:tcPr>
          <w:p>
            <w:pPr>
              <w:ind w:left="60"/>
              <w:spacing w:after="0"/>
              <w:rPr>
                <w:sz w:val="20"/>
                <w:szCs w:val="20"/>
                <w:color w:val="auto"/>
              </w:rPr>
            </w:pPr>
            <w:r>
              <w:rPr>
                <w:rFonts w:ascii="Arial" w:cs="Arial" w:eastAsia="Arial" w:hAnsi="Arial"/>
                <w:sz w:val="18"/>
                <w:szCs w:val="18"/>
                <w:b w:val="1"/>
                <w:bCs w:val="1"/>
                <w:color w:val="auto"/>
              </w:rPr>
              <w:t>High</w:t>
            </w:r>
          </w:p>
        </w:tc>
        <w:tc>
          <w:tcPr>
            <w:tcW w:w="21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82.20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84.34</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89.65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104.82</w:t>
            </w:r>
          </w:p>
        </w:tc>
        <w:tc>
          <w:tcPr>
            <w:tcW w:w="100" w:type="dxa"/>
            <w:vAlign w:val="bottom"/>
          </w:tcPr>
          <w:p>
            <w:pPr>
              <w:spacing w:after="0"/>
              <w:rPr>
                <w:sz w:val="19"/>
                <w:szCs w:val="19"/>
                <w:color w:val="auto"/>
              </w:rPr>
            </w:pPr>
          </w:p>
        </w:tc>
      </w:tr>
      <w:tr>
        <w:trPr>
          <w:trHeight w:val="230"/>
        </w:trPr>
        <w:tc>
          <w:tcPr>
            <w:tcW w:w="1460" w:type="dxa"/>
            <w:vAlign w:val="bottom"/>
            <w:shd w:val="clear" w:color="auto" w:fill="CFF0FC"/>
          </w:tcPr>
          <w:p>
            <w:pPr>
              <w:spacing w:after="0"/>
              <w:rPr>
                <w:sz w:val="19"/>
                <w:szCs w:val="19"/>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Low</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72.92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76.90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76.41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89.65</w:t>
            </w: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color w:val="auto"/>
              </w:rPr>
              <w:t>2016</w:t>
            </w:r>
          </w:p>
        </w:tc>
        <w:tc>
          <w:tcPr>
            <w:tcW w:w="2360" w:type="dxa"/>
            <w:vAlign w:val="bottom"/>
          </w:tcPr>
          <w:p>
            <w:pPr>
              <w:ind w:left="60"/>
              <w:spacing w:after="0"/>
              <w:rPr>
                <w:sz w:val="20"/>
                <w:szCs w:val="20"/>
                <w:color w:val="auto"/>
              </w:rPr>
            </w:pPr>
            <w:r>
              <w:rPr>
                <w:rFonts w:ascii="Arial" w:cs="Arial" w:eastAsia="Arial" w:hAnsi="Arial"/>
                <w:sz w:val="18"/>
                <w:szCs w:val="18"/>
                <w:color w:val="auto"/>
              </w:rPr>
              <w:t>High</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63.30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74.87</w:t>
            </w:r>
          </w:p>
        </w:tc>
        <w:tc>
          <w:tcPr>
            <w:tcW w:w="100" w:type="dxa"/>
            <w:vAlign w:val="bottom"/>
          </w:tcPr>
          <w:p>
            <w:pPr>
              <w:spacing w:after="0"/>
              <w:rPr>
                <w:sz w:val="19"/>
                <w:szCs w:val="19"/>
                <w:color w:val="auto"/>
              </w:rPr>
            </w:pPr>
          </w:p>
        </w:tc>
      </w:tr>
      <w:tr>
        <w:trPr>
          <w:trHeight w:val="230"/>
        </w:trPr>
        <w:tc>
          <w:tcPr>
            <w:tcW w:w="1460" w:type="dxa"/>
            <w:vAlign w:val="bottom"/>
            <w:shd w:val="clear" w:color="auto" w:fill="CFF0FC"/>
          </w:tcPr>
          <w:p>
            <w:pPr>
              <w:spacing w:after="0"/>
              <w:rPr>
                <w:sz w:val="19"/>
                <w:szCs w:val="19"/>
                <w:color w:val="auto"/>
              </w:rPr>
            </w:pPr>
          </w:p>
        </w:tc>
        <w:tc>
          <w:tcPr>
            <w:tcW w:w="2360" w:type="dxa"/>
            <w:vAlign w:val="bottom"/>
            <w:shd w:val="clear" w:color="auto" w:fill="CFF0FC"/>
          </w:tcPr>
          <w:p>
            <w:pPr>
              <w:ind w:left="60"/>
              <w:spacing w:after="0"/>
              <w:rPr>
                <w:sz w:val="20"/>
                <w:szCs w:val="20"/>
                <w:color w:val="auto"/>
              </w:rPr>
            </w:pPr>
            <w:r>
              <w:rPr>
                <w:rFonts w:ascii="Arial" w:cs="Arial" w:eastAsia="Arial" w:hAnsi="Arial"/>
                <w:sz w:val="18"/>
                <w:szCs w:val="18"/>
                <w:color w:val="auto"/>
              </w:rPr>
              <w:t>Low</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56.43</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67.60</w:t>
            </w: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Dividends paid:</w:t>
            </w:r>
          </w:p>
        </w:tc>
        <w:tc>
          <w:tcPr>
            <w:tcW w:w="2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2017</w:t>
            </w:r>
          </w:p>
        </w:tc>
        <w:tc>
          <w:tcPr>
            <w:tcW w:w="2360" w:type="dxa"/>
            <w:vAlign w:val="bottom"/>
            <w:shd w:val="clear" w:color="auto" w:fill="CFF0FC"/>
          </w:tcPr>
          <w:p>
            <w:pPr>
              <w:spacing w:after="0"/>
              <w:rPr>
                <w:sz w:val="19"/>
                <w:szCs w:val="19"/>
                <w:color w:val="auto"/>
              </w:rPr>
            </w:pPr>
          </w:p>
        </w:tc>
        <w:tc>
          <w:tcPr>
            <w:tcW w:w="2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0.50</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0.50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0.62</w:t>
            </w:r>
          </w:p>
        </w:tc>
        <w:tc>
          <w:tcPr>
            <w:tcW w:w="100" w:type="dxa"/>
            <w:vAlign w:val="bottom"/>
            <w:shd w:val="clear" w:color="auto" w:fill="CFF0FC"/>
          </w:tcPr>
          <w:p>
            <w:pPr>
              <w:spacing w:after="0"/>
              <w:rPr>
                <w:sz w:val="19"/>
                <w:szCs w:val="19"/>
                <w:color w:val="auto"/>
              </w:rPr>
            </w:pPr>
          </w:p>
        </w:tc>
      </w:tr>
      <w:tr>
        <w:trPr>
          <w:trHeight w:val="230"/>
        </w:trPr>
        <w:tc>
          <w:tcPr>
            <w:tcW w:w="1460" w:type="dxa"/>
            <w:vAlign w:val="bottom"/>
          </w:tcPr>
          <w:p>
            <w:pPr>
              <w:jc w:val="right"/>
              <w:spacing w:after="0"/>
              <w:rPr>
                <w:sz w:val="20"/>
                <w:szCs w:val="20"/>
                <w:color w:val="auto"/>
              </w:rPr>
            </w:pPr>
            <w:r>
              <w:rPr>
                <w:rFonts w:ascii="Arial" w:cs="Arial" w:eastAsia="Arial" w:hAnsi="Arial"/>
                <w:sz w:val="18"/>
                <w:szCs w:val="18"/>
                <w:color w:val="auto"/>
              </w:rPr>
              <w:t>2016</w:t>
            </w:r>
          </w:p>
        </w:tc>
        <w:tc>
          <w:tcPr>
            <w:tcW w:w="2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2017.</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Approximate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Dollar Value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 as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of Shares that</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Part of</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May Yet Be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3"/>
              </w:rPr>
              <w:t>Publicly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Purchased</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3"/>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Under the</w:t>
            </w: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3"/>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Price Paid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Plans or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Plans or</w:t>
            </w:r>
          </w:p>
        </w:tc>
      </w:tr>
      <w:tr>
        <w:trPr>
          <w:trHeight w:val="171"/>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440" w:type="dxa"/>
            <w:vAlign w:val="bottom"/>
            <w:gridSpan w:val="2"/>
          </w:tcPr>
          <w:p>
            <w:pPr>
              <w:jc w:val="center"/>
              <w:ind w:right="243"/>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per Share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2017 through October 31, 2017</w:t>
            </w:r>
          </w:p>
        </w:tc>
        <w:tc>
          <w:tcPr>
            <w:tcW w:w="1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9"/>
              </w:rPr>
              <w:t>2,575,154</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88"/>
              </w:rPr>
              <w:t>93.49</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2,560,953</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97"/>
              </w:rPr>
              <w:t>9.71 billion</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November 1, 2017 through November 30, 2017</w:t>
            </w:r>
          </w:p>
        </w:tc>
        <w:tc>
          <w:tcPr>
            <w:tcW w:w="1160" w:type="dxa"/>
            <w:vAlign w:val="bottom"/>
          </w:tcPr>
          <w:p>
            <w:pPr>
              <w:ind w:left="420"/>
              <w:spacing w:after="0"/>
              <w:rPr>
                <w:sz w:val="20"/>
                <w:szCs w:val="20"/>
                <w:color w:val="auto"/>
              </w:rPr>
            </w:pPr>
            <w:r>
              <w:rPr>
                <w:rFonts w:ascii="Arial" w:cs="Arial" w:eastAsia="Arial" w:hAnsi="Arial"/>
                <w:sz w:val="18"/>
                <w:szCs w:val="18"/>
                <w:color w:val="auto"/>
                <w:w w:val="89"/>
              </w:rPr>
              <w:t>3,324,228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ind w:left="580"/>
              <w:spacing w:after="0"/>
              <w:rPr>
                <w:sz w:val="20"/>
                <w:szCs w:val="20"/>
                <w:color w:val="auto"/>
              </w:rPr>
            </w:pPr>
            <w:r>
              <w:rPr>
                <w:rFonts w:ascii="Arial" w:cs="Arial" w:eastAsia="Arial" w:hAnsi="Arial"/>
                <w:sz w:val="18"/>
                <w:szCs w:val="18"/>
                <w:color w:val="auto"/>
                <w:w w:val="88"/>
              </w:rPr>
              <w:t>97.71</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3,324,228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color w:val="auto"/>
              </w:rPr>
              <w:t>9.39 billion</w:t>
            </w:r>
          </w:p>
        </w:tc>
      </w:tr>
      <w:tr>
        <w:trPr>
          <w:trHeight w:val="230"/>
        </w:trPr>
        <w:tc>
          <w:tcPr>
            <w:tcW w:w="4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1, 2017 through December 31, 2017</w:t>
            </w:r>
          </w:p>
        </w:tc>
        <w:tc>
          <w:tcPr>
            <w:tcW w:w="1160" w:type="dxa"/>
            <w:vAlign w:val="bottom"/>
            <w:tcBorders>
              <w:bottom w:val="single" w:sz="8" w:color="auto"/>
            </w:tcBorders>
            <w:shd w:val="clear" w:color="auto" w:fill="CFF0FC"/>
          </w:tcPr>
          <w:p>
            <w:pPr>
              <w:ind w:left="420"/>
              <w:spacing w:after="0"/>
              <w:rPr>
                <w:sz w:val="20"/>
                <w:szCs w:val="20"/>
                <w:color w:val="auto"/>
              </w:rPr>
            </w:pPr>
            <w:r>
              <w:rPr>
                <w:rFonts w:ascii="Arial" w:cs="Arial" w:eastAsia="Arial" w:hAnsi="Arial"/>
                <w:sz w:val="18"/>
                <w:szCs w:val="18"/>
                <w:color w:val="auto"/>
                <w:w w:val="89"/>
              </w:rPr>
              <w:t>1,456,816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97.63</w:t>
            </w:r>
          </w:p>
        </w:tc>
        <w:tc>
          <w:tcPr>
            <w:tcW w:w="300" w:type="dxa"/>
            <w:vAlign w:val="bottom"/>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1,456,816</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9.24 billion</w:t>
            </w: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9"/>
              </w:rPr>
              <w:t>7,356,198</w:t>
            </w:r>
          </w:p>
        </w:tc>
        <w:tc>
          <w:tcPr>
            <w:tcW w:w="280" w:type="dxa"/>
            <w:vAlign w:val="bottom"/>
          </w:tcPr>
          <w:p>
            <w:pPr>
              <w:jc w:val="right"/>
              <w:ind w:right="43"/>
              <w:spacing w:after="0"/>
              <w:rPr>
                <w:sz w:val="20"/>
                <w:szCs w:val="20"/>
                <w:color w:val="auto"/>
              </w:rPr>
            </w:pPr>
            <w:r>
              <w:rPr>
                <w:rFonts w:ascii="Arial" w:cs="Arial" w:eastAsia="Arial" w:hAnsi="Arial"/>
                <w:sz w:val="15"/>
                <w:szCs w:val="15"/>
                <w:color w:val="auto"/>
                <w:w w:val="76"/>
              </w:rPr>
              <w:t>(2)</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96.22</w:t>
            </w:r>
            <w:r>
              <w:rPr>
                <w:rFonts w:ascii="Arial" w:cs="Arial" w:eastAsia="Arial" w:hAnsi="Arial"/>
                <w:sz w:val="15"/>
                <w:szCs w:val="15"/>
                <w:color w:val="auto"/>
              </w:rPr>
              <w:t>(2)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7,341,997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240"/>
              <w:spacing w:after="0" w:line="223" w:lineRule="exact"/>
              <w:rPr>
                <w:sz w:val="20"/>
                <w:szCs w:val="20"/>
                <w:color w:val="auto"/>
              </w:rPr>
            </w:pPr>
            <w:r>
              <w:rPr>
                <w:rFonts w:ascii="Arial" w:cs="Arial" w:eastAsia="Arial" w:hAnsi="Arial"/>
                <w:sz w:val="16"/>
                <w:szCs w:val="16"/>
                <w:color w:val="auto"/>
              </w:rPr>
              <w:t>9.24 billion</w:t>
            </w:r>
            <w:r>
              <w:rPr>
                <w:rFonts w:ascii="Arial" w:cs="Arial" w:eastAsia="Arial" w:hAnsi="Arial"/>
                <w:sz w:val="25"/>
                <w:szCs w:val="25"/>
                <w:color w:val="auto"/>
                <w:vertAlign w:val="superscript"/>
              </w:rPr>
              <w:t>(3)</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20" w:right="240" w:hanging="512"/>
        <w:spacing w:after="0" w:line="264"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All open-market purchases during the quarter were made under the authorization from our board of directors to purchase up to $7.5 billion of additional shares of TI common stock announced September 17, 2015. On September 21, 2017, our board of directors authorized the purchase of an additional $6.0 billion of our common stock.</w:t>
      </w:r>
    </w:p>
    <w:p>
      <w:pPr>
        <w:spacing w:after="0" w:line="73" w:lineRule="exact"/>
        <w:rPr>
          <w:rFonts w:ascii="Arial" w:cs="Arial" w:eastAsia="Arial" w:hAnsi="Arial"/>
          <w:sz w:val="15"/>
          <w:szCs w:val="15"/>
          <w:color w:val="auto"/>
        </w:rPr>
      </w:pPr>
    </w:p>
    <w:p>
      <w:pPr>
        <w:ind w:left="520" w:right="60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 addition to open-market purchases, 14,201 shares of common stock were surrendered by employees to satisfy tax withholding obligations in connection with the vesting of restricted stock units.</w:t>
      </w:r>
    </w:p>
    <w:p>
      <w:pPr>
        <w:spacing w:after="0" w:line="62" w:lineRule="exact"/>
        <w:rPr>
          <w:rFonts w:ascii="Arial" w:cs="Arial" w:eastAsia="Arial" w:hAnsi="Arial"/>
          <w:sz w:val="15"/>
          <w:szCs w:val="15"/>
          <w:color w:val="auto"/>
        </w:rPr>
      </w:pPr>
    </w:p>
    <w:p>
      <w:pPr>
        <w:ind w:left="520" w:right="600" w:hanging="512"/>
        <w:spacing w:after="0" w:line="277" w:lineRule="auto"/>
        <w:tabs>
          <w:tab w:leader="none" w:pos="52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of December 31, 2017, this amount consisted of the remaining portion of the $7.5 billion authorized in September 2015 and the $6.0 billion authorized in September 2017. No expiration date has been specified for these authorizations.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980" w:type="dxa"/>
            <w:vAlign w:val="bottom"/>
          </w:tcPr>
          <w:p>
            <w:pPr>
              <w:ind w:left="20"/>
              <w:spacing w:after="0"/>
              <w:rPr>
                <w:sz w:val="20"/>
                <w:szCs w:val="20"/>
                <w:color w:val="auto"/>
              </w:rPr>
            </w:pPr>
            <w:r>
              <w:rPr>
                <w:rFonts w:ascii="Arial" w:cs="Arial" w:eastAsia="Arial" w:hAnsi="Arial"/>
                <w:sz w:val="18"/>
                <w:szCs w:val="18"/>
                <w:b w:val="1"/>
                <w:bCs w:val="1"/>
                <w:color w:val="auto"/>
              </w:rPr>
              <w:t>Selected Financial Data.</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6"/>
                <w:szCs w:val="16"/>
                <w:b w:val="1"/>
                <w:bCs w:val="1"/>
                <w:color w:val="auto"/>
              </w:rPr>
              <w:t>For Years Ended December 31,</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 data:</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5,363</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4,614</w:t>
            </w:r>
          </w:p>
        </w:tc>
        <w:tc>
          <w:tcPr>
            <w:tcW w:w="2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4,397</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4,054</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 expenditures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Free cash flow (a)</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4,668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0" w:type="dxa"/>
            <w:vAlign w:val="bottom"/>
            <w:shd w:val="clear" w:color="auto" w:fill="CFF0FC"/>
          </w:tcPr>
          <w:p>
            <w:pPr>
              <w:spacing w:after="0"/>
              <w:rPr>
                <w:sz w:val="20"/>
                <w:szCs w:val="20"/>
                <w:color w:val="auto"/>
              </w:rPr>
            </w:pPr>
            <w:r>
              <w:rPr>
                <w:rFonts w:ascii="Arial" w:cs="Arial" w:eastAsia="Arial" w:hAnsi="Arial"/>
                <w:sz w:val="16"/>
                <w:szCs w:val="16"/>
                <w:color w:val="auto"/>
                <w:w w:val="93"/>
              </w:rPr>
              <w:t>Dividends paid</w:t>
            </w:r>
          </w:p>
        </w:tc>
        <w:tc>
          <w:tcPr>
            <w:tcW w:w="4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2,104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Stock repurchases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5980" w:type="dxa"/>
            <w:vAlign w:val="bottom"/>
            <w:gridSpan w:val="2"/>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6"/>
                <w:szCs w:val="16"/>
                <w:b w:val="1"/>
                <w:bCs w:val="1"/>
                <w:color w:val="auto"/>
              </w:rPr>
              <w:t>Income statement data:</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 by segment: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Arial" w:cs="Arial" w:eastAsia="Arial" w:hAnsi="Arial"/>
                <w:sz w:val="16"/>
                <w:szCs w:val="16"/>
                <w:color w:val="auto"/>
              </w:rPr>
              <w:t>Analog</w:t>
            </w: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9,900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8,536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Embedded Processing</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3,498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Other</w:t>
            </w:r>
          </w:p>
        </w:tc>
        <w:tc>
          <w:tcPr>
            <w:tcW w:w="49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1,563</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2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2,561</w:t>
            </w:r>
          </w:p>
        </w:tc>
        <w:tc>
          <w:tcPr>
            <w:tcW w:w="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4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14,961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FF0FC"/>
          </w:tcPr>
          <w:p>
            <w:pPr>
              <w:spacing w:after="0"/>
              <w:rPr>
                <w:sz w:val="20"/>
                <w:szCs w:val="20"/>
                <w:color w:val="auto"/>
              </w:rPr>
            </w:pPr>
            <w:r>
              <w:rPr>
                <w:rFonts w:ascii="Arial" w:cs="Arial" w:eastAsia="Arial" w:hAnsi="Arial"/>
                <w:sz w:val="16"/>
                <w:szCs w:val="16"/>
                <w:color w:val="auto"/>
                <w:w w:val="91"/>
              </w:rPr>
              <w:t>Gross profit (b)</w:t>
            </w:r>
          </w:p>
        </w:tc>
        <w:tc>
          <w:tcPr>
            <w:tcW w:w="4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9,614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7,447</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Operating expenses (R&amp;D and SG&amp;A) (b)</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3,202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3"/>
          </w:tcPr>
          <w:p>
            <w:pPr>
              <w:spacing w:after="0"/>
              <w:rPr>
                <w:sz w:val="20"/>
                <w:szCs w:val="20"/>
                <w:color w:val="auto"/>
              </w:rPr>
            </w:pPr>
            <w:r>
              <w:rPr>
                <w:rFonts w:ascii="Arial" w:cs="Arial" w:eastAsia="Arial" w:hAnsi="Arial"/>
                <w:sz w:val="16"/>
                <w:szCs w:val="16"/>
                <w:color w:val="auto"/>
              </w:rPr>
              <w:t>Restructuring charges/other (b)</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Operating profit (b)</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6,083</w:t>
            </w: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4,855</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4,003</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2,922</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49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3,682</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3,595</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4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earnings per share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3,682</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2,162</w:t>
            </w:r>
          </w:p>
        </w:tc>
        <w:tc>
          <w:tcPr>
            <w:tcW w:w="60" w:type="dxa"/>
            <w:vAlign w:val="bottom"/>
            <w:shd w:val="clear" w:color="auto" w:fill="CFF0FC"/>
          </w:tcPr>
          <w:p>
            <w:pPr>
              <w:spacing w:after="0"/>
              <w:rPr>
                <w:sz w:val="18"/>
                <w:szCs w:val="18"/>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3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(36)</w:t>
            </w:r>
          </w:p>
        </w:tc>
      </w:tr>
      <w:tr>
        <w:trPr>
          <w:trHeight w:val="210"/>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allocated to common shares for diluted EPS</w:t>
            </w: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3,649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3,551</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2,126</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6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Average diluted shares outstanding, in millions</w:t>
            </w: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1,113</w:t>
            </w:r>
          </w:p>
        </w:tc>
        <w:tc>
          <w:tcPr>
            <w:tcW w:w="60" w:type="dxa"/>
            <w:vAlign w:val="bottom"/>
            <w:shd w:val="clear" w:color="auto" w:fill="CFF0FC"/>
          </w:tcPr>
          <w:p>
            <w:pPr>
              <w:spacing w:after="0"/>
              <w:rPr>
                <w:sz w:val="18"/>
                <w:szCs w:val="18"/>
                <w:color w:val="auto"/>
              </w:rPr>
            </w:pPr>
          </w:p>
        </w:tc>
      </w:tr>
      <w:tr>
        <w:trPr>
          <w:trHeight w:val="213"/>
        </w:trPr>
        <w:tc>
          <w:tcPr>
            <w:tcW w:w="6000" w:type="dxa"/>
            <w:vAlign w:val="bottom"/>
          </w:tcPr>
          <w:p>
            <w:pPr>
              <w:spacing w:after="0"/>
              <w:rPr>
                <w:sz w:val="20"/>
                <w:szCs w:val="20"/>
                <w:color w:val="auto"/>
              </w:rPr>
            </w:pPr>
            <w:r>
              <w:rPr>
                <w:rFonts w:ascii="Arial" w:cs="Arial" w:eastAsia="Arial" w:hAnsi="Arial"/>
                <w:sz w:val="16"/>
                <w:szCs w:val="16"/>
                <w:color w:val="auto"/>
              </w:rPr>
              <w:t>Diluted EPS</w:t>
            </w:r>
          </w:p>
        </w:tc>
        <w:tc>
          <w:tcPr>
            <w:tcW w:w="320" w:type="dxa"/>
            <w:vAlign w:val="bottom"/>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3.61</w:t>
            </w:r>
          </w:p>
        </w:tc>
        <w:tc>
          <w:tcPr>
            <w:tcW w:w="160" w:type="dxa"/>
            <w:vAlign w:val="bottom"/>
          </w:tcPr>
          <w:p>
            <w:pPr>
              <w:spacing w:after="0"/>
              <w:rPr>
                <w:sz w:val="18"/>
                <w:szCs w:val="18"/>
                <w:color w:val="auto"/>
              </w:rPr>
            </w:pPr>
          </w:p>
        </w:tc>
        <w:tc>
          <w:tcPr>
            <w:tcW w:w="3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3.48</w:t>
            </w:r>
          </w:p>
        </w:tc>
        <w:tc>
          <w:tcPr>
            <w:tcW w:w="20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2.82</w:t>
            </w:r>
          </w:p>
        </w:tc>
        <w:tc>
          <w:tcPr>
            <w:tcW w:w="140" w:type="dxa"/>
            <w:vAlign w:val="bottom"/>
          </w:tcPr>
          <w:p>
            <w:pPr>
              <w:spacing w:after="0"/>
              <w:rPr>
                <w:sz w:val="18"/>
                <w:szCs w:val="18"/>
                <w:color w:val="auto"/>
              </w:rPr>
            </w:pPr>
          </w:p>
        </w:tc>
        <w:tc>
          <w:tcPr>
            <w:tcW w:w="38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2.57</w:t>
            </w:r>
          </w:p>
        </w:tc>
        <w:tc>
          <w:tcPr>
            <w:tcW w:w="2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1.91</w:t>
            </w:r>
          </w:p>
        </w:tc>
        <w:tc>
          <w:tcPr>
            <w:tcW w:w="60" w:type="dxa"/>
            <w:vAlign w:val="bottom"/>
          </w:tcPr>
          <w:p>
            <w:pPr>
              <w:spacing w:after="0"/>
              <w:rPr>
                <w:sz w:val="18"/>
                <w:szCs w:val="18"/>
                <w:color w:val="auto"/>
              </w:rPr>
            </w:pPr>
          </w:p>
        </w:tc>
      </w:tr>
      <w:tr>
        <w:trPr>
          <w:trHeight w:val="219"/>
        </w:trPr>
        <w:tc>
          <w:tcPr>
            <w:tcW w:w="6000" w:type="dxa"/>
            <w:vAlign w:val="bottom"/>
            <w:shd w:val="clear" w:color="auto" w:fill="CFF0FC"/>
          </w:tcPr>
          <w:p>
            <w:pPr>
              <w:spacing w:after="0"/>
              <w:rPr>
                <w:sz w:val="20"/>
                <w:szCs w:val="20"/>
                <w:color w:val="auto"/>
              </w:rPr>
            </w:pPr>
            <w:r>
              <w:rPr>
                <w:rFonts w:ascii="Arial" w:cs="Arial" w:eastAsia="Arial" w:hAnsi="Arial"/>
                <w:sz w:val="16"/>
                <w:szCs w:val="16"/>
                <w:color w:val="auto"/>
              </w:rPr>
              <w:t>Cash dividends declared per common share</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2.12</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60" w:type="dxa"/>
            <w:vAlign w:val="bottom"/>
            <w:shd w:val="clear" w:color="auto" w:fill="CFF0FC"/>
          </w:tcPr>
          <w:p>
            <w:pPr>
              <w:spacing w:after="0"/>
              <w:rPr>
                <w:sz w:val="19"/>
                <w:szCs w:val="19"/>
                <w:color w:val="auto"/>
              </w:rPr>
            </w:pPr>
          </w:p>
        </w:tc>
      </w:tr>
    </w:tbl>
    <w:p>
      <w:pPr>
        <w:spacing w:after="0" w:line="24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Free cash flow is a non-GAAP measure derived by subtracting Capital expenditures from Cash flows from operating activities.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Prior periods reclassified to conform to the 2017 presentation, having adopted ASU 2017-07. See Note 2 to the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December 31,</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b w:val="1"/>
                <w:bCs w:val="1"/>
                <w:color w:val="auto"/>
              </w:rPr>
              <w:t>(Millions of dollars, except Other data items)</w:t>
            </w:r>
          </w:p>
        </w:tc>
        <w:tc>
          <w:tcPr>
            <w:tcW w:w="200" w:type="dxa"/>
            <w:vAlign w:val="bottom"/>
          </w:tcPr>
          <w:p>
            <w:pPr>
              <w:spacing w:after="0"/>
              <w:rPr>
                <w:sz w:val="18"/>
                <w:szCs w:val="18"/>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sheet data:</w:t>
            </w:r>
          </w:p>
        </w:tc>
        <w:tc>
          <w:tcPr>
            <w:tcW w:w="2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Cash, cash equivalents and short-term investments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4,469</w:t>
            </w: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3,490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3,218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3,541</w:t>
            </w:r>
          </w:p>
        </w:tc>
        <w:tc>
          <w:tcPr>
            <w:tcW w:w="2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16,431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17,372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Other data - Number of:</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00" w:type="dxa"/>
            <w:vAlign w:val="bottom"/>
            <w:gridSpan w:val="2"/>
          </w:tcPr>
          <w:p>
            <w:pPr>
              <w:spacing w:after="0"/>
              <w:rPr>
                <w:sz w:val="20"/>
                <w:szCs w:val="20"/>
                <w:color w:val="auto"/>
              </w:rPr>
            </w:pPr>
            <w:r>
              <w:rPr>
                <w:rFonts w:ascii="Arial" w:cs="Arial" w:eastAsia="Arial" w:hAnsi="Arial"/>
                <w:sz w:val="16"/>
                <w:szCs w:val="16"/>
                <w:color w:val="auto"/>
              </w:rPr>
              <w:t>Employees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29,714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29,977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Stockholders of record</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14,260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14,910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16,361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See Management’s Discussion and Analysis of Financial Condition and Results of Operations and Financial Statements and Supplementary Data.</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62" w:lineRule="exact"/>
        <w:rPr>
          <w:sz w:val="20"/>
          <w:szCs w:val="20"/>
          <w:color w:val="auto"/>
        </w:rPr>
      </w:pPr>
    </w:p>
    <w:p>
      <w:pPr>
        <w:ind w:left="1040" w:hanging="519"/>
        <w:spacing w:after="0" w:line="293"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A strong foundation of manufacturing and technology. </w:t>
      </w:r>
      <w:r>
        <w:rPr>
          <w:rFonts w:ascii="Arial" w:cs="Arial" w:eastAsia="Arial" w:hAnsi="Arial"/>
          <w:sz w:val="16"/>
          <w:szCs w:val="16"/>
          <w:color w:val="auto"/>
        </w:rPr>
        <w:t>We invest in manufacturing technologies and do most of our manufacturing in-house.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increasing factory loadings of our advanced analog 300-millimeter wafers, which have about a 40 percent cost advantage per unpackaged chip over 200-millimeter wafers. 300-millimeter wafers will support the majority of our Analog growth going forward. Additionally, we keep our manufacturing costs low by using mature assets acquired ahead of demand when their prices are most attractive.</w:t>
      </w:r>
    </w:p>
    <w:p>
      <w:pPr>
        <w:spacing w:after="0" w:line="56" w:lineRule="exact"/>
        <w:rPr>
          <w:rFonts w:ascii="Arial" w:cs="Arial" w:eastAsia="Arial" w:hAnsi="Arial"/>
          <w:sz w:val="16"/>
          <w:szCs w:val="16"/>
          <w:color w:val="auto"/>
        </w:rPr>
      </w:pPr>
    </w:p>
    <w:p>
      <w:pPr>
        <w:ind w:left="1040" w:right="22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means we can solve more of these needs than our competitors,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jc w:val="both"/>
        <w:ind w:left="1040" w:right="8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1040" w:right="100" w:hanging="519"/>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Diversity and longevity of our products, markets and customer positions. </w:t>
      </w:r>
      <w:r>
        <w:rPr>
          <w:rFonts w:ascii="Arial" w:cs="Arial" w:eastAsia="Arial" w:hAnsi="Arial"/>
          <w:sz w:val="18"/>
          <w:szCs w:val="18"/>
          <w:color w:val="auto"/>
        </w:rPr>
        <w:t>Together, the attributes above result in diverse and long-lived</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that deliver high terminal value to our shareholders. Because of the breadth of our portfolio, we are not dependent on any single product, and because of the breadth of our markets we are not dependent on any single application or customer. Some of our products generate revenue for decades, which strengthens the return on our investments.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 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62" w:lineRule="exact"/>
        <w:rPr>
          <w:sz w:val="20"/>
          <w:szCs w:val="20"/>
          <w:color w:val="auto"/>
        </w:rPr>
      </w:pPr>
    </w:p>
    <w:p>
      <w:pPr>
        <w:ind w:left="1040" w:right="120" w:hanging="519"/>
        <w:spacing w:after="0" w:line="26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540" w:right="100" w:hanging="513"/>
        <w:spacing w:after="0" w:line="277"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0"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ind w:left="1540" w:hanging="506"/>
        <w:spacing w:after="0" w:line="259" w:lineRule="auto"/>
        <w:tabs>
          <w:tab w:leader="none" w:pos="154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76" w:lineRule="exact"/>
        <w:rPr>
          <w:rFonts w:ascii="Courier New" w:cs="Courier New" w:eastAsia="Courier New" w:hAnsi="Courier New"/>
          <w:sz w:val="18"/>
          <w:szCs w:val="18"/>
          <w:color w:val="auto"/>
        </w:rPr>
      </w:pPr>
    </w:p>
    <w:p>
      <w:pPr>
        <w:ind w:left="1540" w:right="100" w:hanging="506"/>
        <w:spacing w:after="0" w:line="272" w:lineRule="auto"/>
        <w:tabs>
          <w:tab w:leader="none" w:pos="1540" w:val="left"/>
        </w:tabs>
        <w:numPr>
          <w:ilvl w:val="1"/>
          <w:numId w:val="11"/>
        </w:numPr>
        <w:rPr>
          <w:rFonts w:ascii="Courier New" w:cs="Courier New" w:eastAsia="Courier New" w:hAnsi="Courier New"/>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9" w:lineRule="exact"/>
        <w:rPr>
          <w:rFonts w:ascii="Courier New" w:cs="Courier New" w:eastAsia="Courier New" w:hAnsi="Courier New"/>
          <w:sz w:val="17"/>
          <w:szCs w:val="17"/>
          <w:color w:val="auto"/>
        </w:rPr>
      </w:pPr>
    </w:p>
    <w:p>
      <w:pPr>
        <w:ind w:left="1540" w:hanging="506"/>
        <w:spacing w:after="0"/>
        <w:tabs>
          <w:tab w:leader="none" w:pos="1540" w:val="left"/>
        </w:tabs>
        <w:numPr>
          <w:ilvl w:val="1"/>
          <w:numId w:val="11"/>
        </w:numPr>
        <w:rPr>
          <w:rFonts w:ascii="Courier New" w:cs="Courier New" w:eastAsia="Courier New" w:hAnsi="Courier New"/>
          <w:sz w:val="18"/>
          <w:szCs w:val="18"/>
          <w:color w:val="auto"/>
        </w:rPr>
      </w:pPr>
      <w:r>
        <w:rPr>
          <w:rFonts w:ascii="Arial" w:cs="Arial" w:eastAsia="Arial" w:hAnsi="Arial"/>
          <w:sz w:val="18"/>
          <w:szCs w:val="18"/>
          <w:color w:val="auto"/>
        </w:rPr>
        <w:t>Over time, we have been allocating resources from areas like manufacturing support and SG&amp;A into R&amp;D activities.</w:t>
      </w:r>
    </w:p>
    <w:p>
      <w:pPr>
        <w:spacing w:after="0" w:line="101" w:lineRule="exact"/>
        <w:rPr>
          <w:rFonts w:ascii="Courier New" w:cs="Courier New" w:eastAsia="Courier New" w:hAnsi="Courier New"/>
          <w:sz w:val="18"/>
          <w:szCs w:val="18"/>
          <w:color w:val="auto"/>
        </w:rPr>
      </w:pPr>
    </w:p>
    <w:p>
      <w:pPr>
        <w:ind w:left="1040" w:right="80" w:hanging="519"/>
        <w:spacing w:after="0" w:line="276"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recently enacted U.S. Tax Cuts and Jobs Act (the Tax Act) will reduce our annual operating tax rate, which does not include discrete tax items, from 31 percent in 2017 to an ongoing rate of about 18 percent starting in 2019, comprehending the benefits of exports and having manufacturing, R&amp;D and intellectual property in the United States. In 2018, our annual operating tax rate is expected to be about 23 percent, 5 percentage points higher, primarily due to a transitional non-cash expense. For an explanation of the term “annual operating tax rate,” see the Non-GAAP financial information section after the Liquidity and capital resources section.</w:t>
      </w:r>
    </w:p>
    <w:p>
      <w:pPr>
        <w:spacing w:after="0" w:line="64" w:lineRule="exact"/>
        <w:rPr>
          <w:rFonts w:ascii="Arial" w:cs="Arial" w:eastAsia="Arial" w:hAnsi="Arial"/>
          <w:sz w:val="17"/>
          <w:szCs w:val="17"/>
          <w:color w:val="auto"/>
        </w:rPr>
      </w:pPr>
    </w:p>
    <w:p>
      <w:pPr>
        <w:ind w:left="1040" w:right="6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first quarter of 2017, we adopted ASU 2017-07 related to certain pension and other retiree benefit costs. We applied the new standard on a full retrospective basis for all periods presented in the Consolidated Statements of Income, which have been recast as a result. See Note 2 to the financial statements for more details.</w:t>
      </w:r>
    </w:p>
    <w:p>
      <w:pPr>
        <w:spacing w:after="0" w:line="73"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January 1, 2017, we no longer recognize royalties as revenue; instead, they are recorded as OI&amp;E. We continue to receive royalties from arrangements involving license rights to our patent portfolio. Although we expect royalties to continue for many years, they are of decreasing significance to our core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continued to perform well in 2017, reflecting our focus on Analog and Embedded Processing, with a particular emphasis on the industrial and automotive markets. These products serve highly diverse markets with thousands of applications and have long-term growth opportunities. In 2017, Analog and Embedded Processing represented 90 percent of revenue. Gross margin of 64.3 percent reflected the quality of our product portfolio, as well as the efficiency of our manufacturing strategy.</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$5.36 billion underscored the strength of our business model. Free cash flow was $4.67 billion and represented 31.2 percent of revenue, up from 30.5 percent a year ago. During 2017, we returned $4.66 billion to shareholders through a combination of stock repurchases and dividends, consistent with our strategy to return all of our free cash flow to shareholders. Our dividends represented 45 percent of free cash flow, underscoring their sustainability. Free cash flow is a non-GAAP financial measure. See the Non-GAAP financial information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2017 compared with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$14.96 billion was up $1.59 billion, or 12 percent, due to higher revenue from Analog and Embedded Processing.</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profit of $9.61 billion was up $1.36 billion, or 16 percent, primarily due to higher revenue. As a percentage of revenue, gross profit increased to 64.3 percent from 61.8 percent.</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Operating expenses (R&amp;D and SG&amp;A) were $3.20 billion compared with $3.10 billion, as we continued our ongoing allocation of resources to R&amp;D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$318 million were non-cash. See Note 13 to the financial statements.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Restructuring charges/other was a charge of $11 million compared with a credit of $15 million in 2016. These amounts are included in Other for segment reporting purposes. See Note 3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$6.08 billion, or 40.7 percent of revenue, compared with $4.86 billion, or 36.3 percent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$75 million of income compared with $155 million in 2016. See Note 13 to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ind w:right="40"/>
        <w:spacing w:after="0" w:line="259" w:lineRule="auto"/>
        <w:rPr>
          <w:sz w:val="20"/>
          <w:szCs w:val="20"/>
          <w:color w:val="auto"/>
        </w:rPr>
      </w:pPr>
      <w:r>
        <w:rPr>
          <w:rFonts w:ascii="Arial" w:cs="Arial" w:eastAsia="Arial" w:hAnsi="Arial"/>
          <w:sz w:val="18"/>
          <w:szCs w:val="18"/>
          <w:color w:val="auto"/>
        </w:rPr>
        <w:t>Our Provision for income taxes was $2.40 billion compared with $1.34 billion. The increase was due to the enactment of the Tax Act and, to a lesser extent, higher income before income taxes. Our effective tax rate, which includes discrete tax items, was 39 percent in 2017 and 27 percent in 2016. This change was due to tax adjustments made in 2017 as a result of the Tax Act. See Note 6 to the financial statements for a reconciliation of the U.S. statutory income tax rate to the effective tax rate.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Net income was $3.68 billion compared with $3.60 billion. EPS was $3.61 compared with $3.48.</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2"/>
        </w:trPr>
        <w:tc>
          <w:tcPr>
            <w:tcW w:w="60" w:type="dxa"/>
            <w:vAlign w:val="bottom"/>
          </w:tcPr>
          <w:p>
            <w:pPr>
              <w:spacing w:after="0"/>
              <w:rPr>
                <w:sz w:val="24"/>
                <w:szCs w:val="24"/>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Segment results – 2017 compared with 2016</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53"/>
        </w:trPr>
        <w:tc>
          <w:tcPr>
            <w:tcW w:w="7740" w:type="dxa"/>
            <w:vAlign w:val="bottom"/>
            <w:gridSpan w:val="3"/>
          </w:tcPr>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60" w:type="dxa"/>
            <w:vAlign w:val="bottom"/>
            <w:tcBorders>
              <w:bottom w:val="single" w:sz="8" w:color="CFF0FC"/>
            </w:tcBorders>
          </w:tcPr>
          <w:p>
            <w:pPr>
              <w:spacing w:after="0"/>
              <w:rPr>
                <w:sz w:val="24"/>
                <w:szCs w:val="24"/>
                <w:color w:val="auto"/>
              </w:rPr>
            </w:pPr>
          </w:p>
        </w:tc>
        <w:tc>
          <w:tcPr>
            <w:tcW w:w="3200" w:type="dxa"/>
            <w:vAlign w:val="bottom"/>
            <w:tcBorders>
              <w:bottom w:val="single" w:sz="8" w:color="CFF0FC"/>
            </w:tcBorders>
          </w:tcPr>
          <w:p>
            <w:pPr>
              <w:spacing w:after="0"/>
              <w:rPr>
                <w:sz w:val="24"/>
                <w:szCs w:val="24"/>
                <w:color w:val="auto"/>
              </w:rPr>
            </w:pPr>
          </w:p>
        </w:tc>
        <w:tc>
          <w:tcPr>
            <w:tcW w:w="44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2017</w:t>
            </w:r>
          </w:p>
        </w:tc>
        <w:tc>
          <w:tcPr>
            <w:tcW w:w="3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2016</w:t>
            </w:r>
          </w:p>
        </w:tc>
        <w:tc>
          <w:tcPr>
            <w:tcW w:w="36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4"/>
                <w:szCs w:val="24"/>
                <w:color w:val="auto"/>
              </w:rPr>
            </w:pPr>
          </w:p>
        </w:tc>
      </w:tr>
      <w:tr>
        <w:trPr>
          <w:trHeight w:val="223"/>
        </w:trPr>
        <w:tc>
          <w:tcPr>
            <w:tcW w:w="7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9,900</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4,468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3,416</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30"/>
        </w:trPr>
        <w:tc>
          <w:tcPr>
            <w:tcW w:w="77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45.1%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40.0%</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Analog revenue increased due to Power and Signal Chain. High Volume also grew, but to a lesser extent.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Pr>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7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2017</w:t>
            </w:r>
          </w:p>
        </w:tc>
        <w:tc>
          <w:tcPr>
            <w:tcW w:w="38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2016</w:t>
            </w:r>
          </w:p>
        </w:tc>
        <w:tc>
          <w:tcPr>
            <w:tcW w:w="36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4"/>
                <w:szCs w:val="24"/>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3,498</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32.7%</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27.0%</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Embedded Processing revenue increased due to growth in both product lines, led by Processors.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products, calculators and custom ASIC products)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6"/>
        </w:trPr>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2017</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2016</w:t>
            </w:r>
          </w:p>
        </w:tc>
        <w:tc>
          <w:tcPr>
            <w:tcW w:w="380" w:type="dxa"/>
            <w:vAlign w:val="bottom"/>
          </w:tcPr>
          <w:p>
            <w:pPr>
              <w:spacing w:after="0"/>
              <w:rPr>
                <w:sz w:val="24"/>
                <w:szCs w:val="24"/>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7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1,563</w:t>
            </w: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3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Operating profit *</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472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3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30.2%</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revenue declined $248 million primarily due to custom ASIC products and the move of royalties from revenue to OI&amp;E, which began in the first quarter of 2017. Operating profit decreased $150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2016 compared with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of $13.37 billion was up $370 million, or 3 percent, from 2015 due to higher revenue from Embedded Processing and Analog.</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profit was $8.26 billion, an increase of $682 million, or 9 percent, due to lower manufacturing costs and, to a lesser extent, higher revenue. Gross profit margin was 61.8 percent compared with 58.3 percent.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 were $1.36 billion for R&amp;D and $1.74 billion for SG&amp;A. R&amp;D expense increased $89 million, or 7 percent, due to a combination of our</w:t>
      </w:r>
    </w:p>
    <w:p>
      <w:pPr>
        <w:spacing w:after="0" w:line="127" w:lineRule="exact"/>
        <w:rPr>
          <w:sz w:val="20"/>
          <w:szCs w:val="20"/>
          <w:color w:val="auto"/>
        </w:rPr>
      </w:pPr>
    </w:p>
    <w:p>
      <w:pPr>
        <w:ind w:right="920"/>
        <w:spacing w:after="0" w:line="309" w:lineRule="auto"/>
        <w:rPr>
          <w:sz w:val="20"/>
          <w:szCs w:val="20"/>
          <w:color w:val="auto"/>
        </w:rPr>
      </w:pPr>
      <w:r>
        <w:rPr>
          <w:rFonts w:ascii="Arial" w:cs="Arial" w:eastAsia="Arial" w:hAnsi="Arial"/>
          <w:sz w:val="18"/>
          <w:szCs w:val="18"/>
          <w:color w:val="auto"/>
        </w:rPr>
        <w:t>allocation of resources into R&amp;D activities and higher compensation-related costs. SG&amp;A expense increased $14 million, primarily due to higher compensation-related costs.</w:t>
      </w:r>
    </w:p>
    <w:p>
      <w:pPr>
        <w:spacing w:after="0" w:line="14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Acquisition charges associated with our 2011 acquisition of National Semiconductor were $319 million compared with $329 million. These non-cash charges resulted from the amortization of intangible assets. See Note 13 to the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jc w:val="both"/>
        <w:ind w:right="220"/>
        <w:spacing w:after="0" w:line="259" w:lineRule="auto"/>
        <w:rPr>
          <w:sz w:val="20"/>
          <w:szCs w:val="20"/>
          <w:color w:val="auto"/>
        </w:rPr>
      </w:pPr>
      <w:r>
        <w:rPr>
          <w:rFonts w:ascii="Arial" w:cs="Arial" w:eastAsia="Arial" w:hAnsi="Arial"/>
          <w:sz w:val="18"/>
          <w:szCs w:val="18"/>
          <w:color w:val="auto"/>
        </w:rPr>
        <w:t>Restructuring charges/other was a credit of $15 million, which included a gain on the sale of intellectual property of $40 million that was partially offset by $25 million related to restructuring charges. This compared with a credit of $71 million in 2015, which included gains on sales of assets of $83 million that were partially offset by $12 million related to restructuring charges and other credits. These amounts are included in Other for segment reporting purposes. See Note 3 to the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$4.86 billion, or 36.3 percent of revenue, compared with $4.32 billion, or 33.2 percent of revenue.</w:t>
      </w:r>
    </w:p>
    <w:p>
      <w:pPr>
        <w:spacing w:after="0" w:line="320" w:lineRule="exact"/>
        <w:rPr>
          <w:sz w:val="20"/>
          <w:szCs w:val="20"/>
          <w:color w:val="auto"/>
        </w:rPr>
      </w:pPr>
    </w:p>
    <w:p>
      <w:pPr>
        <w:ind w:right="700"/>
        <w:spacing w:after="0" w:line="309" w:lineRule="auto"/>
        <w:rPr>
          <w:sz w:val="20"/>
          <w:szCs w:val="20"/>
          <w:color w:val="auto"/>
        </w:rPr>
      </w:pPr>
      <w:r>
        <w:rPr>
          <w:rFonts w:ascii="Arial" w:cs="Arial" w:eastAsia="Arial" w:hAnsi="Arial"/>
          <w:sz w:val="18"/>
          <w:szCs w:val="18"/>
          <w:color w:val="auto"/>
        </w:rPr>
        <w:t>OI&amp;E was $155 million of income compared with $16 million of expense. The increase is due to income of $188 million from settlements related to intellectual property infringement.</w:t>
      </w:r>
    </w:p>
    <w:p>
      <w:pPr>
        <w:spacing w:after="0" w:line="1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income tax provision was $1.34 billion compared with $1.23 billion. The increase was primarily due to higher income before income taxes, partially offset by a tax benefit for stock compensation. Our annual operating tax rates, which do not include discrete tax items, were 30 percent in 2016 and 29 percent in 2015. Our effective tax rates were 27 percent in 2016 and 29 percent in 2015.</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Net income was $3.60 billion, an increase of $609 million, or 20 percent. EPS was $3.48 compared with $2.82. EPS benefited $0.13 in 2016 due to the adoption of a stock compensation accounting standard.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Segment results – 2016 compared with 2015</w:t>
            </w:r>
          </w:p>
        </w:tc>
        <w:tc>
          <w:tcPr>
            <w:tcW w:w="4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3220" w:type="dxa"/>
            <w:vAlign w:val="bottom"/>
            <w:tcBorders>
              <w:bottom w:val="single" w:sz="8" w:color="CFF0FC"/>
            </w:tcBorders>
          </w:tcPr>
          <w:p>
            <w:pPr>
              <w:spacing w:after="0"/>
              <w:rPr>
                <w:sz w:val="24"/>
                <w:szCs w:val="24"/>
                <w:color w:val="auto"/>
              </w:rPr>
            </w:pPr>
          </w:p>
        </w:tc>
        <w:tc>
          <w:tcPr>
            <w:tcW w:w="45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2016</w:t>
            </w:r>
          </w:p>
        </w:tc>
        <w:tc>
          <w:tcPr>
            <w:tcW w:w="3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36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4"/>
                <w:szCs w:val="24"/>
                <w:color w:val="auto"/>
              </w:rPr>
            </w:pPr>
          </w:p>
        </w:tc>
      </w:tr>
      <w:tr>
        <w:trPr>
          <w:trHeight w:val="223"/>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8,339</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3,077</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7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36.9%</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Analog revenue increased due to Power and Signal Chain, while High Volume declined. Operating profit increased due to higher gross profit, which benefited from lower manufacturing costs.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6"/>
        </w:trPr>
        <w:tc>
          <w:tcPr>
            <w:tcW w:w="77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2016</w:t>
            </w:r>
          </w:p>
        </w:tc>
        <w:tc>
          <w:tcPr>
            <w:tcW w:w="3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2015</w:t>
            </w:r>
          </w:p>
        </w:tc>
        <w:tc>
          <w:tcPr>
            <w:tcW w:w="36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24"/>
                <w:szCs w:val="2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611</w:t>
            </w:r>
          </w:p>
        </w:tc>
        <w:tc>
          <w:tcPr>
            <w:tcW w:w="36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3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21.9%</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Embedded Processing revenue increased due to Processors and, to a lesser extent, Connected Microcontrollers. Processors revenue increased due to the mix of products shipped. Operating profit increased primarily due to higher revenue and associated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6"/>
        </w:trPr>
        <w:tc>
          <w:tcPr>
            <w:tcW w:w="77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2016</w:t>
            </w:r>
          </w:p>
        </w:tc>
        <w:tc>
          <w:tcPr>
            <w:tcW w:w="3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2015</w:t>
            </w:r>
          </w:p>
        </w:tc>
        <w:tc>
          <w:tcPr>
            <w:tcW w:w="380" w:type="dxa"/>
            <w:vAlign w:val="bottom"/>
            <w:tcBorders>
              <w:bottom w:val="single" w:sz="8" w:color="CFF0FC"/>
            </w:tcBorders>
          </w:tcPr>
          <w:p>
            <w:pPr>
              <w:spacing w:after="0"/>
              <w:rPr>
                <w:sz w:val="24"/>
                <w:szCs w:val="2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20" w:type="dxa"/>
            <w:vAlign w:val="bottom"/>
            <w:tcBorders>
              <w:bottom w:val="single" w:sz="8" w:color="CFF0FC"/>
            </w:tcBorders>
          </w:tcPr>
          <w:p>
            <w:pPr>
              <w:spacing w:after="0"/>
              <w:rPr>
                <w:sz w:val="24"/>
                <w:szCs w:val="24"/>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Operating profit *</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622</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w:t>
            </w:r>
          </w:p>
        </w:tc>
        <w:tc>
          <w:tcPr>
            <w:tcW w:w="3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profit % of revenue</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33.8%</w:t>
            </w: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Includes Acquisition charges and Restructuring charges/other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revenue decreased due to, in declining order, royalties, custom ASIC products and calculators. This decrease was partially offset by growth in DLP products. Operating profit decreased $12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2017, total cash (Cash and cash equivalents plus Short-term investments) was $4.47 billion, an increase of $979 million from the end of 2016.</w:t>
      </w:r>
    </w:p>
    <w:p>
      <w:pPr>
        <w:spacing w:after="0" w:line="316" w:lineRule="exact"/>
        <w:rPr>
          <w:sz w:val="20"/>
          <w:szCs w:val="20"/>
          <w:color w:val="auto"/>
        </w:rPr>
      </w:pPr>
    </w:p>
    <w:p>
      <w:pPr>
        <w:ind w:right="300"/>
        <w:spacing w:after="0" w:line="293" w:lineRule="auto"/>
        <w:rPr>
          <w:sz w:val="20"/>
          <w:szCs w:val="20"/>
          <w:color w:val="auto"/>
        </w:rPr>
      </w:pPr>
      <w:r>
        <w:rPr>
          <w:rFonts w:ascii="Arial" w:cs="Arial" w:eastAsia="Arial" w:hAnsi="Arial"/>
          <w:sz w:val="18"/>
          <w:szCs w:val="18"/>
          <w:color w:val="auto"/>
        </w:rPr>
        <w:t>Accounts receivable were $1.28 billion at the end of 2017, an increase of $11 million compared with the end of 2016. Days sales outstanding at the end of 2017 were 31 compared with 33 at the end of 2016.</w:t>
      </w:r>
    </w:p>
    <w:p>
      <w:pPr>
        <w:sectPr>
          <w:pgSz w:w="11900" w:h="16838" w:orient="portrait"/>
          <w:cols w:equalWidth="0" w:num="1">
            <w:col w:w="11420"/>
          </w:cols>
          <w:pgMar w:left="240" w:top="341"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0" w:name="page21"/>
    <w:bookmarkEnd w:id="20"/>
    <w:p>
      <w:pPr>
        <w:ind w:right="220"/>
        <w:spacing w:after="0" w:line="293" w:lineRule="auto"/>
        <w:rPr>
          <w:sz w:val="20"/>
          <w:szCs w:val="20"/>
          <w:color w:val="auto"/>
        </w:rPr>
      </w:pPr>
      <w:r>
        <w:rPr>
          <w:rFonts w:ascii="Arial" w:cs="Arial" w:eastAsia="Arial" w:hAnsi="Arial"/>
          <w:sz w:val="18"/>
          <w:szCs w:val="18"/>
          <w:color w:val="auto"/>
        </w:rPr>
        <w:t>Inventory was $1.96 billion at the end of 2017, an increase of $167 million from the end of 2016. Days of inventory at the end of 2017 were 134 compared with 126 at the end of 2016.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 rate, revolving credit facility. Cash flows from operating activities for 2017 was $5.36 billion, an increase of $749 million from 2016 that was driven by an increase in Income before income taxes.</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2022. This credit facility also serves as support for the issuance of commercial paper. As of December 31, 2017, our credit facility was undrawn, and we had no commercial paper outstanding.</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2017, investing activities used $1.13 billion compared with $650 million in 2016. For 2017, Capital expenditures were $695 million compared with $531 million in 2016. Capital expenditures in both periods were primarily for semiconductor manufacturing equipment. In 2017, we had purchases of short-term investments, net of sales, that used cash of $460 million compared with $113 million in 2016. In 2017, we received $40 million from asset sales compared with none in 2016.</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2017, financing activities used $3.73 billion compared with $3.81 billion in 2016. In 2017, we received net proceeds of $1.10 billion from the issuance of fixed-rate, long-term debt and repaid $625 million of maturing debt. In 2016, we received net proceeds of $499 million from the issuance of fixed-rate, long-term debt and repaid $1.00 billion of maturing debt. Dividends paid in 2017 were $2.10 billion compared with $1.65 billion in 2016. During 2017, the quarterly dividend increased to $0.62 from $0.50 per share, resulting in an annualized dividend payment of $2.48 per share. During 2016, we increased our quarterly dividend to $0.50 from $0.38 per share. In 2017, we used $2.56 billion to repurchase 30.6 million shares of our common stock. This compared with $2.13 billion used in 2016 to repurchase 35.5 million shares. In 2017, employee exercises of stock options provided cash proceeds of $483 million compared with $472 million in 2016.</w:t>
      </w:r>
    </w:p>
    <w:p>
      <w:pPr>
        <w:spacing w:after="0" w:line="18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had $1.66 billion of Cash and cash equivalents and $2.81 billion of Short-term investments as of December 31, 2017, with our U.S. entities owning about 80 percent of these amounts combined at the end of 2017. We believe we have the necessary financial resources and operating plans to fund our working capital needs, capital expenditures, dividend and debt-related payments, and other business requirements for at least the next 12 months.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2017, we recorded a provisional tax liability of $690 million on indefinitely reinvested earnings of our non-U.S. subsidiaries related to the enactment of the Tax Act. This amount will be paid over eight years and is not expected to have a significant impact on our liquidity.</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09"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6"/>
                <w:szCs w:val="16"/>
                <w:b w:val="1"/>
                <w:bCs w:val="1"/>
                <w:color w:val="auto"/>
              </w:rPr>
              <w:t>For Years Ended December 31,</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4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bottom w:val="single" w:sz="8" w:color="CFF0FC"/>
            </w:tcBorders>
          </w:tcPr>
          <w:p>
            <w:pPr>
              <w:spacing w:after="0"/>
              <w:rPr>
                <w:sz w:val="18"/>
                <w:szCs w:val="18"/>
                <w:color w:val="auto"/>
              </w:rPr>
            </w:pPr>
          </w:p>
        </w:tc>
      </w:tr>
      <w:tr>
        <w:trPr>
          <w:trHeight w:val="212"/>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operations (GAAP)</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5,363</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4,614</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140" w:type="dxa"/>
            <w:vAlign w:val="bottom"/>
            <w:shd w:val="clear" w:color="auto" w:fill="CFF0FC"/>
          </w:tcPr>
          <w:p>
            <w:pPr>
              <w:spacing w:after="0"/>
              <w:rPr>
                <w:sz w:val="18"/>
                <w:szCs w:val="18"/>
                <w:color w:val="auto"/>
              </w:rPr>
            </w:pPr>
          </w:p>
        </w:tc>
      </w:tr>
      <w:tr>
        <w:trPr>
          <w:trHeight w:val="213"/>
        </w:trPr>
        <w:tc>
          <w:tcPr>
            <w:tcW w:w="7400" w:type="dxa"/>
            <w:vAlign w:val="bottom"/>
          </w:tcPr>
          <w:p>
            <w:pPr>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(695)</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(531)</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(551)</w:t>
            </w:r>
          </w:p>
        </w:tc>
      </w:tr>
      <w:tr>
        <w:trPr>
          <w:trHeight w:val="210"/>
        </w:trPr>
        <w:tc>
          <w:tcPr>
            <w:tcW w:w="7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Free cash flow (non-GAAP)</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4,668</w:t>
            </w: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4,083</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9"/>
        </w:trPr>
        <w:tc>
          <w:tcPr>
            <w:tcW w:w="74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r>
      <w:tr>
        <w:trPr>
          <w:trHeight w:val="207"/>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14,961</w:t>
            </w:r>
          </w:p>
        </w:tc>
        <w:tc>
          <w:tcPr>
            <w:tcW w:w="3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13,370</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40" w:type="dxa"/>
            <w:vAlign w:val="bottom"/>
            <w:tcBorders>
              <w:bottom w:val="single" w:sz="8" w:color="CFF0FC"/>
            </w:tcBorders>
            <w:shd w:val="clear" w:color="auto" w:fill="CFF0FC"/>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6"/>
                <w:szCs w:val="16"/>
                <w:color w:val="auto"/>
              </w:rPr>
              <w:t>Cash flow from operations as a percent of revenue (GAAP)</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35.8%</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34.5%</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33.8%</w:t>
            </w:r>
          </w:p>
        </w:tc>
      </w:tr>
      <w:tr>
        <w:trPr>
          <w:trHeight w:val="210"/>
        </w:trPr>
        <w:tc>
          <w:tcPr>
            <w:tcW w:w="7400" w:type="dxa"/>
            <w:vAlign w:val="bottom"/>
          </w:tcPr>
          <w:p>
            <w:pPr>
              <w:spacing w:after="0"/>
              <w:rPr>
                <w:sz w:val="20"/>
                <w:szCs w:val="20"/>
                <w:color w:val="auto"/>
              </w:rPr>
            </w:pPr>
            <w:r>
              <w:rPr>
                <w:rFonts w:ascii="Arial" w:cs="Arial" w:eastAsia="Arial" w:hAnsi="Arial"/>
                <w:sz w:val="16"/>
                <w:szCs w:val="16"/>
                <w:color w:val="auto"/>
              </w:rPr>
              <w:t>Free cash flow as a percent of revenue (non-GAAP)</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31.2%</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30.5%</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29.6%</w:t>
            </w:r>
          </w:p>
        </w:tc>
      </w:tr>
    </w:tbl>
    <w:p>
      <w:pPr>
        <w:spacing w:after="0" w:line="2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0"/>
              </w:rPr>
              <w:t>Payments Due by Period</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Contractual Obligations</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2019/2020</w:t>
            </w:r>
          </w:p>
        </w:tc>
        <w:tc>
          <w:tcPr>
            <w:tcW w:w="3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2021/2022</w:t>
            </w:r>
          </w:p>
        </w:tc>
        <w:tc>
          <w:tcPr>
            <w:tcW w:w="3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Thereafter</w:t>
            </w:r>
          </w:p>
        </w:tc>
        <w:tc>
          <w:tcPr>
            <w:tcW w:w="3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FF0FC"/>
            </w:tcBorders>
          </w:tcPr>
          <w:p>
            <w:pPr>
              <w:spacing w:after="0"/>
              <w:rPr>
                <w:sz w:val="18"/>
                <w:szCs w:val="18"/>
                <w:color w:val="auto"/>
              </w:rPr>
            </w:pPr>
          </w:p>
        </w:tc>
      </w:tr>
      <w:tr>
        <w:trPr>
          <w:trHeight w:val="212"/>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debt (a)</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1,385</w:t>
            </w: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1,385</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4,484</w:t>
            </w:r>
          </w:p>
        </w:tc>
        <w:tc>
          <w:tcPr>
            <w:tcW w:w="120" w:type="dxa"/>
            <w:vAlign w:val="bottom"/>
            <w:shd w:val="clear" w:color="auto" w:fill="CFF0FC"/>
          </w:tcPr>
          <w:p>
            <w:pPr>
              <w:spacing w:after="0"/>
              <w:rPr>
                <w:sz w:val="18"/>
                <w:szCs w:val="18"/>
                <w:color w:val="auto"/>
              </w:rPr>
            </w:pPr>
          </w:p>
        </w:tc>
      </w:tr>
      <w:tr>
        <w:trPr>
          <w:trHeight w:val="213"/>
        </w:trPr>
        <w:tc>
          <w:tcPr>
            <w:tcW w:w="5160" w:type="dxa"/>
            <w:vAlign w:val="bottom"/>
            <w:gridSpan w:val="2"/>
          </w:tcPr>
          <w:p>
            <w:pPr>
              <w:spacing w:after="0"/>
              <w:rPr>
                <w:sz w:val="20"/>
                <w:szCs w:val="20"/>
                <w:color w:val="auto"/>
              </w:rPr>
            </w:pPr>
            <w:r>
              <w:rPr>
                <w:rFonts w:ascii="Arial" w:cs="Arial" w:eastAsia="Arial" w:hAnsi="Arial"/>
                <w:sz w:val="16"/>
                <w:szCs w:val="16"/>
                <w:color w:val="auto"/>
              </w:rPr>
              <w:t>Purchase commitments (b)</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8"/>
                <w:szCs w:val="18"/>
                <w:color w:val="auto"/>
              </w:rPr>
            </w:pPr>
          </w:p>
        </w:tc>
      </w:tr>
      <w:tr>
        <w:trPr>
          <w:trHeight w:val="21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Tax on indefinitely reinvested earnings (c)</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690</w:t>
            </w:r>
          </w:p>
        </w:tc>
        <w:tc>
          <w:tcPr>
            <w:tcW w:w="120" w:type="dxa"/>
            <w:vAlign w:val="bottom"/>
            <w:shd w:val="clear" w:color="auto" w:fill="CFF0FC"/>
          </w:tcPr>
          <w:p>
            <w:pPr>
              <w:spacing w:after="0"/>
              <w:rPr>
                <w:sz w:val="19"/>
                <w:szCs w:val="19"/>
                <w:color w:val="auto"/>
              </w:rPr>
            </w:pPr>
          </w:p>
        </w:tc>
      </w:tr>
      <w:tr>
        <w:trPr>
          <w:trHeight w:val="213"/>
        </w:trPr>
        <w:tc>
          <w:tcPr>
            <w:tcW w:w="5160" w:type="dxa"/>
            <w:vAlign w:val="bottom"/>
            <w:gridSpan w:val="2"/>
          </w:tcPr>
          <w:p>
            <w:pPr>
              <w:spacing w:after="0"/>
              <w:rPr>
                <w:sz w:val="20"/>
                <w:szCs w:val="20"/>
                <w:color w:val="auto"/>
              </w:rPr>
            </w:pPr>
            <w:r>
              <w:rPr>
                <w:rFonts w:ascii="Arial" w:cs="Arial" w:eastAsia="Arial" w:hAnsi="Arial"/>
                <w:sz w:val="16"/>
                <w:szCs w:val="16"/>
                <w:color w:val="auto"/>
              </w:rPr>
              <w:t>Operating leases (d)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r>
      <w:tr>
        <w:trPr>
          <w:trHeight w:val="21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Deferred compensation plans (e)</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3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3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FF0FC"/>
          </w:tcPr>
          <w:p>
            <w:pPr>
              <w:spacing w:after="0"/>
              <w:rPr>
                <w:sz w:val="19"/>
                <w:szCs w:val="19"/>
                <w:color w:val="auto"/>
              </w:rPr>
            </w:pPr>
          </w:p>
        </w:tc>
      </w:tr>
      <w:tr>
        <w:trPr>
          <w:trHeight w:val="207"/>
        </w:trPr>
        <w:tc>
          <w:tcPr>
            <w:tcW w:w="5160" w:type="dxa"/>
            <w:vAlign w:val="bottom"/>
            <w:gridSpan w:val="2"/>
          </w:tcPr>
          <w:p>
            <w:pPr>
              <w:spacing w:after="0"/>
              <w:rPr>
                <w:sz w:val="20"/>
                <w:szCs w:val="20"/>
                <w:color w:val="auto"/>
              </w:rPr>
            </w:pPr>
            <w:r>
              <w:rPr>
                <w:rFonts w:ascii="Arial" w:cs="Arial" w:eastAsia="Arial" w:hAnsi="Arial"/>
                <w:sz w:val="16"/>
                <w:szCs w:val="16"/>
                <w:color w:val="auto"/>
              </w:rPr>
              <w:t>Total (f)</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1,110</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2,239</w:t>
            </w:r>
          </w:p>
        </w:tc>
        <w:tc>
          <w:tcPr>
            <w:tcW w:w="4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1,414</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2,003</w:t>
            </w:r>
          </w:p>
        </w:tc>
        <w:tc>
          <w:tcPr>
            <w:tcW w:w="3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6,766</w:t>
            </w:r>
          </w:p>
        </w:tc>
        <w:tc>
          <w:tcPr>
            <w:tcW w:w="12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6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related interest payments and amounts classified as the current portion of long-term debt, specifically obligations that will mature within 12 months.</w:t>
      </w:r>
    </w:p>
    <w:p>
      <w:pPr>
        <w:spacing w:after="0" w:line="62" w:lineRule="exact"/>
        <w:rPr>
          <w:rFonts w:ascii="Arial" w:cs="Arial" w:eastAsia="Arial" w:hAnsi="Arial"/>
          <w:sz w:val="18"/>
          <w:szCs w:val="18"/>
          <w:color w:val="auto"/>
        </w:rPr>
      </w:pPr>
    </w:p>
    <w:p>
      <w:pPr>
        <w:ind w:left="520" w:right="440" w:hanging="512"/>
        <w:spacing w:after="0" w:line="308"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payments for software licenses and contractual arrangements with suppliers where there is a fixed, non-cancellable payment schedule or minimum payments due with a reduced delivery schedule. Excluded from the table are cancellable arrangements.</w:t>
      </w:r>
    </w:p>
    <w:p>
      <w:pPr>
        <w:spacing w:after="0" w:line="38" w:lineRule="exact"/>
        <w:rPr>
          <w:rFonts w:ascii="Arial" w:cs="Arial" w:eastAsia="Arial" w:hAnsi="Arial"/>
          <w:sz w:val="17"/>
          <w:szCs w:val="17"/>
          <w:color w:val="auto"/>
        </w:rPr>
      </w:pPr>
    </w:p>
    <w:p>
      <w:pPr>
        <w:ind w:left="520" w:right="460" w:hanging="512"/>
        <w:spacing w:after="0" w:line="277"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provisional amount of the tax on indefinitely reinvested earnings related to the enactment of the Tax Act. See Note 6 to the financial statements for more details.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minimum payments for leased facilities and equipment and purchases of industrial gases under contracts accounted for as operating leases.</w:t>
      </w:r>
    </w:p>
    <w:p>
      <w:pPr>
        <w:spacing w:after="0" w:line="140" w:lineRule="exact"/>
        <w:rPr>
          <w:rFonts w:ascii="Arial" w:cs="Arial" w:eastAsia="Arial" w:hAnsi="Arial"/>
          <w:sz w:val="16"/>
          <w:szCs w:val="16"/>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an estimate of payments for certain liabilities that existed at December 31, 2017.</w:t>
      </w:r>
    </w:p>
    <w:p>
      <w:pPr>
        <w:spacing w:after="0" w:line="117" w:lineRule="exact"/>
        <w:rPr>
          <w:rFonts w:ascii="Arial" w:cs="Arial" w:eastAsia="Arial" w:hAnsi="Arial"/>
          <w:sz w:val="18"/>
          <w:szCs w:val="18"/>
          <w:color w:val="auto"/>
        </w:rPr>
      </w:pPr>
    </w:p>
    <w:p>
      <w:pPr>
        <w:ind w:left="520" w:right="40" w:hanging="512"/>
        <w:spacing w:after="0" w:line="276"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Excluded from the table are $300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$50 million in 2018, but funding projections beyond 2018 are not practical to estimate due to the rules affecting tax-deductible contributions and the impact from the plans' asset performance, interest rates and potential U.S. and non-U.S. legislation.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accounting principles generally accepted in the United States requires management to make estimates and assumptions about future events that affect the amounts reported in the financial statements and accompanying notes. However, based on facts and circumstances inherent in developing estimates and assumptions,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Based on management’s assessment of the revenue recognition criteria, we usually recognize revenue from sales of our products to distributors upon shipment or delivery to the distributors. For our consignment arrangements with distributors, delivery occurs when the distributor pulls product from consignment inventory that we store at designated locations. Recognition is not contingent upon resale of the products to the distributors’ customers in either scenario.</w:t>
      </w:r>
    </w:p>
    <w:p>
      <w:pPr>
        <w:spacing w:after="0" w:line="14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Revenue is recognized net of allowances, which are management’s estimates of future credits to be granted to distributors under programs common in the semiconductor industry. These allowances are not material and generally include special pricing arrangements, product returns due to quality issues, and incentives designed to maximize growth opportunities.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Allowances are based on analysis of historical data and contractual terms and are recorded when revenue is recognized. We believe we can reasonably and reliably estimate allowances for credits to distributors in a timely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 Also, our plans for the permanent reinvestment or eventual repatriation of the accumulated earnings of certain non-U.S. operations could change. Such changes could have a material effect on tax expense in future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Statistical allowances are determined quarterly for raw materials and work-in-process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judged unlikely to be sold. A specific allowance for each material type will be carried if there is a significant event not captured by the statistical allowance. Examples are an end-of-life part or demand with imminent risk of cancellation. Allowances are also calculated quarterly for instances where inventoried costs for individual products are in excess of market prices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on new accounting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financial statements for a discussion of our commitments and contingencies.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The U.S. dollar is the functional currency for financial reporting. Our non-U.S. entities own assets or liabilities denominated in U.S. dollars or other currencies. Exchange rate fluctuations can have a significant impact on taxable income in those jurisdictions, and consequently on our effective tax rate.</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Our balance sheet also reflects amounts remeasured from non-U.S. dollar currencies. Because most of the aggregate non-U.S. dollar balance sheet exposure is hedged by forward currency exchange contracts, based on year-end 2017 balances and currency exchange rates, a hypothetical 10 percent plus or minus fluctuation in non-U.S. currency exchange rates relative to the U.S. dollar would result in a pre-tax currency exchange gain or loss of about $6 million.</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use these forward currency exchange contracts to reduce the earnings impact exchange rate fluctuations may have on our non-U.S. dollar net balance sheet exposures. For example, at year-end 2017, we had forward currency exchange contracts outstanding with a notional value of $365 million to hedge net balance sheet exposures (including $140 million to sell Japanese yen, $59 million to sell British pound sterling and $49 million to sell euros). Similar hedging activities existed at year-end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have the following potential exposure to changes in interest rates: (1) the effect of changes in interest rates on the fair value of our investments in cash equivalents and short-term investments, which could produce a gain or a loss; and (2) the effect of changes in interest rates on the fair value of our debt.</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2017, a hypothetical 100 basis point increase in interest rates would decrease the fair value of our investments in cash equivalents and short-term investments by $8 million and decrease the fair value of our long-term debt by $141 million. Because interest rates on our long-term debt are fixed, changes in interest rates would not affect the cash flows associated with long-term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Long-term investments at year-end 2017 include the following:</w:t>
      </w:r>
    </w:p>
    <w:p>
      <w:pPr>
        <w:spacing w:after="0" w:line="117" w:lineRule="exact"/>
        <w:rPr>
          <w:sz w:val="20"/>
          <w:szCs w:val="20"/>
          <w:color w:val="auto"/>
        </w:rPr>
      </w:pPr>
    </w:p>
    <w:p>
      <w:pPr>
        <w:ind w:left="1040" w:right="340" w:hanging="519"/>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arrangements. The mutual funds hold a variety of debt and equity investments.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Investments in venture capital funds </w:t>
      </w:r>
      <w:r>
        <w:rPr>
          <w:rFonts w:ascii="Arial" w:cs="Arial" w:eastAsia="Arial" w:hAnsi="Arial"/>
          <w:sz w:val="17"/>
          <w:szCs w:val="17"/>
          <w:color w:val="auto"/>
        </w:rPr>
        <w:t>– includes investments in limited partnerships (accounted for under either the equity or cost method).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Non-marketable equity securities and some venture capital funds are stated at cost. Impairments deemed to be other-than-temporary are expensed in Net income. Investments in the remaining venture capital funds are stated using the equity method. See Note 8 to the financial statements for details of equity and other long-term investments.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List of Financial Statements (Item 15(a))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for each of the three years in the period ended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for each of the three years in the period ended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Balance sheets at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each of the three years in the period ended December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 for each of the three years in the period ended December 31, 2017</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121" w:right="5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180" w:type="dxa"/>
            <w:vAlign w:val="bottom"/>
          </w:tcPr>
          <w:p>
            <w:pPr>
              <w:spacing w:after="0"/>
              <w:rPr>
                <w:sz w:val="18"/>
                <w:szCs w:val="18"/>
                <w:color w:val="auto"/>
              </w:rPr>
            </w:pPr>
          </w:p>
        </w:tc>
        <w:tc>
          <w:tcPr>
            <w:tcW w:w="2660" w:type="dxa"/>
            <w:vAlign w:val="bottom"/>
            <w:gridSpan w:val="7"/>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14,961</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13,370</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Cost of revenue (COR)</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5,347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9,614</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8,257</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7,575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Research and development (R&amp;D)</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1,508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1,694</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Acquisition charges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318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Restructuring charges/other</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7"/>
        </w:trPr>
        <w:tc>
          <w:tcPr>
            <w:tcW w:w="7800" w:type="dxa"/>
            <w:vAlign w:val="bottom"/>
            <w:gridSpan w:val="3"/>
          </w:tcPr>
          <w:p>
            <w:pPr>
              <w:spacing w:after="0"/>
              <w:rPr>
                <w:sz w:val="20"/>
                <w:szCs w:val="20"/>
                <w:color w:val="auto"/>
              </w:rPr>
            </w:pPr>
            <w:r>
              <w:rPr>
                <w:rFonts w:ascii="Arial" w:cs="Arial" w:eastAsia="Arial" w:hAnsi="Arial"/>
                <w:sz w:val="16"/>
                <w:szCs w:val="16"/>
                <w:color w:val="auto"/>
              </w:rPr>
              <w:t>Operating profit</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6,083</w:t>
            </w: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income (expense), net (OI&amp;E)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Interest and debt expense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6,080</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4,930</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2,398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3,682</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3,595</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Earnings per common share (EPS):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3.68</w:t>
            </w: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3.54</w:t>
            </w:r>
          </w:p>
        </w:tc>
        <w:tc>
          <w:tcPr>
            <w:tcW w:w="200" w:type="dxa"/>
            <w:vAlign w:val="bottom"/>
          </w:tcPr>
          <w:p>
            <w:pPr>
              <w:spacing w:after="0"/>
              <w:rPr>
                <w:sz w:val="20"/>
                <w:szCs w:val="2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FF0FC"/>
            </w:tcBorders>
            <w:gridSpan w:val="2"/>
            <w:vMerge w:val="restart"/>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3.61</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0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Average shares outstanding (millions):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78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991</w:t>
            </w:r>
          </w:p>
        </w:tc>
        <w:tc>
          <w:tcPr>
            <w:tcW w:w="3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1,003</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8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1,012</w:t>
            </w:r>
          </w:p>
        </w:tc>
        <w:tc>
          <w:tcPr>
            <w:tcW w:w="3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dividends declared per common share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2.12</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0"/>
        <w:spacing w:after="0" w:line="293" w:lineRule="auto"/>
        <w:rPr>
          <w:sz w:val="20"/>
          <w:szCs w:val="20"/>
          <w:color w:val="auto"/>
        </w:rPr>
      </w:pPr>
      <w:r>
        <w:rPr>
          <w:rFonts w:ascii="Arial" w:cs="Arial" w:eastAsia="Arial" w:hAnsi="Arial"/>
          <w:sz w:val="16"/>
          <w:szCs w:val="16"/>
          <w:color w:val="auto"/>
        </w:rPr>
        <w:t>As a result of accounting rule ASC 260, which requires a portion of Net income to be allocated to unvested restricted stock units (RSUs) on which we pay dividend equivalents, diluted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3,682</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3,595</w:t>
            </w:r>
          </w:p>
        </w:tc>
        <w:tc>
          <w:tcPr>
            <w:tcW w:w="2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tcPr>
          <w:p>
            <w:pPr>
              <w:spacing w:after="0"/>
              <w:rPr>
                <w:sz w:val="20"/>
                <w:szCs w:val="20"/>
                <w:color w:val="auto"/>
              </w:rPr>
            </w:pPr>
            <w:r>
              <w:rPr>
                <w:rFonts w:ascii="Arial" w:cs="Arial" w:eastAsia="Arial" w:hAnsi="Arial"/>
                <w:sz w:val="16"/>
                <w:szCs w:val="16"/>
                <w:color w:val="auto"/>
              </w:rPr>
              <w:t>Income allocated to RSUs</w:t>
            </w:r>
          </w:p>
        </w:tc>
        <w:tc>
          <w:tcPr>
            <w:tcW w:w="3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Income allocated to common stock for diluted EPS</w:t>
            </w: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3,649</w:t>
            </w:r>
          </w:p>
        </w:tc>
        <w:tc>
          <w:tcPr>
            <w:tcW w:w="2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3,551</w:t>
            </w:r>
          </w:p>
        </w:tc>
        <w:tc>
          <w:tcPr>
            <w:tcW w:w="2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3"/>
        </w:trPr>
        <w:tc>
          <w:tcPr>
            <w:tcW w:w="63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20" w:type="dxa"/>
            <w:vAlign w:val="bottom"/>
            <w:gridSpan w:val="6"/>
          </w:tcPr>
          <w:p>
            <w:pPr>
              <w:jc w:val="right"/>
              <w:ind w:right="164"/>
              <w:spacing w:after="0"/>
              <w:rPr>
                <w:sz w:val="20"/>
                <w:szCs w:val="20"/>
                <w:color w:val="auto"/>
              </w:rPr>
            </w:pPr>
            <w:r>
              <w:rPr>
                <w:rFonts w:ascii="Arial" w:cs="Arial" w:eastAsia="Arial" w:hAnsi="Arial"/>
                <w:sz w:val="16"/>
                <w:szCs w:val="16"/>
                <w:b w:val="1"/>
                <w:bCs w:val="1"/>
                <w:color w:val="auto"/>
              </w:rPr>
              <w:t>For Years Ended December 31,</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w:t>
            </w:r>
          </w:p>
        </w:tc>
        <w:tc>
          <w:tcPr>
            <w:tcW w:w="1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bottom w:val="single" w:sz="8" w:color="CFF0FC"/>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3,682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3,595</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2,986</w:t>
            </w:r>
          </w:p>
        </w:tc>
        <w:tc>
          <w:tcPr>
            <w:tcW w:w="100" w:type="dxa"/>
            <w:vAlign w:val="bottom"/>
            <w:shd w:val="clear" w:color="auto" w:fill="CFF0FC"/>
          </w:tcPr>
          <w:p>
            <w:pPr>
              <w:spacing w:after="0"/>
              <w:rPr>
                <w:sz w:val="18"/>
                <w:szCs w:val="18"/>
                <w:color w:val="auto"/>
              </w:rPr>
            </w:pPr>
          </w:p>
        </w:tc>
      </w:tr>
      <w:tr>
        <w:trPr>
          <w:trHeight w:val="213"/>
        </w:trPr>
        <w:tc>
          <w:tcPr>
            <w:tcW w:w="6300" w:type="dxa"/>
            <w:vAlign w:val="bottom"/>
            <w:gridSpan w:val="2"/>
          </w:tcPr>
          <w:p>
            <w:pPr>
              <w:spacing w:after="0"/>
              <w:rPr>
                <w:sz w:val="20"/>
                <w:szCs w:val="20"/>
                <w:color w:val="auto"/>
              </w:rPr>
            </w:pPr>
            <w:r>
              <w:rPr>
                <w:rFonts w:ascii="Arial" w:cs="Arial" w:eastAsia="Arial" w:hAnsi="Arial"/>
                <w:sz w:val="16"/>
                <w:szCs w:val="16"/>
                <w:color w:val="auto"/>
              </w:rPr>
              <w:t>Other comprehensive income (loss)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6"/>
                <w:szCs w:val="16"/>
                <w:color w:val="auto"/>
              </w:rPr>
              <w:t>Adjustment, net of tax effect of ($26), $6 and $36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(43)</w:t>
            </w:r>
          </w:p>
        </w:tc>
        <w:tc>
          <w:tcPr>
            <w:tcW w:w="3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(74)</w:t>
            </w: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Recognized within Net income, net of tax effect of ($27), ($25) and ($25)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Adjustment, net of tax effect of $1, $0 and ($11)</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w:t>
            </w:r>
          </w:p>
        </w:tc>
        <w:tc>
          <w:tcPr>
            <w:tcW w:w="3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Pr>
          <w:p>
            <w:pPr>
              <w:ind w:left="240"/>
              <w:spacing w:after="0"/>
              <w:rPr>
                <w:sz w:val="20"/>
                <w:szCs w:val="20"/>
                <w:color w:val="auto"/>
              </w:rPr>
            </w:pPr>
            <w:r>
              <w:rPr>
                <w:rFonts w:ascii="Arial" w:cs="Arial" w:eastAsia="Arial" w:hAnsi="Arial"/>
                <w:sz w:val="16"/>
                <w:szCs w:val="16"/>
                <w:color w:val="auto"/>
              </w:rPr>
              <w:t>Recognized within Net income, net of tax effect of $1, $2 and $0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Derivative instruments: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Recognized within Net income, net of tax effect of $0, $0 and ($1)</w:t>
            </w:r>
          </w:p>
        </w:tc>
        <w:tc>
          <w:tcPr>
            <w:tcW w:w="1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142</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7"/>
        </w:trPr>
        <w:tc>
          <w:tcPr>
            <w:tcW w:w="6300" w:type="dxa"/>
            <w:vAlign w:val="bottom"/>
            <w:gridSpan w:val="2"/>
          </w:tcPr>
          <w:p>
            <w:pPr>
              <w:spacing w:after="0"/>
              <w:rPr>
                <w:sz w:val="20"/>
                <w:szCs w:val="20"/>
                <w:color w:val="auto"/>
              </w:rPr>
            </w:pPr>
            <w:r>
              <w:rPr>
                <w:rFonts w:ascii="Arial" w:cs="Arial" w:eastAsia="Arial" w:hAnsi="Arial"/>
                <w:sz w:val="16"/>
                <w:szCs w:val="16"/>
                <w:color w:val="auto"/>
              </w:rPr>
              <w:t>Total comprehensive income</w:t>
            </w:r>
          </w:p>
        </w:tc>
        <w:tc>
          <w:tcPr>
            <w:tcW w:w="1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3,824</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2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Consolidated Balance Sheets</w:t>
            </w:r>
          </w:p>
        </w:tc>
        <w:tc>
          <w:tcPr>
            <w:tcW w:w="380" w:type="dxa"/>
            <w:vAlign w:val="bottom"/>
          </w:tcPr>
          <w:p>
            <w:pPr>
              <w:spacing w:after="0"/>
              <w:rPr>
                <w:sz w:val="18"/>
                <w:szCs w:val="18"/>
                <w:color w:val="auto"/>
              </w:rPr>
            </w:pPr>
          </w:p>
        </w:tc>
        <w:tc>
          <w:tcPr>
            <w:tcW w:w="2100" w:type="dxa"/>
            <w:vAlign w:val="bottom"/>
            <w:gridSpan w:val="3"/>
          </w:tcPr>
          <w:p>
            <w:pPr>
              <w:jc w:val="right"/>
              <w:ind w:right="104"/>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 except share amounts)</w:t>
            </w:r>
          </w:p>
        </w:tc>
        <w:tc>
          <w:tcPr>
            <w:tcW w:w="1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top w:val="single" w:sz="8" w:color="auto"/>
              <w:bottom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1,656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2,813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Accounts receivable, net of allowances of ($8) and ($17)</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1,278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240"/>
              <w:spacing w:after="0"/>
              <w:rPr>
                <w:sz w:val="20"/>
                <w:szCs w:val="20"/>
                <w:color w:val="auto"/>
              </w:rPr>
            </w:pPr>
            <w:r>
              <w:rPr>
                <w:rFonts w:ascii="Arial" w:cs="Arial" w:eastAsia="Arial" w:hAnsi="Arial"/>
                <w:sz w:val="16"/>
                <w:szCs w:val="16"/>
                <w:color w:val="auto"/>
              </w:rPr>
              <w:t>Raw materials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Work in process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1,089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Finished goods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742</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1,957</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1,030</w:t>
            </w:r>
          </w:p>
        </w:tc>
        <w:tc>
          <w:tcPr>
            <w:tcW w:w="28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8,734</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Property, plant and equipment at cost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4,789</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Accumulated depreciation</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(2,125)</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(2,411)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2,664</w:t>
            </w:r>
          </w:p>
        </w:tc>
        <w:tc>
          <w:tcPr>
            <w:tcW w:w="280" w:type="dxa"/>
            <w:vAlign w:val="bottom"/>
            <w:tcBorders>
              <w:bottom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268</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Acquisition-related intangibles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Deferred tax assets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Capitalized software licenses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Overfunded retirement plans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86</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620" w:type="dxa"/>
            <w:vAlign w:val="bottom"/>
            <w:gridSpan w:val="3"/>
          </w:tcPr>
          <w:p>
            <w:pPr>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17,642</w:t>
            </w: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4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00" w:type="dxa"/>
            <w:vAlign w:val="bottom"/>
            <w:gridSpan w:val="2"/>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380" w:type="dxa"/>
            <w:vAlign w:val="bottom"/>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80" w:type="dxa"/>
            <w:vAlign w:val="bottom"/>
          </w:tcPr>
          <w:p>
            <w:pPr>
              <w:spacing w:after="0"/>
              <w:rPr>
                <w:sz w:val="18"/>
                <w:szCs w:val="18"/>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466</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722</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w:t>
            </w:r>
          </w:p>
        </w:tc>
        <w:tc>
          <w:tcPr>
            <w:tcW w:w="2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2,258</w:t>
            </w:r>
          </w:p>
        </w:tc>
        <w:tc>
          <w:tcPr>
            <w:tcW w:w="2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3,577</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Underfunded retirement plans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20" w:type="dxa"/>
            <w:vAlign w:val="bottom"/>
            <w:gridSpan w:val="3"/>
          </w:tcPr>
          <w:p>
            <w:pPr>
              <w:spacing w:after="0"/>
              <w:rPr>
                <w:sz w:val="20"/>
                <w:szCs w:val="20"/>
                <w:color w:val="auto"/>
              </w:rPr>
            </w:pPr>
            <w:r>
              <w:rPr>
                <w:rFonts w:ascii="Arial" w:cs="Arial" w:eastAsia="Arial" w:hAnsi="Arial"/>
                <w:sz w:val="16"/>
                <w:szCs w:val="16"/>
                <w:color w:val="auto"/>
              </w:rPr>
              <w:t>Deferred tax liabilities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3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1,303</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7,305</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Preferred stock, $25 par value. Authorized – 10,000,000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Participating cumulative preferred. None issued.</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Common stock, $1 par value. Authorized – 2,400,000,000 shares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Shares issued – 1,740,815,939</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1,741</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1,776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34,662</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6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Shares: 2017 – 757,657,217; 2016 – 744,831,978</w:t>
            </w:r>
          </w:p>
        </w:tc>
        <w:tc>
          <w:tcPr>
            <w:tcW w:w="3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(27,458)</w:t>
            </w:r>
          </w:p>
        </w:tc>
        <w:tc>
          <w:tcPr>
            <w:tcW w:w="5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(25,523)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(384)</w:t>
            </w:r>
          </w:p>
        </w:tc>
        <w:tc>
          <w:tcPr>
            <w:tcW w:w="5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600" w:type="dxa"/>
            <w:vAlign w:val="bottom"/>
            <w:tcBorders>
              <w:top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10,337</w:t>
            </w:r>
          </w:p>
        </w:tc>
        <w:tc>
          <w:tcPr>
            <w:tcW w:w="2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10,473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20" w:type="dxa"/>
            <w:vAlign w:val="bottom"/>
            <w:gridSpan w:val="3"/>
          </w:tcPr>
          <w:p>
            <w:pPr>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17,642</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3"/>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80" w:type="dxa"/>
            <w:vAlign w:val="bottom"/>
          </w:tcPr>
          <w:p>
            <w:pPr>
              <w:spacing w:after="0"/>
              <w:rPr>
                <w:sz w:val="18"/>
                <w:szCs w:val="18"/>
                <w:color w:val="auto"/>
              </w:rPr>
            </w:pPr>
          </w:p>
        </w:tc>
        <w:tc>
          <w:tcPr>
            <w:tcW w:w="2660" w:type="dxa"/>
            <w:vAlign w:val="bottom"/>
            <w:gridSpan w:val="7"/>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bottom w:val="single" w:sz="8" w:color="CFF0FC"/>
            </w:tcBorders>
          </w:tcPr>
          <w:p>
            <w:pPr>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0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top w:val="single" w:sz="8" w:color="auto"/>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3,682</w:t>
            </w:r>
          </w:p>
        </w:tc>
        <w:tc>
          <w:tcPr>
            <w:tcW w:w="2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3,595</w:t>
            </w:r>
          </w:p>
        </w:tc>
        <w:tc>
          <w:tcPr>
            <w:tcW w:w="3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2,986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Adjustments to Net income:</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Amortization of acquisition-related intangibles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Amortization of capitalized software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Stock compensation</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Gains on sales of assets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Deferred taxes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(202)</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(99)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(81)</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24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(73)</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5,363</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4,614</w:t>
            </w: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4,397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(531)</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Proceeds from asset sales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(4,555)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(3,503)</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Proceeds from short-term investments</w:t>
            </w: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4,095</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3,390</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gridSpan w:val="2"/>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(1,127)</w:t>
            </w:r>
          </w:p>
        </w:tc>
        <w:tc>
          <w:tcPr>
            <w:tcW w:w="20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(650)</w:t>
            </w:r>
          </w:p>
        </w:tc>
        <w:tc>
          <w:tcPr>
            <w:tcW w:w="2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Repayment of debt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(625)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(1,000)</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(2,104)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(1,646)</w:t>
            </w: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(1,444)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(2,556)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(2,132)</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(31)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8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(3,734)</w:t>
            </w:r>
          </w:p>
        </w:tc>
        <w:tc>
          <w:tcPr>
            <w:tcW w:w="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(3,810)</w:t>
            </w:r>
          </w:p>
        </w:tc>
        <w:tc>
          <w:tcPr>
            <w:tcW w:w="2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(4,294)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00" w:type="dxa"/>
            <w:vAlign w:val="bottom"/>
            <w:gridSpan w:val="3"/>
          </w:tcPr>
          <w:p>
            <w:pPr>
              <w:spacing w:after="0"/>
              <w:rPr>
                <w:sz w:val="20"/>
                <w:szCs w:val="20"/>
                <w:color w:val="auto"/>
              </w:rPr>
            </w:pPr>
            <w:r>
              <w:rPr>
                <w:rFonts w:ascii="Arial" w:cs="Arial" w:eastAsia="Arial" w:hAnsi="Arial"/>
                <w:sz w:val="16"/>
                <w:szCs w:val="16"/>
                <w:color w:val="auto"/>
              </w:rPr>
              <w:t>Net change in Cash and cash equivalents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1,154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800" w:type="dxa"/>
            <w:vAlign w:val="bottom"/>
            <w:gridSpan w:val="3"/>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1,656</w:t>
            </w:r>
          </w:p>
        </w:tc>
        <w:tc>
          <w:tcPr>
            <w:tcW w:w="20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1,154</w:t>
            </w:r>
          </w:p>
        </w:tc>
        <w:tc>
          <w:tcPr>
            <w:tcW w:w="36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Treasury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7"/>
              </w:rPr>
              <w:t>Retained</w:t>
            </w:r>
          </w:p>
        </w:tc>
        <w:tc>
          <w:tcPr>
            <w:tcW w:w="14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gridSpan w:val="3"/>
          </w:tcPr>
          <w:p>
            <w:pPr>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140" w:type="dxa"/>
            <w:vAlign w:val="bottom"/>
          </w:tcPr>
          <w:p>
            <w:pPr>
              <w:spacing w:after="0"/>
              <w:rPr>
                <w:sz w:val="19"/>
                <w:szCs w:val="19"/>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6"/>
              </w:rPr>
              <w:t>Earnings</w:t>
            </w:r>
          </w:p>
        </w:tc>
        <w:tc>
          <w:tcPr>
            <w:tcW w:w="14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(Millions of dollars, except per-share amounts)</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December 31, 2014</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1,368</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29,653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(21,840)</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2015</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Dividends declared and paid ($1.40 per share)</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(1,444)</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Stock repurchases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(2,741)</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Stock compensation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Excess tax benefit for stock compensation</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Dividend equivalents paid on restricted stock units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tcBorders>
              <w:bottom w:val="single" w:sz="8" w:color="CFF0FC"/>
            </w:tcBorders>
            <w:gridSpan w:val="2"/>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Balance, December 31, 2015</w:t>
            </w: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(24,068)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Dividends declared and paid ($1.64 per share)</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(1,646)</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Stock repurchases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(2,132)</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Stock compensation</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color w:val="auto"/>
              </w:rPr>
              <w:t>Dividend equivalents paid on restricted stock units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6"/>
                <w:szCs w:val="16"/>
                <w:color w:val="auto"/>
              </w:rPr>
              <w:t>Balance, December 31, 2016</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1,674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33,107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(25,523)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6"/>
                <w:szCs w:val="16"/>
                <w:b w:val="1"/>
                <w:bCs w:val="1"/>
                <w:color w:val="auto"/>
              </w:rPr>
              <w:t>2017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Net income</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Dividends declared and paid ($2.12 per share)</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(2,104)</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(138)</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(2,556)</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6"/>
                <w:szCs w:val="16"/>
                <w:b w:val="1"/>
                <w:bCs w:val="1"/>
                <w:color w:val="auto"/>
              </w:rPr>
              <w:t>Dividend equivalents paid on restricted stock units</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(17)</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Balance, December 31, 2017</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1,741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1,776</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34,662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(27,458)</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6"/>
                <w:szCs w:val="16"/>
                <w:color w:val="auto"/>
              </w:rPr>
              <w:t>See accompanying notes.</w:t>
            </w: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Beginning January 2017, we reorganized the product lines within our reportable segments – Analog and Embedded Processing – to align our business structure with the way our customers select and buy products. These changes had no effect on either our previously reported consolidated financial statements or our reportable segment amounts. Our two reportable segments are established along major categories of products as follows:</w:t>
      </w:r>
    </w:p>
    <w:p>
      <w:pPr>
        <w:spacing w:after="0" w:line="79"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5"/>
          <w:szCs w:val="15"/>
          <w:color w:val="auto"/>
        </w:rPr>
        <w:t>®</w:t>
      </w:r>
      <w:r>
        <w:rPr>
          <w:rFonts w:ascii="Arial" w:cs="Arial" w:eastAsia="Arial" w:hAnsi="Arial"/>
          <w:sz w:val="18"/>
          <w:szCs w:val="18"/>
          <w:color w:val="auto"/>
        </w:rPr>
        <w:t xml:space="preserve"> products, calculators and custom ASIC products. As of January 1, 2017, we no longer recognize royalties as revenue; instead, they are now recorded as OI&amp;E. Prior period amounts were not material.</w:t>
      </w:r>
    </w:p>
    <w:p>
      <w:pPr>
        <w:spacing w:after="0" w:line="187"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In Other, we also include items that are not used in evaluating the results of or in allocating resources to our segments. Examples of these items include Acquisition charges (see Note 13); restructuring charges (see Note 3);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5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the same as those described below in the summary of significant accounting policies and practices.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tcPr>
          <w:p>
            <w:pPr>
              <w:spacing w:after="0"/>
              <w:rPr>
                <w:sz w:val="18"/>
                <w:szCs w:val="18"/>
                <w:color w:val="auto"/>
              </w:rPr>
            </w:pPr>
          </w:p>
        </w:tc>
        <w:tc>
          <w:tcPr>
            <w:tcW w:w="3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3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40"/>
              <w:spacing w:after="0"/>
              <w:rPr>
                <w:sz w:val="20"/>
                <w:szCs w:val="20"/>
                <w:color w:val="auto"/>
              </w:rPr>
            </w:pPr>
            <w:r>
              <w:rPr>
                <w:rFonts w:ascii="Arial" w:cs="Arial" w:eastAsia="Arial" w:hAnsi="Arial"/>
                <w:sz w:val="16"/>
                <w:szCs w:val="16"/>
                <w:color w:val="auto"/>
              </w:rPr>
              <w:t>Analog</w:t>
            </w:r>
          </w:p>
        </w:tc>
        <w:tc>
          <w:tcPr>
            <w:tcW w:w="33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9,900</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8,536</w:t>
            </w:r>
          </w:p>
        </w:tc>
        <w:tc>
          <w:tcPr>
            <w:tcW w:w="3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Embedded Processing</w:t>
            </w:r>
          </w:p>
        </w:tc>
        <w:tc>
          <w:tcPr>
            <w:tcW w:w="3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3,498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w:t>
            </w:r>
          </w:p>
        </w:tc>
        <w:tc>
          <w:tcPr>
            <w:tcW w:w="3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1,563</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w:t>
            </w:r>
          </w:p>
        </w:tc>
        <w:tc>
          <w:tcPr>
            <w:tcW w:w="3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14,961</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13,370</w:t>
            </w: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Analog</w:t>
            </w:r>
          </w:p>
        </w:tc>
        <w:tc>
          <w:tcPr>
            <w:tcW w:w="3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4,468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3,416</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40"/>
              <w:spacing w:after="0"/>
              <w:rPr>
                <w:sz w:val="20"/>
                <w:szCs w:val="20"/>
                <w:color w:val="auto"/>
              </w:rPr>
            </w:pPr>
            <w:r>
              <w:rPr>
                <w:rFonts w:ascii="Arial" w:cs="Arial" w:eastAsia="Arial" w:hAnsi="Arial"/>
                <w:sz w:val="16"/>
                <w:szCs w:val="16"/>
                <w:color w:val="auto"/>
              </w:rPr>
              <w:t>Embedded Processing</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1,143</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3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472</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622</w:t>
            </w:r>
          </w:p>
        </w:tc>
        <w:tc>
          <w:tcPr>
            <w:tcW w:w="3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20"/>
                <w:szCs w:val="20"/>
                <w:color w:val="auto"/>
              </w:rPr>
            </w:pPr>
            <w:r>
              <w:rPr>
                <w:rFonts w:ascii="Arial" w:cs="Arial" w:eastAsia="Arial" w:hAnsi="Arial"/>
                <w:sz w:val="16"/>
                <w:szCs w:val="16"/>
                <w:color w:val="auto"/>
              </w:rPr>
              <w:t>Total operating profit</w:t>
            </w:r>
          </w:p>
        </w:tc>
        <w:tc>
          <w:tcPr>
            <w:tcW w:w="3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6,083</w:t>
            </w:r>
          </w:p>
        </w:tc>
        <w:tc>
          <w:tcPr>
            <w:tcW w:w="34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4,855</w:t>
            </w:r>
          </w:p>
        </w:tc>
        <w:tc>
          <w:tcPr>
            <w:tcW w:w="36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Operating profit in the prior periods has been recast as a result of our early adoption of a new accounting standard related to pension and other retiree benefit costs. See Note 2 for additional information.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property, plant and equipment, based on physical location.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000" w:type="dxa"/>
            <w:vAlign w:val="bottom"/>
            <w:tcBorders>
              <w:bottom w:val="single" w:sz="8" w:color="CFF0FC"/>
            </w:tcBorders>
          </w:tcPr>
          <w:p>
            <w:pPr>
              <w:spacing w:after="0"/>
              <w:rPr>
                <w:sz w:val="18"/>
                <w:szCs w:val="18"/>
                <w:color w:val="auto"/>
              </w:rPr>
            </w:pPr>
          </w:p>
        </w:tc>
        <w:tc>
          <w:tcPr>
            <w:tcW w:w="28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5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Revenue:</w:t>
            </w:r>
          </w:p>
        </w:tc>
        <w:tc>
          <w:tcPr>
            <w:tcW w:w="2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30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1,901</w:t>
            </w:r>
          </w:p>
        </w:tc>
        <w:tc>
          <w:tcPr>
            <w:tcW w:w="34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1,682</w:t>
            </w: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18"/>
                <w:szCs w:val="18"/>
                <w:color w:val="auto"/>
              </w:rPr>
            </w:pPr>
          </w:p>
        </w:tc>
      </w:tr>
      <w:tr>
        <w:trPr>
          <w:trHeight w:val="219"/>
        </w:trPr>
        <w:tc>
          <w:tcPr>
            <w:tcW w:w="5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Asia (a)</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8,824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8,024</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7,910</w:t>
            </w:r>
          </w:p>
        </w:tc>
        <w:tc>
          <w:tcPr>
            <w:tcW w:w="120" w:type="dxa"/>
            <w:vAlign w:val="bottom"/>
            <w:shd w:val="clear" w:color="auto" w:fill="CFF0FC"/>
          </w:tcPr>
          <w:p>
            <w:pPr>
              <w:spacing w:after="0"/>
              <w:rPr>
                <w:sz w:val="19"/>
                <w:szCs w:val="19"/>
                <w:color w:val="auto"/>
              </w:rPr>
            </w:pPr>
          </w:p>
        </w:tc>
      </w:tr>
      <w:tr>
        <w:trPr>
          <w:trHeight w:val="213"/>
        </w:trPr>
        <w:tc>
          <w:tcPr>
            <w:tcW w:w="500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2,907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2,393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2,163</w:t>
            </w:r>
          </w:p>
        </w:tc>
        <w:tc>
          <w:tcPr>
            <w:tcW w:w="120" w:type="dxa"/>
            <w:vAlign w:val="bottom"/>
          </w:tcPr>
          <w:p>
            <w:pPr>
              <w:spacing w:after="0"/>
              <w:rPr>
                <w:sz w:val="18"/>
                <w:szCs w:val="18"/>
                <w:color w:val="auto"/>
              </w:rPr>
            </w:pPr>
          </w:p>
        </w:tc>
      </w:tr>
      <w:tr>
        <w:trPr>
          <w:trHeight w:val="219"/>
        </w:trPr>
        <w:tc>
          <w:tcPr>
            <w:tcW w:w="50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Japan</w:t>
            </w:r>
          </w:p>
        </w:tc>
        <w:tc>
          <w:tcPr>
            <w:tcW w:w="2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1,049</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120" w:type="dxa"/>
            <w:vAlign w:val="bottom"/>
            <w:shd w:val="clear" w:color="auto" w:fill="CFF0FC"/>
          </w:tcPr>
          <w:p>
            <w:pPr>
              <w:spacing w:after="0"/>
              <w:rPr>
                <w:sz w:val="19"/>
                <w:szCs w:val="19"/>
                <w:color w:val="auto"/>
              </w:rPr>
            </w:pPr>
          </w:p>
        </w:tc>
      </w:tr>
      <w:tr>
        <w:trPr>
          <w:trHeight w:val="213"/>
        </w:trPr>
        <w:tc>
          <w:tcPr>
            <w:tcW w:w="50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Rest of world</w:t>
            </w:r>
          </w:p>
        </w:tc>
        <w:tc>
          <w:tcPr>
            <w:tcW w:w="28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FF0FC"/>
            </w:tcBorders>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28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14,961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13,370</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shd w:val="clear" w:color="auto" w:fill="CFF0FC"/>
          </w:tcPr>
          <w:p>
            <w:pPr>
              <w:spacing w:after="0"/>
              <w:rPr>
                <w:sz w:val="18"/>
                <w:szCs w:val="18"/>
                <w:color w:val="auto"/>
              </w:rPr>
            </w:pPr>
          </w:p>
        </w:tc>
      </w:tr>
      <w:tr>
        <w:trPr>
          <w:trHeight w:val="20"/>
        </w:trPr>
        <w:tc>
          <w:tcPr>
            <w:tcW w:w="5000" w:type="dxa"/>
            <w:vAlign w:val="bottom"/>
            <w:tcBorders>
              <w:top w:val="single" w:sz="8" w:color="CFF0FC"/>
            </w:tcBorders>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 from products shipped into China, including Hong Kong, was $6.6 billion in 2017, $6.0 billion in 2016 and $5.8 billion in 2015.</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5060" w:type="dxa"/>
            <w:vAlign w:val="bottom"/>
            <w:tcBorders>
              <w:bottom w:val="single" w:sz="8" w:color="CFF0FC"/>
            </w:tcBorders>
          </w:tcPr>
          <w:p>
            <w:pPr>
              <w:spacing w:after="0"/>
              <w:rPr>
                <w:sz w:val="18"/>
                <w:szCs w:val="18"/>
                <w:color w:val="auto"/>
              </w:rPr>
            </w:pPr>
          </w:p>
        </w:tc>
        <w:tc>
          <w:tcPr>
            <w:tcW w:w="27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50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Property, plant and equipment:</w:t>
            </w:r>
          </w:p>
        </w:tc>
        <w:tc>
          <w:tcPr>
            <w:tcW w:w="2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94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1,469</w:t>
            </w:r>
          </w:p>
        </w:tc>
        <w:tc>
          <w:tcPr>
            <w:tcW w:w="52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1,372</w:t>
            </w:r>
          </w:p>
        </w:tc>
        <w:tc>
          <w:tcPr>
            <w:tcW w:w="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1,370</w:t>
            </w:r>
          </w:p>
        </w:tc>
        <w:tc>
          <w:tcPr>
            <w:tcW w:w="120" w:type="dxa"/>
            <w:vAlign w:val="bottom"/>
          </w:tcPr>
          <w:p>
            <w:pPr>
              <w:spacing w:after="0"/>
              <w:rPr>
                <w:sz w:val="18"/>
                <w:szCs w:val="18"/>
                <w:color w:val="auto"/>
              </w:rPr>
            </w:pPr>
          </w:p>
        </w:tc>
      </w:tr>
      <w:tr>
        <w:trPr>
          <w:trHeight w:val="219"/>
        </w:trPr>
        <w:tc>
          <w:tcPr>
            <w:tcW w:w="5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Asia (a)</w:t>
            </w:r>
          </w:p>
        </w:tc>
        <w:tc>
          <w:tcPr>
            <w:tcW w:w="2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964</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120" w:type="dxa"/>
            <w:vAlign w:val="bottom"/>
            <w:shd w:val="clear" w:color="auto" w:fill="CFF0FC"/>
          </w:tcPr>
          <w:p>
            <w:pPr>
              <w:spacing w:after="0"/>
              <w:rPr>
                <w:sz w:val="19"/>
                <w:szCs w:val="19"/>
                <w:color w:val="auto"/>
              </w:rPr>
            </w:pPr>
          </w:p>
        </w:tc>
      </w:tr>
      <w:tr>
        <w:trPr>
          <w:trHeight w:val="213"/>
        </w:trPr>
        <w:tc>
          <w:tcPr>
            <w:tcW w:w="506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r>
      <w:tr>
        <w:trPr>
          <w:trHeight w:val="219"/>
        </w:trPr>
        <w:tc>
          <w:tcPr>
            <w:tcW w:w="50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Japan</w:t>
            </w:r>
          </w:p>
        </w:tc>
        <w:tc>
          <w:tcPr>
            <w:tcW w:w="2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FF0FC"/>
          </w:tcPr>
          <w:p>
            <w:pPr>
              <w:spacing w:after="0"/>
              <w:rPr>
                <w:sz w:val="19"/>
                <w:szCs w:val="19"/>
                <w:color w:val="auto"/>
              </w:rPr>
            </w:pPr>
          </w:p>
        </w:tc>
      </w:tr>
      <w:tr>
        <w:trPr>
          <w:trHeight w:val="213"/>
        </w:trPr>
        <w:tc>
          <w:tcPr>
            <w:tcW w:w="506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Rest of world</w:t>
            </w:r>
          </w:p>
        </w:tc>
        <w:tc>
          <w:tcPr>
            <w:tcW w:w="27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FF0FC"/>
            </w:tcBorders>
          </w:tcPr>
          <w:p>
            <w:pPr>
              <w:spacing w:after="0"/>
              <w:rPr>
                <w:sz w:val="18"/>
                <w:szCs w:val="18"/>
                <w:color w:val="auto"/>
              </w:rPr>
            </w:pPr>
          </w:p>
        </w:tc>
      </w:tr>
      <w:tr>
        <w:trPr>
          <w:trHeight w:val="210"/>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Total property, plant and equipment</w:t>
            </w:r>
          </w:p>
        </w:tc>
        <w:tc>
          <w:tcPr>
            <w:tcW w:w="27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2,664</w:t>
            </w:r>
          </w:p>
        </w:tc>
        <w:tc>
          <w:tcPr>
            <w:tcW w:w="520" w:type="dxa"/>
            <w:vAlign w:val="bottom"/>
            <w:gridSpan w:val="2"/>
            <w:shd w:val="clear" w:color="auto" w:fill="CFF0FC"/>
          </w:tcPr>
          <w:p>
            <w:pPr>
              <w:ind w:left="3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2,512</w:t>
            </w:r>
          </w:p>
        </w:tc>
        <w:tc>
          <w:tcPr>
            <w:tcW w:w="1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2,596</w:t>
            </w:r>
          </w:p>
        </w:tc>
        <w:tc>
          <w:tcPr>
            <w:tcW w:w="120" w:type="dxa"/>
            <w:vAlign w:val="bottom"/>
            <w:shd w:val="clear" w:color="auto" w:fill="CFF0FC"/>
          </w:tcPr>
          <w:p>
            <w:pPr>
              <w:spacing w:after="0"/>
              <w:rPr>
                <w:sz w:val="18"/>
                <w:szCs w:val="18"/>
                <w:color w:val="auto"/>
              </w:rPr>
            </w:pP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2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right="100" w:hanging="512"/>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plant and equipment at our two sites in the Philippines was $437 million, $412 million and $471 million as of December 31, 2017, 2016 and 2015, respectively.</w:t>
      </w:r>
    </w:p>
    <w:p>
      <w:pPr>
        <w:spacing w:after="0" w:line="157"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basis of these financial statements is comparable for all periods presented herein, except for the adoption of a new accounting standard in 2016 related to stock compensation, which included certain provisions applied prospectively.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2017 presentation, retrospectively applying the new accounting standard related to pension and other retiree benefit costs. See </w:t>
      </w:r>
      <w:r>
        <w:rPr>
          <w:rFonts w:ascii="Arial" w:cs="Arial" w:eastAsia="Arial" w:hAnsi="Arial"/>
          <w:sz w:val="18"/>
          <w:szCs w:val="18"/>
          <w:i w:val="1"/>
          <w:iCs w:val="1"/>
          <w:color w:val="auto"/>
        </w:rPr>
        <w:t>Changes in accounting standards – adopted standards for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 </w:t>
      </w:r>
      <w:r>
        <w:rPr>
          <w:rFonts w:ascii="Arial" w:cs="Arial" w:eastAsia="Arial" w:hAnsi="Arial"/>
          <w:sz w:val="18"/>
          <w:szCs w:val="18"/>
          <w:color w:val="auto"/>
        </w:rPr>
        <w:t>for further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recognize revenue from sales of our products, including sales to our distributors, when title and risk of loss pass, which usually occurs upon shipment or delivery to the customer or distributor, depending upon the terms of the sales order; when persuasive evidence of an arrangement exists; when sales amounts are fixed or determinable; and when collectability is reasonably assured. For sales to distributors, payment is due on our standard commercial terms and is not contingent upon resale of the products.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ind w:right="280"/>
        <w:spacing w:after="0" w:line="264" w:lineRule="auto"/>
        <w:rPr>
          <w:sz w:val="20"/>
          <w:szCs w:val="20"/>
          <w:color w:val="auto"/>
        </w:rPr>
      </w:pPr>
      <w:r>
        <w:rPr>
          <w:rFonts w:ascii="Arial" w:cs="Arial" w:eastAsia="Arial" w:hAnsi="Arial"/>
          <w:sz w:val="18"/>
          <w:szCs w:val="18"/>
          <w:color w:val="auto"/>
        </w:rPr>
        <w:t>Revenue from sales of our products that are subject to inventory consignment agreements, including consignment arrangements with distributors, is recognized in accordance with the principles discussed above. Delivery occurs when the customer or distributor pulls product from consignment inventory that we store at designated locations.</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We recognize revenue net of allowances, which are management’s estimates of future credits to be granted to customers or distributors under programs common in the semiconductor industry. These allowances, which are not material, generally include special pricing arrangements, product returns due to quality issues and incentives designed to maximize growth opportunities. Allowances are based on analysis of historical data and contractual terms and are recorded when revenue is recognized. We believe we can reasonably and reliably estimate allowances for credits to distributors in a timely manner.</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we record allowances for accounts receivable that we estimate may not be collected.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recognize in revenue shipping fees, if any, received from customers. We include shipping and handling costs in COR. The majority of our customers pay these fees directly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$39 million in 2017, $44 million in 2016 and $46 million in 2015.</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Unvested share-based payment awards that contain non-forfeitable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8"/>
          </w:tcPr>
          <w:p>
            <w:pPr>
              <w:ind w:left="40"/>
              <w:spacing w:after="0"/>
              <w:rPr>
                <w:sz w:val="20"/>
                <w:szCs w:val="20"/>
                <w:color w:val="auto"/>
              </w:rPr>
            </w:pPr>
            <w:r>
              <w:rPr>
                <w:rFonts w:ascii="Arial" w:cs="Arial" w:eastAsia="Arial" w:hAnsi="Arial"/>
                <w:sz w:val="16"/>
                <w:szCs w:val="16"/>
                <w:b w:val="1"/>
                <w:bCs w:val="1"/>
                <w:color w:val="auto"/>
              </w:rPr>
              <w:t>For Years Ended December 31,</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Net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Net</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2"/>
              </w:rPr>
              <w:t>Income</w:t>
            </w:r>
          </w:p>
        </w:tc>
        <w:tc>
          <w:tcPr>
            <w:tcW w:w="620" w:type="dxa"/>
            <w:vAlign w:val="bottom"/>
          </w:tcPr>
          <w:p>
            <w:pPr>
              <w:jc w:val="right"/>
              <w:ind w:right="19"/>
              <w:spacing w:after="0"/>
              <w:rPr>
                <w:sz w:val="20"/>
                <w:szCs w:val="20"/>
                <w:color w:val="auto"/>
              </w:rPr>
            </w:pPr>
            <w:r>
              <w:rPr>
                <w:rFonts w:ascii="Arial" w:cs="Arial" w:eastAsia="Arial" w:hAnsi="Arial"/>
                <w:sz w:val="16"/>
                <w:szCs w:val="16"/>
                <w:b w:val="1"/>
                <w:bCs w:val="1"/>
                <w:color w:val="auto"/>
                <w:w w:val="93"/>
              </w:rPr>
              <w:t>Shares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59"/>
              <w:spacing w:after="0"/>
              <w:rPr>
                <w:sz w:val="20"/>
                <w:szCs w:val="20"/>
                <w:color w:val="auto"/>
              </w:rPr>
            </w:pPr>
            <w:r>
              <w:rPr>
                <w:rFonts w:ascii="Arial" w:cs="Arial" w:eastAsia="Arial" w:hAnsi="Arial"/>
                <w:sz w:val="16"/>
                <w:szCs w:val="16"/>
                <w:b w:val="1"/>
                <w:bCs w:val="1"/>
                <w:color w:val="auto"/>
              </w:rPr>
              <w:t>EPS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2"/>
              </w:rPr>
              <w:t>Income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3"/>
              </w:rPr>
              <w:t>Shares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6"/>
                <w:szCs w:val="16"/>
                <w:b w:val="1"/>
                <w:bCs w:val="1"/>
                <w:color w:val="auto"/>
              </w:rPr>
              <w:t>EPS</w:t>
            </w:r>
          </w:p>
        </w:tc>
        <w:tc>
          <w:tcPr>
            <w:tcW w:w="10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89"/>
              </w:rPr>
              <w:t>Income</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7"/>
              </w:rPr>
              <w:t>Shares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Basic EPS:</w:t>
            </w: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3,682</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3,595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allocated to RSUs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(34)</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(45)</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60" w:type="dxa"/>
            <w:vAlign w:val="bottom"/>
            <w:gridSpan w:val="2"/>
          </w:tcPr>
          <w:p>
            <w:pPr>
              <w:spacing w:after="0"/>
              <w:rPr>
                <w:sz w:val="20"/>
                <w:szCs w:val="20"/>
                <w:color w:val="auto"/>
              </w:rPr>
            </w:pPr>
            <w:r>
              <w:rPr>
                <w:rFonts w:ascii="Arial" w:cs="Arial" w:eastAsia="Arial" w:hAnsi="Arial"/>
                <w:sz w:val="16"/>
                <w:szCs w:val="16"/>
                <w:color w:val="auto"/>
              </w:rPr>
              <w:t>Income allocated to common stock for</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3,648</w:t>
            </w:r>
          </w:p>
        </w:tc>
        <w:tc>
          <w:tcPr>
            <w:tcW w:w="26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991</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3.68</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340" w:type="dxa"/>
            <w:vAlign w:val="bottom"/>
          </w:tcPr>
          <w:p>
            <w:pPr>
              <w:ind w:left="100"/>
              <w:spacing w:after="0"/>
              <w:rPr>
                <w:sz w:val="20"/>
                <w:szCs w:val="20"/>
                <w:color w:val="auto"/>
              </w:rPr>
            </w:pPr>
            <w:r>
              <w:rPr>
                <w:rFonts w:ascii="Arial" w:cs="Arial" w:eastAsia="Arial" w:hAnsi="Arial"/>
                <w:sz w:val="16"/>
                <w:szCs w:val="16"/>
                <w:color w:val="auto"/>
              </w:rPr>
              <w:t>basic EPS calculation</w:t>
            </w:r>
          </w:p>
        </w:tc>
        <w:tc>
          <w:tcPr>
            <w:tcW w:w="10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3,550</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1,003</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3.54</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2,943</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60" w:type="dxa"/>
            <w:vAlign w:val="bottom"/>
            <w:gridSpan w:val="2"/>
          </w:tcPr>
          <w:p>
            <w:pPr>
              <w:spacing w:after="0"/>
              <w:rPr>
                <w:sz w:val="20"/>
                <w:szCs w:val="20"/>
                <w:color w:val="auto"/>
              </w:rPr>
            </w:pPr>
            <w:r>
              <w:rPr>
                <w:rFonts w:ascii="Arial" w:cs="Arial" w:eastAsia="Arial" w:hAnsi="Arial"/>
                <w:sz w:val="16"/>
                <w:szCs w:val="16"/>
                <w:color w:val="auto"/>
              </w:rPr>
              <w:t>Adjustment for dilutive shares: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compensation plans</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Diluted EPS: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3,682</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3,595</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Income allocated to RSUs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(33)</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(42)</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360" w:type="dxa"/>
            <w:vAlign w:val="bottom"/>
            <w:gridSpan w:val="2"/>
          </w:tcPr>
          <w:p>
            <w:pPr>
              <w:spacing w:after="0"/>
              <w:rPr>
                <w:sz w:val="20"/>
                <w:szCs w:val="20"/>
                <w:color w:val="auto"/>
              </w:rPr>
            </w:pPr>
            <w:r>
              <w:rPr>
                <w:rFonts w:ascii="Arial" w:cs="Arial" w:eastAsia="Arial" w:hAnsi="Arial"/>
                <w:sz w:val="16"/>
                <w:szCs w:val="16"/>
                <w:color w:val="auto"/>
              </w:rPr>
              <w:t>Income allocated to common stock for</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3,649</w:t>
            </w:r>
          </w:p>
        </w:tc>
        <w:tc>
          <w:tcPr>
            <w:tcW w:w="260" w:type="dxa"/>
            <w:vAlign w:val="bottom"/>
          </w:tcPr>
          <w:p>
            <w:pPr>
              <w:spacing w:after="0"/>
              <w:rPr>
                <w:sz w:val="17"/>
                <w:szCs w:val="17"/>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1,012</w:t>
            </w: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3.61</w:t>
            </w: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6"/>
                <w:szCs w:val="16"/>
                <w:color w:val="auto"/>
              </w:rPr>
              <w:t>diluted EPS calculation</w:t>
            </w:r>
          </w:p>
        </w:tc>
        <w:tc>
          <w:tcPr>
            <w:tcW w:w="10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3,551</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1,021</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2,944</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1,043</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3" w:name="page34"/>
    <w:bookmarkEnd w:id="33"/>
    <w:p>
      <w:pPr>
        <w:ind w:right="380"/>
        <w:spacing w:after="0" w:line="286" w:lineRule="auto"/>
        <w:rPr>
          <w:sz w:val="20"/>
          <w:szCs w:val="20"/>
          <w:color w:val="auto"/>
        </w:rPr>
      </w:pPr>
      <w:r>
        <w:rPr>
          <w:rFonts w:ascii="Arial" w:cs="Arial" w:eastAsia="Arial" w:hAnsi="Arial"/>
          <w:sz w:val="17"/>
          <w:szCs w:val="17"/>
          <w:color w:val="auto"/>
        </w:rPr>
        <w:t>Potentially dilutive securities representing 6 million and 12 million shares of common stock that were outstanding in 2017 and 2015, respectively, were excluded from the computation of diluted earnings per common share for these periods because their effect would have been anti-dilutive. No potentially dilutive securities were excluded from the computation of diluted earnings per common share during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long-term investments, which are detailed as follows:</w:t>
      </w:r>
    </w:p>
    <w:p>
      <w:pPr>
        <w:spacing w:after="0" w:line="76" w:lineRule="exact"/>
        <w:rPr>
          <w:sz w:val="20"/>
          <w:szCs w:val="20"/>
          <w:color w:val="auto"/>
        </w:rPr>
      </w:pPr>
    </w:p>
    <w:p>
      <w:pPr>
        <w:ind w:left="1040" w:right="280" w:hanging="519"/>
        <w:spacing w:after="0" w:line="302"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Cash equivalents and short-term investments </w:t>
      </w:r>
      <w:r>
        <w:rPr>
          <w:rFonts w:ascii="Arial" w:cs="Arial" w:eastAsia="Arial" w:hAnsi="Arial"/>
          <w:sz w:val="16"/>
          <w:szCs w:val="16"/>
          <w:color w:val="auto"/>
        </w:rPr>
        <w:t>– We consider investments in debt securities with maturities of 90 days or less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investment to be cash equivalents. We consider investments in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46" w:lineRule="exact"/>
        <w:rPr>
          <w:rFonts w:ascii="Arial" w:cs="Arial" w:eastAsia="Arial" w:hAnsi="Arial"/>
          <w:sz w:val="16"/>
          <w:szCs w:val="16"/>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 Long-term investments consist of mutual funds, venture capital funds and non-marketable equity securities.</w:t>
      </w:r>
    </w:p>
    <w:p>
      <w:pPr>
        <w:spacing w:after="0" w:line="12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 Depending on our reasons for holding the investment and our ownership percentage, we classify our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either available for sale, trading, equity method or cost method, which are more fully described in Note 8. We determine cost or amortized cost, as appropriate, on a specific identification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$303 million and $334 million as of December 31, 2017 and 2016, respectively.</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9 for additional information.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taxes, other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remeasured at the appropriate daily rate of exchange. Currency exchange gains and losses from remeasurement are credited or charged to OI&amp;E.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Update (ASU) No. 2016-16, Income Taxes (Topic 740): Intra-Entity Transfers of Assets Other Than Inventory</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This standard requires current and deferred taxes resulting from the intra-entity transfer of any assets other than inventory to be recognized for financial reporting purposes when the transfer occurs rather than postpone recognition until the asset has been sold to an outside party, as currently allowed. This standard is required to be applied on a modified retrospective basis through a cumulative-effect adjustment directly to retained earnings and is effective for interim and annual periods beginning January 1, 2018. We elected to adopt this standard in the first quarter of 2017. The effect on our financial position and results of operations was not material.</w:t>
      </w:r>
    </w:p>
    <w:p>
      <w:pPr>
        <w:spacing w:after="0" w:line="191" w:lineRule="exact"/>
        <w:rPr>
          <w:sz w:val="20"/>
          <w:szCs w:val="20"/>
          <w:color w:val="auto"/>
        </w:rPr>
      </w:pPr>
    </w:p>
    <w:p>
      <w:pPr>
        <w:ind w:right="1060"/>
        <w:spacing w:after="0" w:line="258" w:lineRule="auto"/>
        <w:rPr>
          <w:sz w:val="20"/>
          <w:szCs w:val="20"/>
          <w:color w:val="auto"/>
        </w:rPr>
      </w:pPr>
      <w:r>
        <w:rPr>
          <w:rFonts w:ascii="Arial" w:cs="Arial" w:eastAsia="Arial" w:hAnsi="Arial"/>
          <w:sz w:val="18"/>
          <w:szCs w:val="18"/>
          <w:i w:val="1"/>
          <w:iCs w:val="1"/>
          <w:u w:val="single" w:color="auto"/>
          <w:color w:val="auto"/>
        </w:rPr>
        <w:t>ASU No. 2017-07, Compensation – Retirement Benefits (Topic 715): Improving the Presentation of Net Periodic Pension Cost and Net Periodic Postretirement Benefit Cost</w:t>
      </w:r>
    </w:p>
    <w:p>
      <w:pPr>
        <w:spacing w:after="0" w:line="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This standard amends the income statement presentation of the components of net periodic benefit cost for defined benefit pension and other postretirement plans. This standard requires us to: (1) disaggregate the current service cost component from the other components of net periodic benefit cost (the “other components”) and present it in the same line items on the statement of income as other current compensation costs for related employees and (2) present the other components outside of operating profit (i.e., in OI&amp;E). This standard is required to be applied retrospectively and is effective for interim and annual periods beginning January 1, 2018. We elected to adopt this standard as of January 1, 2017. Adoption of this standard did not impact Revenue, Net income, Earnings per common share or Cash flows from operating activities. The following components on the Consolidated Statements of Income were affected: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0"/>
              </w:rPr>
              <w:t>For The Years Ended December 31,</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10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w w:val="84"/>
              </w:rPr>
              <w:t>2015</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3700" w:type="dxa"/>
            <w:vAlign w:val="bottom"/>
            <w:tcBorders>
              <w:bottom w:val="single" w:sz="8" w:color="CFF0FC"/>
            </w:tcBorders>
          </w:tcPr>
          <w:p>
            <w:pPr>
              <w:spacing w:after="0"/>
              <w:rPr>
                <w:sz w:val="18"/>
                <w:szCs w:val="18"/>
                <w:color w:val="auto"/>
              </w:rPr>
            </w:pPr>
          </w:p>
        </w:tc>
        <w:tc>
          <w:tcPr>
            <w:tcW w:w="2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Reported</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Recast</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9"/>
              </w:rPr>
              <w:t>Reported</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Recast</w:t>
            </w:r>
          </w:p>
        </w:tc>
        <w:tc>
          <w:tcPr>
            <w:tcW w:w="120" w:type="dxa"/>
            <w:vAlign w:val="bottom"/>
            <w:tcBorders>
              <w:bottom w:val="single" w:sz="8" w:color="CFF0FC"/>
            </w:tcBorders>
          </w:tcPr>
          <w:p>
            <w:pPr>
              <w:spacing w:after="0"/>
              <w:rPr>
                <w:sz w:val="18"/>
                <w:szCs w:val="18"/>
                <w:color w:val="auto"/>
              </w:rPr>
            </w:pPr>
          </w:p>
        </w:tc>
      </w:tr>
      <w:tr>
        <w:trPr>
          <w:trHeight w:val="212"/>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COR</w:t>
            </w:r>
          </w:p>
        </w:tc>
        <w:tc>
          <w:tcPr>
            <w:tcW w:w="2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5,130</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5,113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5,440</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5,425</w:t>
            </w:r>
          </w:p>
        </w:tc>
        <w:tc>
          <w:tcPr>
            <w:tcW w:w="120" w:type="dxa"/>
            <w:vAlign w:val="bottom"/>
            <w:shd w:val="clear" w:color="auto" w:fill="CFF0FC"/>
          </w:tcPr>
          <w:p>
            <w:pPr>
              <w:spacing w:after="0"/>
              <w:rPr>
                <w:sz w:val="18"/>
                <w:szCs w:val="18"/>
                <w:color w:val="auto"/>
              </w:rPr>
            </w:pPr>
          </w:p>
        </w:tc>
      </w:tr>
      <w:tr>
        <w:trPr>
          <w:trHeight w:val="213"/>
        </w:trPr>
        <w:tc>
          <w:tcPr>
            <w:tcW w:w="3700" w:type="dxa"/>
            <w:vAlign w:val="bottom"/>
          </w:tcPr>
          <w:p>
            <w:pPr>
              <w:spacing w:after="0"/>
              <w:rPr>
                <w:sz w:val="20"/>
                <w:szCs w:val="20"/>
                <w:color w:val="auto"/>
              </w:rPr>
            </w:pPr>
            <w:r>
              <w:rPr>
                <w:rFonts w:ascii="Arial" w:cs="Arial" w:eastAsia="Arial" w:hAnsi="Arial"/>
                <w:sz w:val="16"/>
                <w:szCs w:val="16"/>
                <w:color w:val="auto"/>
              </w:rPr>
              <w:t>Gross profit</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7,575</w:t>
            </w:r>
          </w:p>
        </w:tc>
        <w:tc>
          <w:tcPr>
            <w:tcW w:w="120" w:type="dxa"/>
            <w:vAlign w:val="bottom"/>
          </w:tcPr>
          <w:p>
            <w:pPr>
              <w:spacing w:after="0"/>
              <w:rPr>
                <w:sz w:val="18"/>
                <w:szCs w:val="18"/>
                <w:color w:val="auto"/>
              </w:rPr>
            </w:pPr>
          </w:p>
        </w:tc>
      </w:tr>
      <w:tr>
        <w:trPr>
          <w:trHeight w:val="219"/>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R&amp;D</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120" w:type="dxa"/>
            <w:vAlign w:val="bottom"/>
            <w:shd w:val="clear" w:color="auto" w:fill="CFF0FC"/>
          </w:tcPr>
          <w:p>
            <w:pPr>
              <w:spacing w:after="0"/>
              <w:rPr>
                <w:sz w:val="19"/>
                <w:szCs w:val="19"/>
                <w:color w:val="auto"/>
              </w:rPr>
            </w:pPr>
          </w:p>
        </w:tc>
      </w:tr>
      <w:tr>
        <w:trPr>
          <w:trHeight w:val="210"/>
        </w:trPr>
        <w:tc>
          <w:tcPr>
            <w:tcW w:w="3700" w:type="dxa"/>
            <w:vAlign w:val="bottom"/>
          </w:tcPr>
          <w:p>
            <w:pPr>
              <w:spacing w:after="0"/>
              <w:rPr>
                <w:sz w:val="20"/>
                <w:szCs w:val="20"/>
                <w:color w:val="auto"/>
              </w:rPr>
            </w:pPr>
            <w:r>
              <w:rPr>
                <w:rFonts w:ascii="Arial" w:cs="Arial" w:eastAsia="Arial" w:hAnsi="Arial"/>
                <w:sz w:val="16"/>
                <w:szCs w:val="16"/>
                <w:color w:val="auto"/>
              </w:rPr>
              <w:t>SG&amp;A</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1,728</w:t>
            </w:r>
          </w:p>
        </w:tc>
        <w:tc>
          <w:tcPr>
            <w:tcW w:w="120" w:type="dxa"/>
            <w:vAlign w:val="bottom"/>
          </w:tcPr>
          <w:p>
            <w:pPr>
              <w:spacing w:after="0"/>
              <w:rPr>
                <w:sz w:val="18"/>
                <w:szCs w:val="18"/>
                <w:color w:val="auto"/>
              </w:rPr>
            </w:pPr>
          </w:p>
        </w:tc>
      </w:tr>
      <w:tr>
        <w:trPr>
          <w:trHeight w:val="222"/>
        </w:trPr>
        <w:tc>
          <w:tcPr>
            <w:tcW w:w="3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profit:</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Analog</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3,380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8"/>
                <w:szCs w:val="18"/>
                <w:color w:val="auto"/>
              </w:rPr>
            </w:pPr>
          </w:p>
        </w:tc>
      </w:tr>
      <w:tr>
        <w:trPr>
          <w:trHeight w:val="219"/>
        </w:trPr>
        <w:tc>
          <w:tcPr>
            <w:tcW w:w="3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Embedded Processing</w:t>
            </w:r>
          </w:p>
        </w:tc>
        <w:tc>
          <w:tcPr>
            <w:tcW w:w="2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FF0FC"/>
          </w:tcPr>
          <w:p>
            <w:pPr>
              <w:spacing w:after="0"/>
              <w:rPr>
                <w:sz w:val="19"/>
                <w:szCs w:val="19"/>
                <w:color w:val="auto"/>
              </w:rPr>
            </w:pPr>
          </w:p>
        </w:tc>
      </w:tr>
      <w:tr>
        <w:trPr>
          <w:trHeight w:val="213"/>
        </w:trPr>
        <w:tc>
          <w:tcPr>
            <w:tcW w:w="370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Other</w:t>
            </w:r>
          </w:p>
        </w:tc>
        <w:tc>
          <w:tcPr>
            <w:tcW w:w="2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FF0FC"/>
            </w:tcBorders>
          </w:tcPr>
          <w:p>
            <w:pPr>
              <w:spacing w:after="0"/>
              <w:rPr>
                <w:sz w:val="18"/>
                <w:szCs w:val="18"/>
                <w:color w:val="auto"/>
              </w:rPr>
            </w:pPr>
          </w:p>
        </w:tc>
      </w:tr>
      <w:tr>
        <w:trPr>
          <w:trHeight w:val="213"/>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Total operating profit</w:t>
            </w:r>
          </w:p>
        </w:tc>
        <w:tc>
          <w:tcPr>
            <w:tcW w:w="2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4,799</w:t>
            </w: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4,322</w:t>
            </w:r>
          </w:p>
        </w:tc>
        <w:tc>
          <w:tcPr>
            <w:tcW w:w="120" w:type="dxa"/>
            <w:vAlign w:val="bottom"/>
            <w:shd w:val="clear" w:color="auto" w:fill="CFF0FC"/>
          </w:tcPr>
          <w:p>
            <w:pPr>
              <w:spacing w:after="0"/>
              <w:rPr>
                <w:sz w:val="18"/>
                <w:szCs w:val="18"/>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6"/>
                <w:szCs w:val="16"/>
                <w:color w:val="auto"/>
              </w:rPr>
              <w:t>OI&amp;E</w:t>
            </w: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2014-09, Revenue from Contracts with Customers (Topic 606)</w:t>
      </w:r>
    </w:p>
    <w:p>
      <w:pPr>
        <w:spacing w:after="0" w:line="2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This standard provides a single set of guidelines for revenue recognition to be used across all industries and requires additional disclosures, which we are currently evaluating. It is effective for interim and annual reporting periods beginning January 1, 2018. This standard permits early adoption and the use of either the retrospective or cumulative-effect transition method.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both"/>
        <w:ind w:right="200"/>
        <w:spacing w:after="0" w:line="264" w:lineRule="auto"/>
        <w:rPr>
          <w:sz w:val="20"/>
          <w:szCs w:val="20"/>
          <w:color w:val="auto"/>
        </w:rPr>
      </w:pPr>
      <w:r>
        <w:rPr>
          <w:rFonts w:ascii="Arial" w:cs="Arial" w:eastAsia="Arial" w:hAnsi="Arial"/>
          <w:sz w:val="18"/>
          <w:szCs w:val="18"/>
          <w:color w:val="auto"/>
        </w:rPr>
        <w:t>We plan on adopting this standard using the cumulative-effect (i.e., modified retrospective) transition method, which will result in an adjustment to retained earnings for the cumulative effect of applying this guidance to contracts in process as of January 1, 2018. Under this approach, we will not restate the prior financial statements presented.</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on our current assessment, we do not expect the new standard to have a material impact on our financial position and results of operations, as it is not expected to materially change the manner or timing in which we recognize revenue. We recognize revenue on sales to customers and distributors upon satisfaction of our performance obligations when the goods are shipped. For consignment sales, we recognize revenue when the goods are pulled from consignment inventory.</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Beginning January 1, 2017, we no longer recognize in revenue royalty income from licensing our patent portfolios; however, we are still required to apply the recognition, measurement and disclosure provisions of this new standard to our royalty income. We believe the most significant impact of the new standard will be to accelerate the timing of recognizing royalty income in OI&amp;E, although the effect of such change on the results of operations and financial position recognized in any individual reporting period is not expected to be material. This change will have no effect on the recognition and timing of cash flows over any affected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standard requires all leases that have a term of over 12 months to be recognized on the balance sheet with the liability for lease payments and the corresponding right-of-use asset initially measured at the present value of amounts expected to be paid over the term. Recognition of the costs of these leases on the income statement will be dependent upon their classification as either an operating or a financing lease. Costs of an operating lease will continue to be recognized as a single operating expense on a straight-line basis over the lease term. Costs for a financing lease will be disaggregated and recognized as both an operating expense (for the amortization of the right-of-use asset) and interest expense (for interest on the lease liability). This standard will be effective for our interim and annual periods beginning January 1, 2019, and must be applied on a modified retrospective basis to leases existing at, or entered into after, the beginning of the earliest comparative period presented in the financial statements. We do not plan to adopt this standard early. We are currently evaluating the potential impact of this standard on our financial position, but we do not expect it to have a material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having been incurred. There are other provisions within the standard that affect how impairments of other financial assets may be recorded and presented, and that expand disclosures. This standard will be effective for our interim and annual periods beginning January 1, 2020, and permits earlier application but not before periods beginning January 1, 2019. The standard will be applied using a modified retrospective approach. We are currently evaluating the potential impact of this standard, but we do not expect it to have a material impact on our financial position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do not expect the following standards to have a material impact on our financial position and results of operations. We plan to adopt these standards as of their effective dates.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0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ASU</w:t>
            </w:r>
          </w:p>
        </w:tc>
        <w:tc>
          <w:tcPr>
            <w:tcW w:w="120" w:type="dxa"/>
            <w:vAlign w:val="bottom"/>
            <w:tcBorders>
              <w:bottom w:val="single" w:sz="8" w:color="CFF0FC"/>
            </w:tcBorders>
          </w:tcPr>
          <w:p>
            <w:pPr>
              <w:spacing w:after="0"/>
              <w:rPr>
                <w:sz w:val="18"/>
                <w:szCs w:val="18"/>
                <w:color w:val="auto"/>
              </w:rPr>
            </w:pPr>
          </w:p>
        </w:tc>
        <w:tc>
          <w:tcPr>
            <w:tcW w:w="7800" w:type="dxa"/>
            <w:vAlign w:val="bottom"/>
            <w:tcBorders>
              <w:bottom w:val="single" w:sz="8" w:color="auto"/>
            </w:tcBorders>
          </w:tcPr>
          <w:p>
            <w:pPr>
              <w:ind w:left="34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FF0FC"/>
            </w:tcBorders>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Effective Date</w:t>
            </w:r>
          </w:p>
        </w:tc>
      </w:tr>
      <w:tr>
        <w:trPr>
          <w:trHeight w:val="203"/>
        </w:trPr>
        <w:tc>
          <w:tcPr>
            <w:tcW w:w="1800" w:type="dxa"/>
            <w:vAlign w:val="bottom"/>
            <w:shd w:val="clear" w:color="auto" w:fill="CFF0FC"/>
          </w:tcPr>
          <w:p>
            <w:pPr>
              <w:spacing w:after="0"/>
              <w:rPr>
                <w:sz w:val="20"/>
                <w:szCs w:val="20"/>
                <w:color w:val="auto"/>
              </w:rPr>
            </w:pPr>
            <w:r>
              <w:rPr>
                <w:rFonts w:ascii="Arial" w:cs="Arial" w:eastAsia="Arial" w:hAnsi="Arial"/>
                <w:sz w:val="16"/>
                <w:szCs w:val="16"/>
                <w:color w:val="auto"/>
              </w:rPr>
              <w:t>ASU No. 2016-01</w:t>
            </w:r>
          </w:p>
        </w:tc>
        <w:tc>
          <w:tcPr>
            <w:tcW w:w="8020" w:type="dxa"/>
            <w:vAlign w:val="bottom"/>
            <w:gridSpan w:val="3"/>
            <w:shd w:val="clear" w:color="auto" w:fill="CFF0FC"/>
          </w:tcPr>
          <w:p>
            <w:pPr>
              <w:ind w:left="120"/>
              <w:spacing w:after="0"/>
              <w:rPr>
                <w:sz w:val="20"/>
                <w:szCs w:val="20"/>
                <w:color w:val="auto"/>
              </w:rPr>
            </w:pPr>
            <w:r>
              <w:rPr>
                <w:rFonts w:ascii="Arial" w:cs="Arial" w:eastAsia="Arial" w:hAnsi="Arial"/>
                <w:sz w:val="16"/>
                <w:szCs w:val="16"/>
                <w:i w:val="1"/>
                <w:iCs w:val="1"/>
                <w:color w:val="auto"/>
                <w:w w:val="96"/>
              </w:rPr>
              <w:t>Financial Instruments – Overall (Subtopic 825-10): Recognition and Measurement of Financial Assets and Financial</w:t>
            </w: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FF0FC"/>
          </w:tcPr>
          <w:p>
            <w:pPr>
              <w:spacing w:after="0"/>
              <w:rPr>
                <w:sz w:val="18"/>
                <w:szCs w:val="18"/>
                <w:color w:val="auto"/>
              </w:rPr>
            </w:pPr>
          </w:p>
        </w:tc>
        <w:tc>
          <w:tcPr>
            <w:tcW w:w="8020" w:type="dxa"/>
            <w:vAlign w:val="bottom"/>
            <w:gridSpan w:val="3"/>
            <w:shd w:val="clear" w:color="auto" w:fill="CFF0FC"/>
          </w:tcPr>
          <w:p>
            <w:pPr>
              <w:ind w:left="120"/>
              <w:spacing w:after="0"/>
              <w:rPr>
                <w:sz w:val="20"/>
                <w:szCs w:val="20"/>
                <w:color w:val="auto"/>
              </w:rPr>
            </w:pPr>
            <w:r>
              <w:rPr>
                <w:rFonts w:ascii="Arial" w:cs="Arial" w:eastAsia="Arial" w:hAnsi="Arial"/>
                <w:sz w:val="16"/>
                <w:szCs w:val="16"/>
                <w:i w:val="1"/>
                <w:iCs w:val="1"/>
                <w:color w:val="auto"/>
              </w:rPr>
              <w:t>Liabilities</w:t>
            </w:r>
          </w:p>
        </w:tc>
        <w:tc>
          <w:tcPr>
            <w:tcW w:w="1600" w:type="dxa"/>
            <w:vAlign w:val="bottom"/>
            <w:shd w:val="clear" w:color="auto" w:fill="CFF0FC"/>
          </w:tcPr>
          <w:p>
            <w:pPr>
              <w:spacing w:after="0"/>
              <w:rPr>
                <w:sz w:val="18"/>
                <w:szCs w:val="18"/>
                <w:color w:val="auto"/>
              </w:rPr>
            </w:pPr>
          </w:p>
        </w:tc>
      </w:tr>
      <w:tr>
        <w:trPr>
          <w:trHeight w:val="213"/>
        </w:trPr>
        <w:tc>
          <w:tcPr>
            <w:tcW w:w="1800" w:type="dxa"/>
            <w:vAlign w:val="bottom"/>
          </w:tcPr>
          <w:p>
            <w:pPr>
              <w:spacing w:after="0"/>
              <w:rPr>
                <w:sz w:val="20"/>
                <w:szCs w:val="20"/>
                <w:color w:val="auto"/>
              </w:rPr>
            </w:pPr>
            <w:r>
              <w:rPr>
                <w:rFonts w:ascii="Arial" w:cs="Arial" w:eastAsia="Arial" w:hAnsi="Arial"/>
                <w:sz w:val="16"/>
                <w:szCs w:val="16"/>
                <w:color w:val="auto"/>
              </w:rPr>
              <w:t>ASU No. 2017-01</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Business Combinations (Topic 805): Clarifying the Definition of a Business</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2018</w:t>
            </w:r>
          </w:p>
        </w:tc>
      </w:tr>
      <w:tr>
        <w:trPr>
          <w:trHeight w:val="209"/>
        </w:trPr>
        <w:tc>
          <w:tcPr>
            <w:tcW w:w="1800" w:type="dxa"/>
            <w:vAlign w:val="bottom"/>
            <w:shd w:val="clear" w:color="auto" w:fill="CFF0FC"/>
          </w:tcPr>
          <w:p>
            <w:pPr>
              <w:spacing w:after="0"/>
              <w:rPr>
                <w:sz w:val="20"/>
                <w:szCs w:val="20"/>
                <w:color w:val="auto"/>
              </w:rPr>
            </w:pPr>
            <w:r>
              <w:rPr>
                <w:rFonts w:ascii="Arial" w:cs="Arial" w:eastAsia="Arial" w:hAnsi="Arial"/>
                <w:sz w:val="16"/>
                <w:szCs w:val="16"/>
                <w:color w:val="auto"/>
              </w:rPr>
              <w:t>ASU No. 2017-05</w:t>
            </w:r>
          </w:p>
        </w:tc>
        <w:tc>
          <w:tcPr>
            <w:tcW w:w="8020" w:type="dxa"/>
            <w:vAlign w:val="bottom"/>
            <w:gridSpan w:val="3"/>
            <w:shd w:val="clear" w:color="auto" w:fill="CFF0FC"/>
          </w:tcPr>
          <w:p>
            <w:pPr>
              <w:ind w:left="120"/>
              <w:spacing w:after="0"/>
              <w:rPr>
                <w:sz w:val="20"/>
                <w:szCs w:val="20"/>
                <w:color w:val="auto"/>
              </w:rPr>
            </w:pPr>
            <w:r>
              <w:rPr>
                <w:rFonts w:ascii="Arial" w:cs="Arial" w:eastAsia="Arial" w:hAnsi="Arial"/>
                <w:sz w:val="16"/>
                <w:szCs w:val="16"/>
                <w:i w:val="1"/>
                <w:iCs w:val="1"/>
                <w:color w:val="auto"/>
                <w:w w:val="97"/>
              </w:rPr>
              <w:t>Other Income – Gains and Losses from the Derecognition of Nonfinancial Assets (Subtopic 610-20): Clarifying the</w:t>
            </w:r>
          </w:p>
        </w:tc>
        <w:tc>
          <w:tcPr>
            <w:tcW w:w="16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January 1, 2018</w:t>
            </w:r>
          </w:p>
        </w:tc>
      </w:tr>
      <w:tr>
        <w:trPr>
          <w:trHeight w:val="212"/>
        </w:trPr>
        <w:tc>
          <w:tcPr>
            <w:tcW w:w="1800" w:type="dxa"/>
            <w:vAlign w:val="bottom"/>
            <w:shd w:val="clear" w:color="auto" w:fill="CFF0FC"/>
          </w:tcPr>
          <w:p>
            <w:pPr>
              <w:spacing w:after="0"/>
              <w:rPr>
                <w:sz w:val="18"/>
                <w:szCs w:val="18"/>
                <w:color w:val="auto"/>
              </w:rPr>
            </w:pPr>
          </w:p>
        </w:tc>
        <w:tc>
          <w:tcPr>
            <w:tcW w:w="8020" w:type="dxa"/>
            <w:vAlign w:val="bottom"/>
            <w:gridSpan w:val="3"/>
            <w:shd w:val="clear" w:color="auto" w:fill="CFF0FC"/>
          </w:tcPr>
          <w:p>
            <w:pPr>
              <w:ind w:left="120"/>
              <w:spacing w:after="0"/>
              <w:rPr>
                <w:sz w:val="20"/>
                <w:szCs w:val="20"/>
                <w:color w:val="auto"/>
              </w:rPr>
            </w:pPr>
            <w:r>
              <w:rPr>
                <w:rFonts w:ascii="Arial" w:cs="Arial" w:eastAsia="Arial" w:hAnsi="Arial"/>
                <w:sz w:val="16"/>
                <w:szCs w:val="16"/>
                <w:i w:val="1"/>
                <w:iCs w:val="1"/>
                <w:color w:val="auto"/>
              </w:rPr>
              <w:t>Scope of Asset Derecognition Guidance and Accounting for Partial Sales of Nonfinancial Assets</w:t>
            </w:r>
          </w:p>
        </w:tc>
        <w:tc>
          <w:tcPr>
            <w:tcW w:w="1600" w:type="dxa"/>
            <w:vAlign w:val="bottom"/>
            <w:shd w:val="clear" w:color="auto" w:fill="CFF0FC"/>
          </w:tcPr>
          <w:p>
            <w:pPr>
              <w:spacing w:after="0"/>
              <w:rPr>
                <w:sz w:val="18"/>
                <w:szCs w:val="18"/>
                <w:color w:val="auto"/>
              </w:rPr>
            </w:pPr>
          </w:p>
        </w:tc>
      </w:tr>
      <w:tr>
        <w:trPr>
          <w:trHeight w:val="210"/>
        </w:trPr>
        <w:tc>
          <w:tcPr>
            <w:tcW w:w="1800" w:type="dxa"/>
            <w:vAlign w:val="bottom"/>
          </w:tcPr>
          <w:p>
            <w:pPr>
              <w:spacing w:after="0"/>
              <w:rPr>
                <w:sz w:val="20"/>
                <w:szCs w:val="20"/>
                <w:color w:val="auto"/>
              </w:rPr>
            </w:pPr>
            <w:r>
              <w:rPr>
                <w:rFonts w:ascii="Arial" w:cs="Arial" w:eastAsia="Arial" w:hAnsi="Arial"/>
                <w:sz w:val="16"/>
                <w:szCs w:val="16"/>
                <w:color w:val="auto"/>
              </w:rPr>
              <w:t>ASU No. 2017-12</w:t>
            </w:r>
          </w:p>
        </w:tc>
        <w:tc>
          <w:tcPr>
            <w:tcW w:w="8020" w:type="dxa"/>
            <w:vAlign w:val="bottom"/>
            <w:gridSpan w:val="3"/>
          </w:tcPr>
          <w:p>
            <w:pPr>
              <w:ind w:left="120"/>
              <w:spacing w:after="0"/>
              <w:rPr>
                <w:sz w:val="20"/>
                <w:szCs w:val="20"/>
                <w:color w:val="auto"/>
              </w:rPr>
            </w:pPr>
            <w:r>
              <w:rPr>
                <w:rFonts w:ascii="Arial" w:cs="Arial" w:eastAsia="Arial" w:hAnsi="Arial"/>
                <w:sz w:val="16"/>
                <w:szCs w:val="16"/>
                <w:i w:val="1"/>
                <w:iCs w:val="1"/>
                <w:color w:val="auto"/>
              </w:rPr>
              <w:t>Derivatives and Hedging (Topic 815): Targeted Improvements to Accounting for Hedging Activities</w:t>
            </w:r>
          </w:p>
        </w:tc>
        <w:tc>
          <w:tcPr>
            <w:tcW w:w="1600" w:type="dxa"/>
            <w:vAlign w:val="bottom"/>
          </w:tcPr>
          <w:p>
            <w:pPr>
              <w:jc w:val="center"/>
              <w:spacing w:after="0"/>
              <w:rPr>
                <w:sz w:val="20"/>
                <w:szCs w:val="20"/>
                <w:color w:val="auto"/>
              </w:rPr>
            </w:pPr>
            <w:r>
              <w:rPr>
                <w:rFonts w:ascii="Arial" w:cs="Arial" w:eastAsia="Arial" w:hAnsi="Arial"/>
                <w:sz w:val="16"/>
                <w:szCs w:val="16"/>
                <w:color w:val="auto"/>
                <w:w w:val="90"/>
              </w:rPr>
              <w:t>January 1, 2019</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comprised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84"/>
              <w:spacing w:after="0"/>
              <w:rPr>
                <w:sz w:val="20"/>
                <w:szCs w:val="20"/>
                <w:color w:val="auto"/>
              </w:rPr>
            </w:pPr>
            <w:r>
              <w:rPr>
                <w:rFonts w:ascii="Arial" w:cs="Arial" w:eastAsia="Arial" w:hAnsi="Arial"/>
                <w:sz w:val="16"/>
                <w:szCs w:val="16"/>
                <w:b w:val="1"/>
                <w:bCs w:val="1"/>
                <w:color w:val="auto"/>
              </w:rPr>
              <w:t>For Years Ended December 31,</w:t>
            </w: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Restructuring charges (a)</w:t>
            </w:r>
          </w:p>
        </w:tc>
        <w:tc>
          <w:tcPr>
            <w:tcW w:w="1060" w:type="dxa"/>
            <w:vAlign w:val="bottom"/>
            <w:shd w:val="clear" w:color="auto" w:fill="CFF0FC"/>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Gains on sales of assets</w:t>
            </w:r>
          </w:p>
        </w:tc>
        <w:tc>
          <w:tcPr>
            <w:tcW w:w="106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0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6"/>
                <w:szCs w:val="16"/>
                <w:color w:val="auto"/>
              </w:rPr>
              <w:t>Restructuring charges/other</w:t>
            </w: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380" w:type="dxa"/>
            <w:vAlign w:val="bottom"/>
            <w:vMerge w:val="continue"/>
          </w:tcPr>
          <w:p>
            <w:pPr>
              <w:spacing w:after="0"/>
              <w:rPr>
                <w:sz w:val="17"/>
                <w:szCs w:val="17"/>
                <w:color w:val="auto"/>
              </w:rPr>
            </w:pPr>
          </w:p>
        </w:tc>
        <w:tc>
          <w:tcPr>
            <w:tcW w:w="1060" w:type="dxa"/>
            <w:vAlign w:val="bottom"/>
          </w:tcPr>
          <w:p>
            <w:pPr>
              <w:jc w:val="right"/>
              <w:ind w:right="90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7"/>
                <w:szCs w:val="17"/>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40"/>
              <w:spacing w:after="0"/>
              <w:rPr>
                <w:sz w:val="20"/>
                <w:szCs w:val="20"/>
                <w:color w:val="auto"/>
              </w:rPr>
            </w:pPr>
            <w:r>
              <w:rPr>
                <w:rFonts w:ascii="Arial" w:cs="Arial" w:eastAsia="Arial" w:hAnsi="Arial"/>
                <w:sz w:val="16"/>
                <w:szCs w:val="16"/>
                <w:color w:val="auto"/>
              </w:rPr>
              <w:t>(15)</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40" w:firstLine="8"/>
        <w:spacing w:after="0" w:line="530" w:lineRule="auto"/>
        <w:tabs>
          <w:tab w:leader="none" w:pos="5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severance and benefits, accelerated depreciation, changes in estimates or other exit costs. Restructuring charges/other are recognized in Other for segment reporting purposes.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Beginning January 2017, we reorganized the product lines within our two reportable segments. We recognized a related $18 million of restructuring charges for severance and benefit costs in 2016 and an additional $3 million in 2017. Any further charges are not expected to be material. As of December 31, 2017, $16 million has been paid to terminated employees for severance and benefits.</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announced in January 2016 our intention to phase out a manufacturing facility in Greenock, Scotland. We are moving production from this facility to more cost-effective 200-millimeter TI manufacturing facilities in Germany, Japan and Maine. Total restructuring charges, primarily severance and related benefit costs associated with the expected reduction of about 350 jobs, are estimated to be about $40 million. We recognized charges of $8 million in 2017, $7 million in 2016 and $17 million in 2015. These charges were comprised of severance and benefits costs, as well as accelerated depreciation. The remaining charges are expected to be recognized through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2016</w:t>
            </w:r>
          </w:p>
        </w:tc>
        <w:tc>
          <w:tcPr>
            <w:tcW w:w="40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r>
      <w:tr>
        <w:trPr>
          <w:trHeight w:val="21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8"/>
                <w:szCs w:val="18"/>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Restructuring charges</w:t>
            </w: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Non-cash items (a)</w:t>
            </w: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(1)</w:t>
            </w:r>
          </w:p>
        </w:tc>
        <w:tc>
          <w:tcPr>
            <w:tcW w:w="10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Payments</w:t>
            </w:r>
          </w:p>
        </w:tc>
        <w:tc>
          <w:tcPr>
            <w:tcW w:w="10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(21)</w:t>
            </w:r>
          </w:p>
        </w:tc>
        <w:tc>
          <w:tcPr>
            <w:tcW w:w="10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r>
      <w:tr>
        <w:trPr>
          <w:trHeight w:val="210"/>
        </w:trPr>
        <w:tc>
          <w:tcPr>
            <w:tcW w:w="6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w:t>
            </w: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charges for impacts of accelerated depreciation and changes in exchange rates.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restructuring accrual balances are primarily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on sales of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2016, we recognized a gain of $40 million on the sale of intellectual property.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recognized $83 million of gains on sales of assets in 2015. This included $48 million associated with the sale of a site in Plano, Texas, and $34 million associated with the sale of a manufacturing facility in Houston, Texas.</w:t>
      </w:r>
    </w:p>
    <w:p>
      <w:pPr>
        <w:spacing w:after="0" w:line="224"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and generally vest ratably over four years. Our options continue to vest after the option recipient retires.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jc w:val="both"/>
        <w:ind w:right="60"/>
        <w:spacing w:after="0" w:line="286" w:lineRule="auto"/>
        <w:rPr>
          <w:sz w:val="20"/>
          <w:szCs w:val="20"/>
          <w:color w:val="auto"/>
        </w:rPr>
      </w:pPr>
      <w:r>
        <w:rPr>
          <w:rFonts w:ascii="Arial" w:cs="Arial" w:eastAsia="Arial" w:hAnsi="Arial"/>
          <w:sz w:val="17"/>
          <w:szCs w:val="17"/>
          <w:color w:val="auto"/>
        </w:rPr>
        <w:t>We also have RSUs outstanding under long-term incentive plans. Each RSU represents the right to receive one share of TI common stock on the vesting date, which is generally four years after the date of grant. Upon vesting, the shares are issued without payment by the grantee. Our RSUs continue to vest after the recipient retires. Holders of RSUs receive an annual cash payment equivalent to the dividends paid on our common stock.</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6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w w:val="90"/>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560" w:type="dxa"/>
            <w:vAlign w:val="bottom"/>
            <w:tcBorders>
              <w:bottom w:val="single" w:sz="8" w:color="CFF0FC"/>
            </w:tcBorders>
          </w:tcPr>
          <w:p>
            <w:pPr>
              <w:spacing w:after="0"/>
              <w:rPr>
                <w:sz w:val="18"/>
                <w:szCs w:val="18"/>
                <w:color w:val="auto"/>
              </w:rPr>
            </w:pPr>
          </w:p>
        </w:tc>
        <w:tc>
          <w:tcPr>
            <w:tcW w:w="326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COR</w:t>
            </w:r>
          </w:p>
        </w:tc>
        <w:tc>
          <w:tcPr>
            <w:tcW w:w="3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FF0FC"/>
          </w:tcPr>
          <w:p>
            <w:pPr>
              <w:spacing w:after="0"/>
              <w:rPr>
                <w:sz w:val="18"/>
                <w:szCs w:val="18"/>
                <w:color w:val="auto"/>
              </w:rPr>
            </w:pPr>
          </w:p>
        </w:tc>
      </w:tr>
      <w:tr>
        <w:trPr>
          <w:trHeight w:val="213"/>
        </w:trPr>
        <w:tc>
          <w:tcPr>
            <w:tcW w:w="4560" w:type="dxa"/>
            <w:vAlign w:val="bottom"/>
          </w:tcPr>
          <w:p>
            <w:pPr>
              <w:spacing w:after="0"/>
              <w:rPr>
                <w:sz w:val="20"/>
                <w:szCs w:val="20"/>
                <w:color w:val="auto"/>
              </w:rPr>
            </w:pPr>
            <w:r>
              <w:rPr>
                <w:rFonts w:ascii="Arial" w:cs="Arial" w:eastAsia="Arial" w:hAnsi="Arial"/>
                <w:sz w:val="16"/>
                <w:szCs w:val="16"/>
                <w:color w:val="auto"/>
              </w:rPr>
              <w:t>R&amp;D</w:t>
            </w:r>
          </w:p>
        </w:tc>
        <w:tc>
          <w:tcPr>
            <w:tcW w:w="3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r>
      <w:tr>
        <w:trPr>
          <w:trHeight w:val="219"/>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SG&amp;A</w:t>
            </w:r>
          </w:p>
        </w:tc>
        <w:tc>
          <w:tcPr>
            <w:tcW w:w="3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147</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FF0FC"/>
          </w:tcPr>
          <w:p>
            <w:pPr>
              <w:spacing w:after="0"/>
              <w:rPr>
                <w:sz w:val="19"/>
                <w:szCs w:val="19"/>
                <w:color w:val="auto"/>
              </w:rPr>
            </w:pPr>
          </w:p>
        </w:tc>
      </w:tr>
      <w:tr>
        <w:trPr>
          <w:trHeight w:val="21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Acquisition charges</w:t>
            </w:r>
          </w:p>
        </w:tc>
        <w:tc>
          <w:tcPr>
            <w:tcW w:w="326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FF0FC"/>
            </w:tcBorders>
          </w:tcPr>
          <w:p>
            <w:pPr>
              <w:spacing w:after="0"/>
              <w:rPr>
                <w:sz w:val="18"/>
                <w:szCs w:val="18"/>
                <w:color w:val="auto"/>
              </w:rPr>
            </w:pPr>
          </w:p>
        </w:tc>
      </w:tr>
      <w:tr>
        <w:trPr>
          <w:trHeight w:val="210"/>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32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242</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FF0FC"/>
          </w:tcPr>
          <w:p>
            <w:pPr>
              <w:spacing w:after="0"/>
              <w:rPr>
                <w:sz w:val="18"/>
                <w:szCs w:val="18"/>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3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employee stock purchase plan and are net of estimated forfeitures.</w:t>
      </w:r>
    </w:p>
    <w:p>
      <w:pPr>
        <w:spacing w:after="0" w:line="17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employee stock purchase plan are expensed over a three-month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methods and assumptions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account for all awards granted under our various stock compensation plans at fair value. We estimate the fair values for non-qualified stock options using the Black-Scholes-Merton option-pricing model with the following weighted average assumptions: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6"/>
                <w:szCs w:val="16"/>
                <w:b w:val="1"/>
                <w:bCs w:val="1"/>
                <w:color w:val="auto"/>
              </w:rPr>
              <w:t>For Years Ended December 31,</w:t>
            </w:r>
          </w:p>
        </w:tc>
        <w:tc>
          <w:tcPr>
            <w:tcW w:w="6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7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95"/>
              </w:rPr>
              <w:t>2015</w:t>
            </w:r>
          </w:p>
        </w:tc>
        <w:tc>
          <w:tcPr>
            <w:tcW w:w="140" w:type="dxa"/>
            <w:vAlign w:val="bottom"/>
            <w:tcBorders>
              <w:bottom w:val="single" w:sz="8" w:color="CFF0FC"/>
            </w:tcBorders>
          </w:tcPr>
          <w:p>
            <w:pPr>
              <w:spacing w:after="0"/>
              <w:rPr>
                <w:sz w:val="18"/>
                <w:szCs w:val="18"/>
                <w:color w:val="auto"/>
              </w:rPr>
            </w:pPr>
          </w:p>
        </w:tc>
      </w:tr>
      <w:tr>
        <w:trPr>
          <w:trHeight w:val="212"/>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 per share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16.49</w:t>
            </w:r>
          </w:p>
        </w:tc>
        <w:tc>
          <w:tcPr>
            <w:tcW w:w="3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w:t>
            </w:r>
          </w:p>
        </w:tc>
        <w:tc>
          <w:tcPr>
            <w:tcW w:w="2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w:t>
            </w:r>
          </w:p>
        </w:tc>
        <w:tc>
          <w:tcPr>
            <w:tcW w:w="140" w:type="dxa"/>
            <w:vAlign w:val="bottom"/>
            <w:shd w:val="clear" w:color="auto" w:fill="CFF0FC"/>
          </w:tcPr>
          <w:p>
            <w:pPr>
              <w:spacing w:after="0"/>
              <w:rPr>
                <w:sz w:val="18"/>
                <w:szCs w:val="18"/>
                <w:color w:val="auto"/>
              </w:rPr>
            </w:pPr>
          </w:p>
        </w:tc>
      </w:tr>
      <w:tr>
        <w:trPr>
          <w:trHeight w:val="213"/>
        </w:trPr>
        <w:tc>
          <w:tcPr>
            <w:tcW w:w="7700" w:type="dxa"/>
            <w:vAlign w:val="bottom"/>
          </w:tcPr>
          <w:p>
            <w:pPr>
              <w:spacing w:after="0"/>
              <w:rPr>
                <w:sz w:val="20"/>
                <w:szCs w:val="20"/>
                <w:color w:val="auto"/>
              </w:rPr>
            </w:pPr>
            <w:r>
              <w:rPr>
                <w:rFonts w:ascii="Arial" w:cs="Arial" w:eastAsia="Arial" w:hAnsi="Arial"/>
                <w:sz w:val="16"/>
                <w:szCs w:val="16"/>
                <w:color w:val="auto"/>
              </w:rPr>
              <w:t>Weighted average assumptions used: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Expected volatility</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w:t>
            </w:r>
          </w:p>
        </w:tc>
      </w:tr>
      <w:tr>
        <w:trPr>
          <w:trHeight w:val="213"/>
        </w:trPr>
        <w:tc>
          <w:tcPr>
            <w:tcW w:w="7700" w:type="dxa"/>
            <w:vAlign w:val="bottom"/>
          </w:tcPr>
          <w:p>
            <w:pPr>
              <w:ind w:left="140"/>
              <w:spacing w:after="0"/>
              <w:rPr>
                <w:sz w:val="20"/>
                <w:szCs w:val="20"/>
                <w:color w:val="auto"/>
              </w:rPr>
            </w:pPr>
            <w:r>
              <w:rPr>
                <w:rFonts w:ascii="Arial" w:cs="Arial" w:eastAsia="Arial" w:hAnsi="Arial"/>
                <w:sz w:val="16"/>
                <w:szCs w:val="16"/>
                <w:color w:val="auto"/>
              </w:rPr>
              <w:t>Expected lives (in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w:t>
            </w:r>
          </w:p>
        </w:tc>
        <w:tc>
          <w:tcPr>
            <w:tcW w:w="140" w:type="dxa"/>
            <w:vAlign w:val="bottom"/>
          </w:tcPr>
          <w:p>
            <w:pPr>
              <w:spacing w:after="0"/>
              <w:rPr>
                <w:sz w:val="18"/>
                <w:szCs w:val="18"/>
                <w:color w:val="auto"/>
              </w:rPr>
            </w:pPr>
          </w:p>
        </w:tc>
      </w:tr>
      <w:tr>
        <w:trPr>
          <w:trHeight w:val="219"/>
        </w:trPr>
        <w:tc>
          <w:tcPr>
            <w:tcW w:w="77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Risk-free interest rates</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2.36%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1.64%</w:t>
            </w:r>
          </w:p>
        </w:tc>
      </w:tr>
      <w:tr>
        <w:trPr>
          <w:trHeight w:val="210"/>
        </w:trPr>
        <w:tc>
          <w:tcPr>
            <w:tcW w:w="7700" w:type="dxa"/>
            <w:vAlign w:val="bottom"/>
          </w:tcPr>
          <w:p>
            <w:pPr>
              <w:ind w:left="140"/>
              <w:spacing w:after="0"/>
              <w:rPr>
                <w:sz w:val="20"/>
                <w:szCs w:val="20"/>
                <w:color w:val="auto"/>
              </w:rPr>
            </w:pPr>
            <w:r>
              <w:rPr>
                <w:rFonts w:ascii="Arial" w:cs="Arial" w:eastAsia="Arial" w:hAnsi="Arial"/>
                <w:sz w:val="16"/>
                <w:szCs w:val="16"/>
                <w:color w:val="auto"/>
              </w:rPr>
              <w:t>Expected dividend yields</w:t>
            </w: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2.52%</w:t>
            </w:r>
          </w:p>
        </w:tc>
      </w:tr>
    </w:tbl>
    <w:p>
      <w:pPr>
        <w:spacing w:after="0" w:line="20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yields are based on the annualized approved quarterly dividend rate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Black-Scholes-Merton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362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Stock Options</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4"/>
          </w:tcPr>
          <w:p>
            <w:pPr>
              <w:jc w:val="center"/>
              <w:ind w:right="1520"/>
              <w:spacing w:after="0"/>
              <w:rPr>
                <w:sz w:val="20"/>
                <w:szCs w:val="20"/>
                <w:color w:val="auto"/>
              </w:rPr>
            </w:pPr>
            <w:r>
              <w:rPr>
                <w:rFonts w:ascii="Arial" w:cs="Arial" w:eastAsia="Arial" w:hAnsi="Arial"/>
                <w:sz w:val="16"/>
                <w:szCs w:val="16"/>
                <w:b w:val="1"/>
                <w:bCs w:val="1"/>
                <w:color w:val="auto"/>
                <w:w w:val="93"/>
              </w:rPr>
              <w:t>RSUs</w:t>
            </w:r>
          </w:p>
        </w:tc>
      </w:tr>
      <w:tr>
        <w:trPr>
          <w:trHeight w:val="207"/>
        </w:trPr>
        <w:tc>
          <w:tcPr>
            <w:tcW w:w="43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34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Weighted Average</w:t>
            </w:r>
          </w:p>
        </w:tc>
        <w:tc>
          <w:tcPr>
            <w:tcW w:w="120" w:type="dxa"/>
            <w:vAlign w:val="bottom"/>
          </w:tcPr>
          <w:p>
            <w:pPr>
              <w:spacing w:after="0"/>
              <w:rPr>
                <w:sz w:val="17"/>
                <w:szCs w:val="17"/>
                <w:color w:val="auto"/>
              </w:rPr>
            </w:pPr>
          </w:p>
        </w:tc>
      </w:tr>
      <w:tr>
        <w:trPr>
          <w:trHeight w:val="216"/>
        </w:trPr>
        <w:tc>
          <w:tcPr>
            <w:tcW w:w="4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Exercise Price</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Grant Date Fair</w:t>
            </w:r>
          </w:p>
        </w:tc>
      </w:tr>
      <w:tr>
        <w:trPr>
          <w:trHeight w:val="219"/>
        </w:trPr>
        <w:tc>
          <w:tcPr>
            <w:tcW w:w="43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34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Value per Share</w:t>
            </w:r>
          </w:p>
        </w:tc>
        <w:tc>
          <w:tcPr>
            <w:tcW w:w="120" w:type="dxa"/>
            <w:vAlign w:val="bottom"/>
            <w:tcBorders>
              <w:bottom w:val="single" w:sz="8" w:color="CFF0FC"/>
            </w:tcBorders>
          </w:tcPr>
          <w:p>
            <w:pPr>
              <w:spacing w:after="0"/>
              <w:rPr>
                <w:sz w:val="19"/>
                <w:szCs w:val="19"/>
                <w:color w:val="auto"/>
              </w:rPr>
            </w:pPr>
          </w:p>
        </w:tc>
      </w:tr>
      <w:tr>
        <w:trPr>
          <w:trHeight w:val="213"/>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Outstanding grants, December 31, 2016</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52,265,788</w:t>
            </w:r>
          </w:p>
        </w:tc>
        <w:tc>
          <w:tcPr>
            <w:tcW w:w="2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41.89</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12,332,379</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44.44</w:t>
            </w:r>
          </w:p>
        </w:tc>
        <w:tc>
          <w:tcPr>
            <w:tcW w:w="120" w:type="dxa"/>
            <w:vAlign w:val="bottom"/>
            <w:shd w:val="clear" w:color="auto" w:fill="CFF0FC"/>
          </w:tcPr>
          <w:p>
            <w:pPr>
              <w:spacing w:after="0"/>
              <w:rPr>
                <w:sz w:val="18"/>
                <w:szCs w:val="18"/>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6"/>
                <w:szCs w:val="16"/>
                <w:b w:val="1"/>
                <w:bCs w:val="1"/>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6,474,732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79.28</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1,604,469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79.52</w:t>
            </w:r>
          </w:p>
        </w:tc>
        <w:tc>
          <w:tcPr>
            <w:tcW w:w="120" w:type="dxa"/>
            <w:vAlign w:val="bottom"/>
          </w:tcPr>
          <w:p>
            <w:pPr>
              <w:spacing w:after="0"/>
              <w:rPr>
                <w:sz w:val="18"/>
                <w:szCs w:val="18"/>
                <w:color w:val="auto"/>
              </w:rPr>
            </w:pPr>
          </w:p>
        </w:tc>
      </w:tr>
      <w:tr>
        <w:trPr>
          <w:trHeight w:val="222"/>
        </w:trPr>
        <w:tc>
          <w:tcPr>
            <w:tcW w:w="4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 options exercised/RSUs vested</w:t>
            </w: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rPr>
              <w:t>(13,313,019)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37.13</w:t>
            </w:r>
          </w:p>
        </w:tc>
        <w:tc>
          <w:tcPr>
            <w:tcW w:w="3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(4,419,464)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33.65</w:t>
            </w:r>
          </w:p>
        </w:tc>
        <w:tc>
          <w:tcPr>
            <w:tcW w:w="120" w:type="dxa"/>
            <w:vAlign w:val="bottom"/>
            <w:shd w:val="clear" w:color="auto" w:fill="CFF0FC"/>
          </w:tcPr>
          <w:p>
            <w:pPr>
              <w:spacing w:after="0"/>
              <w:rPr>
                <w:sz w:val="19"/>
                <w:szCs w:val="19"/>
                <w:color w:val="auto"/>
              </w:rPr>
            </w:pPr>
          </w:p>
        </w:tc>
      </w:tr>
      <w:tr>
        <w:trPr>
          <w:trHeight w:val="213"/>
        </w:trPr>
        <w:tc>
          <w:tcPr>
            <w:tcW w:w="4360" w:type="dxa"/>
            <w:vAlign w:val="bottom"/>
          </w:tcPr>
          <w:p>
            <w:pPr>
              <w:spacing w:after="0"/>
              <w:rPr>
                <w:sz w:val="20"/>
                <w:szCs w:val="20"/>
                <w:color w:val="auto"/>
              </w:rPr>
            </w:pPr>
            <w:r>
              <w:rPr>
                <w:rFonts w:ascii="Arial" w:cs="Arial" w:eastAsia="Arial" w:hAnsi="Arial"/>
                <w:sz w:val="16"/>
                <w:szCs w:val="16"/>
                <w:b w:val="1"/>
                <w:bCs w:val="1"/>
                <w:color w:val="auto"/>
              </w:rPr>
              <w:t>Forfeited and expired</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(672,908)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57.12</w:t>
            </w:r>
          </w:p>
        </w:tc>
        <w:tc>
          <w:tcPr>
            <w:tcW w:w="3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(291,741)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54.34</w:t>
            </w:r>
          </w:p>
        </w:tc>
        <w:tc>
          <w:tcPr>
            <w:tcW w:w="120" w:type="dxa"/>
            <w:vAlign w:val="bottom"/>
          </w:tcPr>
          <w:p>
            <w:pPr>
              <w:spacing w:after="0"/>
              <w:rPr>
                <w:sz w:val="18"/>
                <w:szCs w:val="18"/>
                <w:color w:val="auto"/>
              </w:rPr>
            </w:pPr>
          </w:p>
        </w:tc>
      </w:tr>
      <w:tr>
        <w:trPr>
          <w:trHeight w:val="210"/>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Outstanding grants, December 31, 2017</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44,754,593</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5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48.49</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9,225,643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55.40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weighted average grant date fair values per share of RSUs granted in 2017, 2016 and 2015 were $79.52, $53.98 and $53.22, respectively. In 2017, 2016 and 2015, the total grant date fair values of shares vested from RSU grants were $149 million, $178 million and $114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number of shares remaining available for future issuance under these plans was 53,595,374.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as of December 31, 2017,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00" w:type="dxa"/>
            <w:vAlign w:val="bottom"/>
            <w:gridSpan w:val="2"/>
          </w:tcPr>
          <w:p>
            <w:pPr>
              <w:ind w:left="280"/>
              <w:spacing w:after="0"/>
              <w:rPr>
                <w:sz w:val="20"/>
                <w:szCs w:val="20"/>
                <w:color w:val="auto"/>
              </w:rPr>
            </w:pPr>
            <w:r>
              <w:rPr>
                <w:rFonts w:ascii="Arial" w:cs="Arial" w:eastAsia="Arial" w:hAnsi="Arial"/>
                <w:sz w:val="16"/>
                <w:szCs w:val="16"/>
                <w:b w:val="1"/>
                <w:bCs w:val="1"/>
                <w:color w:val="auto"/>
                <w:w w:val="96"/>
              </w:rPr>
              <w:t>Stock Options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80" w:type="dxa"/>
            <w:vAlign w:val="bottom"/>
            <w:gridSpan w:val="5"/>
          </w:tcPr>
          <w:p>
            <w:pPr>
              <w:ind w:left="980"/>
              <w:spacing w:after="0"/>
              <w:rPr>
                <w:sz w:val="20"/>
                <w:szCs w:val="20"/>
                <w:color w:val="auto"/>
              </w:rPr>
            </w:pPr>
            <w:r>
              <w:rPr>
                <w:rFonts w:ascii="Arial" w:cs="Arial" w:eastAsia="Arial" w:hAnsi="Arial"/>
                <w:sz w:val="16"/>
                <w:szCs w:val="16"/>
                <w:b w:val="1"/>
                <w:bCs w:val="1"/>
                <w:color w:val="auto"/>
              </w:rPr>
              <w:t>Options Exercisable</w:t>
            </w:r>
          </w:p>
        </w:tc>
      </w:tr>
      <w:tr>
        <w:trPr>
          <w:trHeight w:val="207"/>
        </w:trPr>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Number</w:t>
            </w:r>
          </w:p>
        </w:tc>
        <w:tc>
          <w:tcPr>
            <w:tcW w:w="30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Weighted Average</w:t>
            </w:r>
          </w:p>
        </w:tc>
        <w:tc>
          <w:tcPr>
            <w:tcW w:w="300" w:type="dxa"/>
            <w:vAlign w:val="bottom"/>
          </w:tcPr>
          <w:p>
            <w:pPr>
              <w:spacing w:after="0"/>
              <w:rPr>
                <w:sz w:val="17"/>
                <w:szCs w:val="17"/>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3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7"/>
                <w:szCs w:val="17"/>
                <w:color w:val="auto"/>
              </w:rPr>
            </w:pPr>
          </w:p>
        </w:tc>
      </w:tr>
      <w:tr>
        <w:trPr>
          <w:trHeight w:val="216"/>
        </w:trPr>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Exercise Price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300" w:type="dxa"/>
            <w:vAlign w:val="bottom"/>
          </w:tcPr>
          <w:p>
            <w:pPr>
              <w:spacing w:after="0"/>
              <w:rPr>
                <w:sz w:val="18"/>
                <w:szCs w:val="18"/>
                <w:color w:val="auto"/>
              </w:rPr>
            </w:pPr>
          </w:p>
        </w:tc>
        <w:tc>
          <w:tcPr>
            <w:tcW w:w="2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Remaining 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Exercise Price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r>
      <w:tr>
        <w:trPr>
          <w:trHeight w:val="219"/>
        </w:trPr>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Range</w:t>
            </w:r>
          </w:p>
        </w:tc>
        <w:tc>
          <w:tcPr>
            <w:tcW w:w="18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w:t>
            </w:r>
          </w:p>
        </w:tc>
        <w:tc>
          <w:tcPr>
            <w:tcW w:w="300" w:type="dxa"/>
            <w:vAlign w:val="bottom"/>
            <w:tcBorders>
              <w:bottom w:val="single" w:sz="8" w:color="CFF0FC"/>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 (Years)</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per Share</w:t>
            </w:r>
          </w:p>
        </w:tc>
        <w:tc>
          <w:tcPr>
            <w:tcW w:w="30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(Shares)</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per Share</w:t>
            </w:r>
          </w:p>
        </w:tc>
        <w:tc>
          <w:tcPr>
            <w:tcW w:w="100" w:type="dxa"/>
            <w:vAlign w:val="bottom"/>
            <w:tcBorders>
              <w:bottom w:val="single" w:sz="8" w:color="CFF0FC"/>
            </w:tcBorders>
          </w:tcPr>
          <w:p>
            <w:pPr>
              <w:spacing w:after="0"/>
              <w:rPr>
                <w:sz w:val="19"/>
                <w:szCs w:val="19"/>
                <w:color w:val="auto"/>
              </w:rPr>
            </w:pPr>
          </w:p>
        </w:tc>
      </w:tr>
      <w:tr>
        <w:trPr>
          <w:trHeight w:val="213"/>
        </w:trPr>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14.47 to 20.00</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1,230,810</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1,230,810</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w:t>
            </w:r>
          </w:p>
        </w:tc>
        <w:tc>
          <w:tcPr>
            <w:tcW w:w="100" w:type="dxa"/>
            <w:vAlign w:val="bottom"/>
            <w:shd w:val="clear" w:color="auto" w:fill="CFF0FC"/>
          </w:tcPr>
          <w:p>
            <w:pPr>
              <w:spacing w:after="0"/>
              <w:rPr>
                <w:sz w:val="18"/>
                <w:szCs w:val="18"/>
                <w:color w:val="auto"/>
              </w:rPr>
            </w:pPr>
          </w:p>
        </w:tc>
      </w:tr>
      <w:tr>
        <w:trPr>
          <w:trHeight w:val="213"/>
        </w:trPr>
        <w:tc>
          <w:tcPr>
            <w:tcW w:w="22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6"/>
                <w:szCs w:val="16"/>
                <w:color w:val="auto"/>
              </w:rPr>
              <w:t>20.01 to 30.00</w:t>
            </w:r>
          </w:p>
        </w:tc>
        <w:tc>
          <w:tcPr>
            <w:tcW w:w="1360" w:type="dxa"/>
            <w:vAlign w:val="bottom"/>
          </w:tcPr>
          <w:p>
            <w:pPr>
              <w:jc w:val="right"/>
              <w:spacing w:after="0"/>
              <w:rPr>
                <w:sz w:val="20"/>
                <w:szCs w:val="20"/>
                <w:color w:val="auto"/>
              </w:rPr>
            </w:pPr>
            <w:r>
              <w:rPr>
                <w:rFonts w:ascii="Arial" w:cs="Arial" w:eastAsia="Arial" w:hAnsi="Arial"/>
                <w:sz w:val="16"/>
                <w:szCs w:val="16"/>
                <w:color w:val="auto"/>
              </w:rPr>
              <w:t>2,559,613</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23.86</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2,559,613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23.86</w:t>
            </w:r>
          </w:p>
        </w:tc>
        <w:tc>
          <w:tcPr>
            <w:tcW w:w="100" w:type="dxa"/>
            <w:vAlign w:val="bottom"/>
          </w:tcPr>
          <w:p>
            <w:pPr>
              <w:spacing w:after="0"/>
              <w:rPr>
                <w:sz w:val="18"/>
                <w:szCs w:val="18"/>
                <w:color w:val="auto"/>
              </w:rPr>
            </w:pPr>
          </w:p>
        </w:tc>
      </w:tr>
      <w:tr>
        <w:trPr>
          <w:trHeight w:val="219"/>
        </w:trPr>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30.01 to 40.00</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9,441,380</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9,441,380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33.02</w:t>
            </w:r>
          </w:p>
        </w:tc>
        <w:tc>
          <w:tcPr>
            <w:tcW w:w="100" w:type="dxa"/>
            <w:vAlign w:val="bottom"/>
            <w:shd w:val="clear" w:color="auto" w:fill="CFF0FC"/>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6"/>
                <w:szCs w:val="16"/>
                <w:color w:val="auto"/>
              </w:rPr>
              <w:t>40.01 to 50.00</w:t>
            </w:r>
          </w:p>
        </w:tc>
        <w:tc>
          <w:tcPr>
            <w:tcW w:w="1360" w:type="dxa"/>
            <w:vAlign w:val="bottom"/>
          </w:tcPr>
          <w:p>
            <w:pPr>
              <w:jc w:val="right"/>
              <w:spacing w:after="0"/>
              <w:rPr>
                <w:sz w:val="20"/>
                <w:szCs w:val="20"/>
                <w:color w:val="auto"/>
              </w:rPr>
            </w:pPr>
            <w:r>
              <w:rPr>
                <w:rFonts w:ascii="Arial" w:cs="Arial" w:eastAsia="Arial" w:hAnsi="Arial"/>
                <w:sz w:val="16"/>
                <w:szCs w:val="16"/>
                <w:color w:val="auto"/>
              </w:rPr>
              <w:t>7,466,229</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44.10</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4,403,409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Pr>
          <w:p>
            <w:pPr>
              <w:spacing w:after="0"/>
              <w:rPr>
                <w:sz w:val="18"/>
                <w:szCs w:val="18"/>
                <w:color w:val="auto"/>
              </w:rPr>
            </w:pPr>
          </w:p>
        </w:tc>
      </w:tr>
      <w:tr>
        <w:trPr>
          <w:trHeight w:val="219"/>
        </w:trPr>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50.01 to 60.00</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17,689,385</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53.42</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4,472,432</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w:t>
            </w:r>
          </w:p>
        </w:tc>
        <w:tc>
          <w:tcPr>
            <w:tcW w:w="100" w:type="dxa"/>
            <w:vAlign w:val="bottom"/>
            <w:shd w:val="clear" w:color="auto" w:fill="CFF0FC"/>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6"/>
                <w:szCs w:val="16"/>
                <w:color w:val="auto"/>
              </w:rPr>
              <w:t>60.01 to 70.00</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70.01 to 80.00</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6,347,174</w:t>
            </w:r>
          </w:p>
        </w:tc>
        <w:tc>
          <w:tcPr>
            <w:tcW w:w="2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79.19</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6,470</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71.03</w:t>
            </w:r>
          </w:p>
        </w:tc>
        <w:tc>
          <w:tcPr>
            <w:tcW w:w="100" w:type="dxa"/>
            <w:vAlign w:val="bottom"/>
            <w:shd w:val="clear" w:color="auto" w:fill="CFF0FC"/>
          </w:tcPr>
          <w:p>
            <w:pPr>
              <w:spacing w:after="0"/>
              <w:rPr>
                <w:sz w:val="19"/>
                <w:szCs w:val="19"/>
                <w:color w:val="auto"/>
              </w:rPr>
            </w:pPr>
          </w:p>
        </w:tc>
      </w:tr>
      <w:tr>
        <w:trPr>
          <w:trHeight w:val="213"/>
        </w:trPr>
        <w:tc>
          <w:tcPr>
            <w:tcW w:w="22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gridSpan w:val="2"/>
          </w:tcPr>
          <w:p>
            <w:pPr>
              <w:ind w:left="520"/>
              <w:spacing w:after="0"/>
              <w:rPr>
                <w:sz w:val="20"/>
                <w:szCs w:val="20"/>
                <w:color w:val="auto"/>
              </w:rPr>
            </w:pPr>
            <w:r>
              <w:rPr>
                <w:rFonts w:ascii="Arial" w:cs="Arial" w:eastAsia="Arial" w:hAnsi="Arial"/>
                <w:sz w:val="16"/>
                <w:szCs w:val="16"/>
                <w:color w:val="auto"/>
              </w:rPr>
              <w:t>80.01 to 97.29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20,002</w:t>
            </w:r>
          </w:p>
        </w:tc>
        <w:tc>
          <w:tcPr>
            <w:tcW w:w="24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9.7</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5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88.81</w:t>
            </w:r>
          </w:p>
        </w:tc>
        <w:tc>
          <w:tcPr>
            <w:tcW w:w="30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2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6"/>
                <w:szCs w:val="16"/>
                <w:color w:val="auto"/>
              </w:rPr>
              <w:t>14.47 to 97.29</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44,754,593</w:t>
            </w:r>
          </w:p>
        </w:tc>
        <w:tc>
          <w:tcPr>
            <w:tcW w:w="24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48.49</w:t>
            </w:r>
          </w:p>
        </w:tc>
        <w:tc>
          <w:tcPr>
            <w:tcW w:w="3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22,114,114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37.34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2017, 2016 and 2015, the aggregate intrinsic values (i.e., the difference in the closing market price on the date of exercise and the exercise price paid by the optionee) of options exercised were $632 million, $424 million and $290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2017, about outstanding stock options that are vested and expected to vest, as well as stock options that are currently exercisable,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Outstanding Stock Options</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(Fully Vested and</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r>
      <w:tr>
        <w:trPr>
          <w:trHeight w:val="219"/>
        </w:trPr>
        <w:tc>
          <w:tcPr>
            <w:tcW w:w="49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Expected to Vest) (a)</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Exercisable</w:t>
            </w:r>
          </w:p>
        </w:tc>
      </w:tr>
      <w:tr>
        <w:trPr>
          <w:trHeight w:val="21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Number of outstanding (shares)</w:t>
            </w:r>
          </w:p>
        </w:tc>
        <w:tc>
          <w:tcPr>
            <w:tcW w:w="14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43,804,402</w:t>
            </w:r>
          </w:p>
        </w:tc>
        <w:tc>
          <w:tcPr>
            <w:tcW w:w="3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22,114,114</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4940" w:type="dxa"/>
            <w:vAlign w:val="bottom"/>
          </w:tcPr>
          <w:p>
            <w:pPr>
              <w:spacing w:after="0"/>
              <w:rPr>
                <w:sz w:val="20"/>
                <w:szCs w:val="20"/>
                <w:color w:val="auto"/>
              </w:rPr>
            </w:pPr>
            <w:r>
              <w:rPr>
                <w:rFonts w:ascii="Arial" w:cs="Arial" w:eastAsia="Arial" w:hAnsi="Arial"/>
                <w:sz w:val="16"/>
                <w:szCs w:val="16"/>
                <w:color w:val="auto"/>
              </w:rPr>
              <w:t>Weighted average remaining contractual life (in years)</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 per share</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48.12</w:t>
            </w:r>
          </w:p>
        </w:tc>
        <w:tc>
          <w:tcPr>
            <w:tcW w:w="7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37.34</w:t>
            </w:r>
          </w:p>
        </w:tc>
        <w:tc>
          <w:tcPr>
            <w:tcW w:w="100" w:type="dxa"/>
            <w:vAlign w:val="bottom"/>
            <w:shd w:val="clear" w:color="auto" w:fill="CFF0FC"/>
          </w:tcPr>
          <w:p>
            <w:pPr>
              <w:spacing w:after="0"/>
              <w:rPr>
                <w:sz w:val="19"/>
                <w:szCs w:val="19"/>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6"/>
                <w:szCs w:val="16"/>
                <w:color w:val="auto"/>
              </w:rPr>
              <w:t>Intrinsic value (millions of dollars)</w:t>
            </w: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300" w:type="dxa"/>
            <w:vAlign w:val="bottom"/>
          </w:tcPr>
          <w:p>
            <w:pPr>
              <w:jc w:val="right"/>
              <w:spacing w:after="0"/>
              <w:rPr>
                <w:sz w:val="20"/>
                <w:szCs w:val="20"/>
                <w:color w:val="auto"/>
              </w:rPr>
            </w:pPr>
            <w:r>
              <w:rPr>
                <w:rFonts w:ascii="Arial" w:cs="Arial" w:eastAsia="Arial" w:hAnsi="Arial"/>
                <w:sz w:val="16"/>
                <w:szCs w:val="16"/>
                <w:color w:val="auto"/>
              </w:rPr>
              <w:t>2,467</w:t>
            </w:r>
          </w:p>
        </w:tc>
        <w:tc>
          <w:tcPr>
            <w:tcW w:w="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8"/>
                <w:szCs w:val="18"/>
                <w:color w:val="auto"/>
              </w:rPr>
            </w:pPr>
          </w:p>
        </w:tc>
      </w:tr>
    </w:tbl>
    <w:p>
      <w:pPr>
        <w:spacing w:after="0" w:line="208" w:lineRule="exact"/>
        <w:rPr>
          <w:sz w:val="20"/>
          <w:szCs w:val="20"/>
          <w:color w:val="auto"/>
        </w:rPr>
      </w:pPr>
    </w:p>
    <w:p>
      <w:pPr>
        <w:ind w:left="520" w:hanging="512"/>
        <w:spacing w:after="0" w:line="277"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1 million shares. Excluding the effects of expected forfeitures, the aggregate intrinsic value of stock options outstanding was $2,504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ind w:right="80"/>
        <w:spacing w:after="0" w:line="264" w:lineRule="auto"/>
        <w:rPr>
          <w:sz w:val="20"/>
          <w:szCs w:val="20"/>
          <w:color w:val="auto"/>
        </w:rPr>
      </w:pPr>
      <w:r>
        <w:rPr>
          <w:rFonts w:ascii="Arial" w:cs="Arial" w:eastAsia="Arial" w:hAnsi="Arial"/>
          <w:sz w:val="18"/>
          <w:szCs w:val="18"/>
          <w:color w:val="auto"/>
        </w:rPr>
        <w:t>As of December 31, 2017, the total future compensation cost related to equity awards not yet recognized in our Consolidated Statements of Income was $237 million, consisting of $108 million related to unvested stock options and $129 million related to unvested RSUs. The $237 million is expected to be recognized as follows: $123 million in 2018, $73 million in 2019, $37 million in 2020 and $4 million in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Options outstanding under the employee stock purchase plan as of December 31, 2017, had an exercise price equal to 85 percent of the fair market value of TI common stock on the date of automatic exercise. The automatic exercise occurred on January 2, 2018, resulting in an exercise price of $89.74 per share. Of the total outstanding options, none were exercisable as of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transactions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Employee Stock</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00" w:type="dxa"/>
            <w:vAlign w:val="bottom"/>
          </w:tcPr>
          <w:p>
            <w:pPr>
              <w:spacing w:after="0"/>
              <w:rPr>
                <w:sz w:val="18"/>
                <w:szCs w:val="18"/>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Purchase Plan</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800" w:type="dxa"/>
            <w:vAlign w:val="bottom"/>
          </w:tcPr>
          <w:p>
            <w:pPr>
              <w:spacing w:after="0"/>
              <w:rPr>
                <w:sz w:val="19"/>
                <w:szCs w:val="19"/>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(Shares)</w:t>
            </w:r>
          </w:p>
        </w:tc>
        <w:tc>
          <w:tcPr>
            <w:tcW w:w="220" w:type="dxa"/>
            <w:vAlign w:val="bottom"/>
          </w:tcPr>
          <w:p>
            <w:pPr>
              <w:spacing w:after="0"/>
              <w:rPr>
                <w:sz w:val="19"/>
                <w:szCs w:val="19"/>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b w:val="1"/>
                <w:bCs w:val="1"/>
                <w:color w:val="auto"/>
              </w:rPr>
              <w:t>Exercise Price</w:t>
            </w:r>
          </w:p>
        </w:tc>
      </w:tr>
      <w:tr>
        <w:trPr>
          <w:trHeight w:val="213"/>
        </w:trPr>
        <w:tc>
          <w:tcPr>
            <w:tcW w:w="7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grants, December 31, 2016</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283,400</w:t>
            </w:r>
          </w:p>
        </w:tc>
        <w:tc>
          <w:tcPr>
            <w:tcW w:w="3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6"/>
                <w:szCs w:val="16"/>
                <w:b w:val="1"/>
                <w:bCs w:val="1"/>
                <w:color w:val="auto"/>
              </w:rPr>
              <w:t>Granted</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984,536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55.19</w:t>
            </w:r>
          </w:p>
        </w:tc>
        <w:tc>
          <w:tcPr>
            <w:tcW w:w="120" w:type="dxa"/>
            <w:vAlign w:val="bottom"/>
          </w:tcPr>
          <w:p>
            <w:pPr>
              <w:spacing w:after="0"/>
              <w:rPr>
                <w:sz w:val="18"/>
                <w:szCs w:val="18"/>
                <w:color w:val="auto"/>
              </w:rPr>
            </w:pPr>
          </w:p>
        </w:tc>
      </w:tr>
      <w:tr>
        <w:trPr>
          <w:trHeight w:val="222"/>
        </w:trPr>
        <w:tc>
          <w:tcPr>
            <w:tcW w:w="7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Exercised</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(1,065,757)</w:t>
            </w: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67.62</w:t>
            </w:r>
          </w:p>
        </w:tc>
        <w:tc>
          <w:tcPr>
            <w:tcW w:w="120" w:type="dxa"/>
            <w:vAlign w:val="bottom"/>
            <w:shd w:val="clear" w:color="auto" w:fill="CFF0FC"/>
          </w:tcPr>
          <w:p>
            <w:pPr>
              <w:spacing w:after="0"/>
              <w:rPr>
                <w:sz w:val="19"/>
                <w:szCs w:val="19"/>
                <w:color w:val="auto"/>
              </w:rPr>
            </w:pPr>
          </w:p>
        </w:tc>
      </w:tr>
      <w:tr>
        <w:trPr>
          <w:trHeight w:val="207"/>
        </w:trPr>
        <w:tc>
          <w:tcPr>
            <w:tcW w:w="7800" w:type="dxa"/>
            <w:vAlign w:val="bottom"/>
          </w:tcPr>
          <w:p>
            <w:pPr>
              <w:spacing w:after="0"/>
              <w:rPr>
                <w:sz w:val="20"/>
                <w:szCs w:val="20"/>
                <w:color w:val="auto"/>
              </w:rPr>
            </w:pPr>
            <w:r>
              <w:rPr>
                <w:rFonts w:ascii="Arial" w:cs="Arial" w:eastAsia="Arial" w:hAnsi="Arial"/>
                <w:sz w:val="16"/>
                <w:szCs w:val="16"/>
                <w:b w:val="1"/>
                <w:bCs w:val="1"/>
                <w:color w:val="auto"/>
              </w:rPr>
              <w:t>Outstanding grants, December 31, 2017</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202,179</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89.74</w:t>
            </w:r>
          </w:p>
        </w:tc>
        <w:tc>
          <w:tcPr>
            <w:tcW w:w="12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weighted average grant date fair values per share of options granted under the employee stock purchase plans in 2017, 2016 and 2015 were $12.99, $9.79 and $7.89, respectively. In 2017, 2016 and 2015, the total intrinsic value of options exercised under these plans was $13 million, $12 million and $12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 number of shares remaining available for future issuance under this plan was 35,402,636.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2017, $9.24 billion of stock repurchase authorizations remain, and no expiration date has been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0" w:name="page41"/>
    <w:bookmarkEnd w:id="40"/>
    <w:p>
      <w:pPr>
        <w:ind w:right="260"/>
        <w:spacing w:after="0" w:line="277" w:lineRule="auto"/>
        <w:rPr>
          <w:sz w:val="20"/>
          <w:szCs w:val="20"/>
          <w:color w:val="auto"/>
        </w:rPr>
      </w:pPr>
      <w:r>
        <w:rPr>
          <w:rFonts w:ascii="Arial" w:cs="Arial" w:eastAsia="Arial" w:hAnsi="Arial"/>
          <w:sz w:val="18"/>
          <w:szCs w:val="18"/>
          <w:color w:val="auto"/>
        </w:rPr>
        <w:t>Our current practice is to issue shares of common stock from treasury shares upon exercise of stock options, distribution of director deferred compensation and vesting of RSUs. The following table reflects the changes in our treasury shares: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8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Stock Options</w:t>
            </w:r>
          </w:p>
        </w:tc>
        <w:tc>
          <w:tcPr>
            <w:tcW w:w="1840" w:type="dxa"/>
            <w:vAlign w:val="bottom"/>
            <w:gridSpan w:val="2"/>
          </w:tcPr>
          <w:p>
            <w:pPr>
              <w:jc w:val="right"/>
              <w:ind w:right="920"/>
              <w:spacing w:after="0"/>
              <w:rPr>
                <w:sz w:val="20"/>
                <w:szCs w:val="20"/>
                <w:color w:val="auto"/>
              </w:rPr>
            </w:pPr>
            <w:r>
              <w:rPr>
                <w:rFonts w:ascii="Arial" w:cs="Arial" w:eastAsia="Arial" w:hAnsi="Arial"/>
                <w:sz w:val="16"/>
                <w:szCs w:val="16"/>
                <w:b w:val="1"/>
                <w:bCs w:val="1"/>
                <w:color w:val="auto"/>
              </w:rPr>
              <w:t>RSUs</w:t>
            </w:r>
          </w:p>
        </w:tc>
        <w:tc>
          <w:tcPr>
            <w:tcW w:w="16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Treasury 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2014</w:t>
            </w:r>
          </w:p>
        </w:tc>
        <w:tc>
          <w:tcPr>
            <w:tcW w:w="14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694,189,127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gridSpan w:val="2"/>
          </w:tcPr>
          <w:p>
            <w:pPr>
              <w:spacing w:after="0"/>
              <w:rPr>
                <w:sz w:val="20"/>
                <w:szCs w:val="20"/>
                <w:color w:val="auto"/>
              </w:rPr>
            </w:pPr>
            <w:r>
              <w:rPr>
                <w:rFonts w:ascii="Arial" w:cs="Arial" w:eastAsia="Arial" w:hAnsi="Arial"/>
                <w:sz w:val="16"/>
                <w:szCs w:val="16"/>
                <w:color w:val="auto"/>
              </w:rPr>
              <w:t>Repurchases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51,384,339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Shares used for:</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Stock options/RSUs</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(11,953,455)</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(3,386,415)</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applied to exercises or taxes</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8,562</w:t>
            </w: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845,164</w:t>
            </w: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ESPP</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(1,532,264)</w:t>
            </w:r>
          </w:p>
        </w:tc>
        <w:tc>
          <w:tcPr>
            <w:tcW w:w="18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Director deferred stock units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(7,531)</w:t>
            </w:r>
          </w:p>
        </w:tc>
        <w:tc>
          <w:tcPr>
            <w:tcW w:w="0" w:type="dxa"/>
            <w:vAlign w:val="bottom"/>
          </w:tcPr>
          <w:p>
            <w:pPr>
              <w:spacing w:after="0"/>
              <w:rPr>
                <w:sz w:val="1"/>
                <w:szCs w:val="1"/>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6"/>
                <w:szCs w:val="16"/>
                <w:color w:val="auto"/>
              </w:rPr>
              <w:t>Total issued</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color w:val="auto"/>
              </w:rPr>
              <w:t>(13,477,157)</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color w:val="auto"/>
              </w:rPr>
              <w:t>(2,541,251)</w:t>
            </w: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(16,018,408)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2015</w:t>
            </w:r>
          </w:p>
        </w:tc>
        <w:tc>
          <w:tcPr>
            <w:tcW w:w="146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729,547,527</w:t>
            </w: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Repurchases</w:t>
            </w:r>
          </w:p>
        </w:tc>
        <w:tc>
          <w:tcPr>
            <w:tcW w:w="1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35,480,036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gridSpan w:val="2"/>
          </w:tcPr>
          <w:p>
            <w:pPr>
              <w:spacing w:after="0"/>
              <w:rPr>
                <w:sz w:val="20"/>
                <w:szCs w:val="20"/>
                <w:color w:val="auto"/>
              </w:rPr>
            </w:pPr>
            <w:r>
              <w:rPr>
                <w:rFonts w:ascii="Arial" w:cs="Arial" w:eastAsia="Arial" w:hAnsi="Arial"/>
                <w:sz w:val="16"/>
                <w:szCs w:val="16"/>
                <w:color w:val="auto"/>
              </w:rPr>
              <w:t>Shares used for:</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Stock options/RSUs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(14,516,606)</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(5,639,666)</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color w:val="auto"/>
              </w:rPr>
              <w:t>Stock applied to exercises or taxes</w:t>
            </w:r>
          </w:p>
        </w:tc>
        <w:tc>
          <w:tcPr>
            <w:tcW w:w="18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1,336,476</w:t>
            </w: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ESPP</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(1,362,202)</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Director deferred stock units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FF0FC"/>
            </w:tcBorders>
          </w:tcPr>
          <w:p>
            <w:pPr>
              <w:spacing w:after="0"/>
              <w:rPr>
                <w:sz w:val="18"/>
                <w:szCs w:val="18"/>
                <w:color w:val="auto"/>
              </w:rPr>
            </w:pPr>
          </w:p>
        </w:tc>
        <w:tc>
          <w:tcPr>
            <w:tcW w:w="1600" w:type="dxa"/>
            <w:vAlign w:val="bottom"/>
            <w:tcBorders>
              <w:bottom w:val="single" w:sz="8" w:color="CFF0FC"/>
            </w:tcBorders>
            <w:gridSpan w:val="2"/>
          </w:tcPr>
          <w:p>
            <w:pPr>
              <w:jc w:val="right"/>
              <w:ind w:right="60"/>
              <w:spacing w:after="0"/>
              <w:rPr>
                <w:sz w:val="20"/>
                <w:szCs w:val="20"/>
                <w:color w:val="auto"/>
              </w:rPr>
            </w:pPr>
            <w:r>
              <w:rPr>
                <w:rFonts w:ascii="Arial" w:cs="Arial" w:eastAsia="Arial" w:hAnsi="Arial"/>
                <w:sz w:val="16"/>
                <w:szCs w:val="16"/>
                <w:color w:val="auto"/>
              </w:rPr>
              <w:t>(13,587)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color w:val="auto"/>
              </w:rPr>
              <w:t>Total issued</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(15,878,808)</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(4,303,190)</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(20,181,998)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160" w:type="dxa"/>
            <w:vAlign w:val="bottom"/>
            <w:gridSpan w:val="2"/>
          </w:tcPr>
          <w:p>
            <w:pPr>
              <w:spacing w:after="0"/>
              <w:rPr>
                <w:sz w:val="20"/>
                <w:szCs w:val="20"/>
                <w:color w:val="auto"/>
              </w:rPr>
            </w:pPr>
            <w:r>
              <w:rPr>
                <w:rFonts w:ascii="Arial" w:cs="Arial" w:eastAsia="Arial" w:hAnsi="Arial"/>
                <w:sz w:val="16"/>
                <w:szCs w:val="16"/>
                <w:color w:val="auto"/>
              </w:rPr>
              <w:t>Balance, December 31, 2016</w:t>
            </w: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744,831,978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6"/>
                <w:szCs w:val="16"/>
                <w:b w:val="1"/>
                <w:bCs w:val="1"/>
                <w:color w:val="auto"/>
              </w:rPr>
              <w:t>Repurchases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30,570,129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Shares used for:</w:t>
            </w:r>
          </w:p>
        </w:tc>
        <w:tc>
          <w:tcPr>
            <w:tcW w:w="1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b w:val="1"/>
                <w:bCs w:val="1"/>
                <w:color w:val="auto"/>
              </w:rPr>
              <w:t>Stock options/RSUs</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(13,313,019)</w:t>
            </w:r>
          </w:p>
        </w:tc>
        <w:tc>
          <w:tcPr>
            <w:tcW w:w="18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(4,419,464)</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 applied to exercises or taxes</w:t>
            </w:r>
          </w:p>
        </w:tc>
        <w:tc>
          <w:tcPr>
            <w:tcW w:w="18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1,058,100</w:t>
            </w:r>
          </w:p>
        </w:tc>
        <w:tc>
          <w:tcPr>
            <w:tcW w:w="3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6"/>
                <w:szCs w:val="16"/>
                <w:b w:val="1"/>
                <w:bCs w:val="1"/>
                <w:color w:val="auto"/>
              </w:rPr>
              <w:t>ESPP</w:t>
            </w:r>
          </w:p>
        </w:tc>
        <w:tc>
          <w:tcPr>
            <w:tcW w:w="18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(1,065,757)</w:t>
            </w:r>
          </w:p>
        </w:tc>
        <w:tc>
          <w:tcPr>
            <w:tcW w:w="18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Director deferred stock units</w:t>
            </w:r>
          </w:p>
        </w:tc>
        <w:tc>
          <w:tcPr>
            <w:tcW w:w="18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w:t>
            </w:r>
          </w:p>
        </w:tc>
        <w:tc>
          <w:tcPr>
            <w:tcW w:w="1840" w:type="dxa"/>
            <w:vAlign w:val="bottom"/>
            <w:gridSpan w:val="2"/>
            <w:shd w:val="clear" w:color="auto" w:fill="CFF0FC"/>
          </w:tcPr>
          <w:p>
            <w:pPr>
              <w:jc w:val="right"/>
              <w:ind w:right="380"/>
              <w:spacing w:after="0"/>
              <w:rPr>
                <w:sz w:val="20"/>
                <w:szCs w:val="20"/>
                <w:color w:val="auto"/>
              </w:rPr>
            </w:pPr>
            <w:r>
              <w:rPr>
                <w:rFonts w:ascii="Arial" w:cs="Arial" w:eastAsia="Arial" w:hAnsi="Arial"/>
                <w:sz w:val="16"/>
                <w:szCs w:val="16"/>
                <w:b w:val="1"/>
                <w:bCs w:val="1"/>
                <w:color w:val="auto"/>
              </w:rPr>
              <w:t>—</w:t>
            </w: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(4,750)</w:t>
            </w:r>
          </w:p>
        </w:tc>
        <w:tc>
          <w:tcPr>
            <w:tcW w:w="0" w:type="dxa"/>
            <w:vAlign w:val="bottom"/>
          </w:tcPr>
          <w:p>
            <w:pPr>
              <w:spacing w:after="0"/>
              <w:rPr>
                <w:sz w:val="1"/>
                <w:szCs w:val="1"/>
                <w:color w:val="auto"/>
              </w:rPr>
            </w:pPr>
          </w:p>
        </w:tc>
      </w:tr>
      <w:tr>
        <w:trPr>
          <w:trHeight w:val="250"/>
        </w:trPr>
        <w:tc>
          <w:tcPr>
            <w:tcW w:w="6160" w:type="dxa"/>
            <w:vAlign w:val="bottom"/>
            <w:gridSpan w:val="2"/>
          </w:tcPr>
          <w:p>
            <w:pPr>
              <w:spacing w:after="0"/>
              <w:rPr>
                <w:sz w:val="20"/>
                <w:szCs w:val="20"/>
                <w:color w:val="auto"/>
              </w:rPr>
            </w:pPr>
            <w:r>
              <w:rPr>
                <w:rFonts w:ascii="Arial" w:cs="Arial" w:eastAsia="Arial" w:hAnsi="Arial"/>
                <w:sz w:val="16"/>
                <w:szCs w:val="16"/>
                <w:b w:val="1"/>
                <w:bCs w:val="1"/>
                <w:color w:val="auto"/>
              </w:rPr>
              <w:t>Total issued</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(14,378,776)</w:t>
            </w:r>
          </w:p>
        </w:tc>
        <w:tc>
          <w:tcPr>
            <w:tcW w:w="36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(3,361,364)</w:t>
            </w:r>
          </w:p>
        </w:tc>
        <w:tc>
          <w:tcPr>
            <w:tcW w:w="360" w:type="dxa"/>
            <w:vAlign w:val="bottom"/>
          </w:tcPr>
          <w:p>
            <w:pPr>
              <w:spacing w:after="0"/>
              <w:rPr>
                <w:sz w:val="21"/>
                <w:szCs w:val="21"/>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(17,740,140)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December 31, 2017</w:t>
            </w:r>
          </w:p>
        </w:tc>
        <w:tc>
          <w:tcPr>
            <w:tcW w:w="146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CFF0FC"/>
              <w:bottom w:val="single" w:sz="8" w:color="CFF0FC"/>
            </w:tcBorders>
            <w:shd w:val="clear" w:color="auto" w:fill="CFF0FC"/>
          </w:tcPr>
          <w:p>
            <w:pPr>
              <w:spacing w:after="0"/>
              <w:rPr>
                <w:sz w:val="16"/>
                <w:szCs w:val="16"/>
                <w:color w:val="auto"/>
              </w:rPr>
            </w:pPr>
          </w:p>
        </w:tc>
        <w:tc>
          <w:tcPr>
            <w:tcW w:w="148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CFF0FC"/>
              <w:bottom w:val="single" w:sz="8" w:color="CFF0FC"/>
            </w:tcBorders>
            <w:shd w:val="clear" w:color="auto" w:fill="CFF0FC"/>
          </w:tcPr>
          <w:p>
            <w:pPr>
              <w:spacing w:after="0"/>
              <w:rPr>
                <w:sz w:val="16"/>
                <w:szCs w:val="16"/>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757,657,217</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effects on cash flows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0"/>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Proceeds from common stock transactions (a)</w:t>
            </w:r>
          </w:p>
        </w:tc>
        <w:tc>
          <w:tcPr>
            <w:tcW w:w="242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483</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Tax benefit realized from stock compensation</w:t>
            </w:r>
          </w:p>
        </w:tc>
        <w:tc>
          <w:tcPr>
            <w:tcW w:w="3060" w:type="dxa"/>
            <w:vAlign w:val="bottom"/>
            <w:gridSpan w:val="2"/>
            <w:shd w:val="clear" w:color="auto" w:fill="CFF0FC"/>
          </w:tcPr>
          <w:p>
            <w:pPr>
              <w:jc w:val="right"/>
              <w:ind w:right="48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341</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Reduction to deferred tax asset</w:t>
            </w:r>
          </w:p>
        </w:tc>
        <w:tc>
          <w:tcPr>
            <w:tcW w:w="2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(91)</w:t>
            </w: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(105)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Excess tax benefit for stock compensation</w:t>
            </w:r>
          </w:p>
        </w:tc>
        <w:tc>
          <w:tcPr>
            <w:tcW w:w="242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vMerge w:val="continue"/>
            <w:shd w:val="clear" w:color="auto" w:fill="CFF0FC"/>
          </w:tcPr>
          <w:p>
            <w:pPr>
              <w:spacing w:after="0"/>
              <w:rPr>
                <w:sz w:val="18"/>
                <w:szCs w:val="18"/>
                <w:color w:val="auto"/>
              </w:rPr>
            </w:pPr>
          </w:p>
        </w:tc>
        <w:tc>
          <w:tcPr>
            <w:tcW w:w="2420" w:type="dxa"/>
            <w:vAlign w:val="bottom"/>
            <w:vMerge w:val="continue"/>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250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of taxes paid for employee shares withheld of $83 million in 2017, $70 million in 2016 and $46 million in 2015.</w:t>
      </w:r>
    </w:p>
    <w:p>
      <w:pPr>
        <w:spacing w:after="0" w:line="279"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Profit sharing plans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recognized $355 million, $346 million and $309 million of profit sharing expense under the TI Employee Profit Sharing Plan in 2017, 2016 and 2015,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78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U.S.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5,130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3,953</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3,218</w:t>
            </w:r>
          </w:p>
        </w:tc>
        <w:tc>
          <w:tcPr>
            <w:tcW w:w="120" w:type="dxa"/>
            <w:vAlign w:val="bottom"/>
            <w:shd w:val="clear" w:color="auto" w:fill="CFF0FC"/>
          </w:tcPr>
          <w:p>
            <w:pPr>
              <w:spacing w:after="0"/>
              <w:rPr>
                <w:sz w:val="18"/>
                <w:szCs w:val="18"/>
                <w:color w:val="auto"/>
              </w:rPr>
            </w:pPr>
          </w:p>
        </w:tc>
      </w:tr>
      <w:tr>
        <w:trPr>
          <w:trHeight w:val="213"/>
        </w:trPr>
        <w:tc>
          <w:tcPr>
            <w:tcW w:w="7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Non-U.S.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3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w:t>
            </w:r>
          </w:p>
        </w:tc>
        <w:tc>
          <w:tcPr>
            <w:tcW w:w="120" w:type="dxa"/>
            <w:vAlign w:val="bottom"/>
            <w:tcBorders>
              <w:bottom w:val="single" w:sz="8" w:color="CFF0FC"/>
            </w:tcBorders>
          </w:tcPr>
          <w:p>
            <w:pPr>
              <w:spacing w:after="0"/>
              <w:rPr>
                <w:sz w:val="18"/>
                <w:szCs w:val="18"/>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6,080</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4,930</w:t>
            </w: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4,216</w:t>
            </w:r>
          </w:p>
        </w:tc>
        <w:tc>
          <w:tcPr>
            <w:tcW w:w="120" w:type="dxa"/>
            <w:vAlign w:val="bottom"/>
            <w:shd w:val="clear" w:color="auto" w:fill="CFF0FC"/>
          </w:tcPr>
          <w:p>
            <w:pPr>
              <w:spacing w:after="0"/>
              <w:rPr>
                <w:sz w:val="18"/>
                <w:szCs w:val="18"/>
                <w:color w:val="auto"/>
              </w:rPr>
            </w:pPr>
          </w:p>
        </w:tc>
      </w:tr>
      <w:tr>
        <w:trPr>
          <w:trHeight w:val="20"/>
        </w:trPr>
        <w:tc>
          <w:tcPr>
            <w:tcW w:w="78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comprised of the following components: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9"/>
          </w:tcPr>
          <w:p>
            <w:pPr>
              <w:ind w:left="360"/>
              <w:spacing w:after="0"/>
              <w:rPr>
                <w:sz w:val="20"/>
                <w:szCs w:val="20"/>
                <w:color w:val="auto"/>
              </w:rPr>
            </w:pPr>
            <w:r>
              <w:rPr>
                <w:rFonts w:ascii="Arial" w:cs="Arial" w:eastAsia="Arial" w:hAnsi="Arial"/>
                <w:sz w:val="16"/>
                <w:szCs w:val="16"/>
                <w:b w:val="1"/>
                <w:bCs w:val="1"/>
                <w:color w:val="auto"/>
              </w:rPr>
              <w:t>For Years Ended December 31,</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Current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Deferred</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6"/>
              </w:rPr>
              <w:t>Current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1"/>
              </w:rPr>
              <w:t>Deferred</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Current</w:t>
            </w:r>
          </w:p>
        </w:tc>
        <w:tc>
          <w:tcPr>
            <w:tcW w:w="2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Deferred</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FF0FC"/>
            </w:tcBorders>
          </w:tcPr>
          <w:p>
            <w:pPr>
              <w:spacing w:after="0"/>
              <w:rPr>
                <w:sz w:val="18"/>
                <w:szCs w:val="18"/>
                <w:color w:val="auto"/>
              </w:rPr>
            </w:pPr>
          </w:p>
        </w:tc>
      </w:tr>
      <w:tr>
        <w:trPr>
          <w:trHeight w:val="212"/>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U.S. federal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2,101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2,152</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FF0FC"/>
          </w:tcPr>
          <w:p>
            <w:pPr>
              <w:spacing w:after="0"/>
              <w:rPr>
                <w:sz w:val="18"/>
                <w:szCs w:val="18"/>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6"/>
                <w:szCs w:val="16"/>
                <w:color w:val="auto"/>
              </w:rPr>
              <w:t>Non-U.S.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r>
      <w:tr>
        <w:trPr>
          <w:trHeight w:val="219"/>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U.S. state</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FF0FC"/>
          </w:tcPr>
          <w:p>
            <w:pPr>
              <w:spacing w:after="0"/>
              <w:rPr>
                <w:sz w:val="19"/>
                <w:szCs w:val="19"/>
                <w:color w:val="auto"/>
              </w:rPr>
            </w:pPr>
          </w:p>
        </w:tc>
      </w:tr>
      <w:tr>
        <w:trPr>
          <w:trHeight w:val="207"/>
        </w:trPr>
        <w:tc>
          <w:tcPr>
            <w:tcW w:w="1880" w:type="dxa"/>
            <w:vAlign w:val="bottom"/>
          </w:tcPr>
          <w:p>
            <w:pPr>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2,286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2,398</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1,537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(202)</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1,335</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1,285</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(55)</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17"/>
                <w:szCs w:val="17"/>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198"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For Years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Borders>
              <w:bottom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bottom w:val="single" w:sz="8" w:color="CFF0FC"/>
            </w:tcBorders>
          </w:tcPr>
          <w:p>
            <w:pPr>
              <w:spacing w:after="0"/>
              <w:rPr>
                <w:sz w:val="18"/>
                <w:szCs w:val="18"/>
                <w:color w:val="auto"/>
              </w:rPr>
            </w:pPr>
          </w:p>
        </w:tc>
      </w:tr>
      <w:tr>
        <w:trPr>
          <w:trHeight w:val="212"/>
        </w:trPr>
        <w:tc>
          <w:tcPr>
            <w:tcW w:w="8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 statutory income tax rate</w:t>
            </w:r>
          </w:p>
        </w:tc>
        <w:tc>
          <w:tcPr>
            <w:tcW w:w="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w w:val="96"/>
              </w:rPr>
              <w:t>35.0%</w:t>
            </w:r>
          </w:p>
        </w:tc>
        <w:tc>
          <w:tcPr>
            <w:tcW w:w="6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w w:val="92"/>
              </w:rPr>
              <w:t>35.0%</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35.0%</w:t>
            </w:r>
          </w:p>
        </w:tc>
      </w:tr>
      <w:tr>
        <w:trPr>
          <w:trHeight w:val="213"/>
        </w:trPr>
        <w:tc>
          <w:tcPr>
            <w:tcW w:w="8320" w:type="dxa"/>
            <w:vAlign w:val="bottom"/>
            <w:gridSpan w:val="2"/>
          </w:tcPr>
          <w:p>
            <w:pPr>
              <w:spacing w:after="0"/>
              <w:rPr>
                <w:sz w:val="20"/>
                <w:szCs w:val="20"/>
                <w:color w:val="auto"/>
              </w:rPr>
            </w:pPr>
            <w:r>
              <w:rPr>
                <w:rFonts w:ascii="Arial" w:cs="Arial" w:eastAsia="Arial" w:hAnsi="Arial"/>
                <w:sz w:val="16"/>
                <w:szCs w:val="16"/>
                <w:color w:val="auto"/>
              </w:rPr>
              <w:t>U.S. Tax Act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w w:val="89"/>
              </w:rPr>
              <w:t>12.7</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r>
      <w:tr>
        <w:trPr>
          <w:trHeight w:val="219"/>
        </w:trPr>
        <w:tc>
          <w:tcPr>
            <w:tcW w:w="8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 excess tax benefit for stock compensation</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(4.1)</w:t>
            </w:r>
          </w:p>
        </w:tc>
        <w:tc>
          <w:tcPr>
            <w:tcW w:w="6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(3.0)</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r>
      <w:tr>
        <w:trPr>
          <w:trHeight w:val="213"/>
        </w:trPr>
        <w:tc>
          <w:tcPr>
            <w:tcW w:w="8320" w:type="dxa"/>
            <w:vAlign w:val="bottom"/>
            <w:gridSpan w:val="2"/>
          </w:tcPr>
          <w:p>
            <w:pPr>
              <w:spacing w:after="0"/>
              <w:rPr>
                <w:sz w:val="20"/>
                <w:szCs w:val="20"/>
                <w:color w:val="auto"/>
              </w:rPr>
            </w:pPr>
            <w:r>
              <w:rPr>
                <w:rFonts w:ascii="Arial" w:cs="Arial" w:eastAsia="Arial" w:hAnsi="Arial"/>
                <w:sz w:val="16"/>
                <w:szCs w:val="16"/>
                <w:color w:val="auto"/>
              </w:rPr>
              <w:t>Non-U.S. effective tax rates</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(2.5)</w:t>
            </w:r>
          </w:p>
        </w:tc>
        <w:tc>
          <w:tcPr>
            <w:tcW w:w="6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(3.7)</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(4.0)</w:t>
            </w:r>
          </w:p>
        </w:tc>
      </w:tr>
      <w:tr>
        <w:trPr>
          <w:trHeight w:val="219"/>
        </w:trPr>
        <w:tc>
          <w:tcPr>
            <w:tcW w:w="8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U.S. tax benefit for manufacturing</w:t>
            </w:r>
          </w:p>
        </w:tc>
        <w:tc>
          <w:tcPr>
            <w:tcW w:w="7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(1.6)</w:t>
            </w:r>
          </w:p>
        </w:tc>
        <w:tc>
          <w:tcPr>
            <w:tcW w:w="6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(1.5)</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w:t>
            </w:r>
          </w:p>
        </w:tc>
      </w:tr>
      <w:tr>
        <w:trPr>
          <w:trHeight w:val="213"/>
        </w:trPr>
        <w:tc>
          <w:tcPr>
            <w:tcW w:w="8320" w:type="dxa"/>
            <w:vAlign w:val="bottom"/>
            <w:gridSpan w:val="2"/>
          </w:tcPr>
          <w:p>
            <w:pPr>
              <w:spacing w:after="0"/>
              <w:rPr>
                <w:sz w:val="20"/>
                <w:szCs w:val="20"/>
                <w:color w:val="auto"/>
              </w:rPr>
            </w:pPr>
            <w:r>
              <w:rPr>
                <w:rFonts w:ascii="Arial" w:cs="Arial" w:eastAsia="Arial" w:hAnsi="Arial"/>
                <w:sz w:val="16"/>
                <w:szCs w:val="16"/>
                <w:color w:val="auto"/>
              </w:rPr>
              <w:t>U.S. R&amp;D tax credit</w:t>
            </w:r>
          </w:p>
        </w:tc>
        <w:tc>
          <w:tcPr>
            <w:tcW w:w="7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(1.1)</w:t>
            </w:r>
          </w:p>
        </w:tc>
        <w:tc>
          <w:tcPr>
            <w:tcW w:w="6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6"/>
                <w:szCs w:val="16"/>
                <w:color w:val="auto"/>
              </w:rPr>
              <w:t>(1.2)</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r>
      <w:tr>
        <w:trPr>
          <w:trHeight w:val="219"/>
        </w:trPr>
        <w:tc>
          <w:tcPr>
            <w:tcW w:w="8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Impact of changes to uncertain tax positions</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0.7</w:t>
            </w:r>
          </w:p>
        </w:tc>
        <w:tc>
          <w:tcPr>
            <w:tcW w:w="4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40" w:type="dxa"/>
            <w:vAlign w:val="bottom"/>
            <w:shd w:val="clear" w:color="auto" w:fill="CFF0FC"/>
          </w:tcPr>
          <w:p>
            <w:pPr>
              <w:spacing w:after="0"/>
              <w:rPr>
                <w:sz w:val="19"/>
                <w:szCs w:val="19"/>
                <w:color w:val="auto"/>
              </w:rPr>
            </w:pPr>
          </w:p>
        </w:tc>
      </w:tr>
      <w:tr>
        <w:trPr>
          <w:trHeight w:val="213"/>
        </w:trPr>
        <w:tc>
          <w:tcPr>
            <w:tcW w:w="8320" w:type="dxa"/>
            <w:vAlign w:val="bottom"/>
            <w:gridSpan w:val="2"/>
          </w:tcPr>
          <w:p>
            <w:pPr>
              <w:spacing w:after="0"/>
              <w:rPr>
                <w:sz w:val="20"/>
                <w:szCs w:val="20"/>
                <w:color w:val="auto"/>
              </w:rPr>
            </w:pPr>
            <w:r>
              <w:rPr>
                <w:rFonts w:ascii="Arial" w:cs="Arial" w:eastAsia="Arial" w:hAnsi="Arial"/>
                <w:sz w:val="16"/>
                <w:szCs w:val="16"/>
                <w:color w:val="auto"/>
              </w:rPr>
              <w:t>U.S. non-deductible expenses</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0.2</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0.3</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6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0.1</w:t>
            </w:r>
          </w:p>
        </w:tc>
        <w:tc>
          <w:tcPr>
            <w:tcW w:w="4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40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FF0FC"/>
          </w:tcPr>
          <w:p>
            <w:pPr>
              <w:spacing w:after="0"/>
              <w:rPr>
                <w:sz w:val="18"/>
                <w:szCs w:val="18"/>
                <w:color w:val="auto"/>
              </w:rPr>
            </w:pPr>
          </w:p>
        </w:tc>
      </w:tr>
      <w:tr>
        <w:trPr>
          <w:trHeight w:val="210"/>
        </w:trPr>
        <w:tc>
          <w:tcPr>
            <w:tcW w:w="8320" w:type="dxa"/>
            <w:vAlign w:val="bottom"/>
            <w:gridSpan w:val="2"/>
          </w:tcPr>
          <w:p>
            <w:pPr>
              <w:spacing w:after="0"/>
              <w:rPr>
                <w:sz w:val="20"/>
                <w:szCs w:val="20"/>
                <w:color w:val="auto"/>
              </w:rPr>
            </w:pPr>
            <w:r>
              <w:rPr>
                <w:rFonts w:ascii="Arial" w:cs="Arial" w:eastAsia="Arial" w:hAnsi="Arial"/>
                <w:sz w:val="16"/>
                <w:szCs w:val="16"/>
                <w:color w:val="auto"/>
              </w:rPr>
              <w:t>Effective tax rate</w:t>
            </w:r>
          </w:p>
        </w:tc>
        <w:tc>
          <w:tcPr>
            <w:tcW w:w="7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6"/>
              </w:rPr>
              <w:t>39.4%</w:t>
            </w:r>
          </w:p>
        </w:tc>
        <w:tc>
          <w:tcPr>
            <w:tcW w:w="6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6"/>
                <w:szCs w:val="16"/>
                <w:color w:val="auto"/>
                <w:w w:val="92"/>
              </w:rPr>
              <w:t>27.1%</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29.2%</w:t>
            </w:r>
          </w:p>
        </w:tc>
      </w:tr>
      <w:tr>
        <w:trPr>
          <w:trHeight w:val="20"/>
        </w:trPr>
        <w:tc>
          <w:tcPr>
            <w:tcW w:w="7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U.S. Tax Cuts and Jobs Act (the Tax Act) was enacted on December 22, 2017. The Tax Act reduces the U.S. statutory income tax rate from 35 percent to 21 percent and requires companies to pay a tax on indefinitely reinvested earnings of certain non-U.S. subsidiaries that were previously tax deferred. We have not completed our accounting for the tax effects of enactment of the Tax Act. We have made reasonable estimates of the tax on indefinitely reinvested earnings and the effects on our existing deferred tax balances. This resulted in additional tax expense in 2017 of $773 million, an increase of 12.7 percentage points to our effective tax rate. The combined effects of the tax on indefinitely reinvested earnings and the revaluation of our deferred tax balances are included as a component of income tax expense from continuing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Details on provisional amounts are as follows:</w:t>
      </w:r>
    </w:p>
    <w:p>
      <w:pPr>
        <w:spacing w:after="0" w:line="131" w:lineRule="exact"/>
        <w:rPr>
          <w:sz w:val="20"/>
          <w:szCs w:val="20"/>
          <w:color w:val="auto"/>
        </w:rPr>
      </w:pPr>
    </w:p>
    <w:p>
      <w:pPr>
        <w:ind w:left="1040" w:right="60" w:hanging="519"/>
        <w:spacing w:after="0" w:line="297"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Indefinitely reinvested earnings – </w:t>
      </w:r>
      <w:r>
        <w:rPr>
          <w:rFonts w:ascii="Arial" w:cs="Arial" w:eastAsia="Arial" w:hAnsi="Arial"/>
          <w:sz w:val="16"/>
          <w:szCs w:val="16"/>
          <w:color w:val="auto"/>
        </w:rPr>
        <w:t>The tax on indefinitely reinvested earnings is based on our non-U.S. post-1986 earnings and profits (E&amp;P)</w:t>
      </w:r>
      <w:r>
        <w:rPr>
          <w:rFonts w:ascii="Arial" w:cs="Arial" w:eastAsia="Arial" w:hAnsi="Arial"/>
          <w:sz w:val="16"/>
          <w:szCs w:val="16"/>
          <w:i w:val="1"/>
          <w:iCs w:val="1"/>
          <w:color w:val="auto"/>
        </w:rPr>
        <w:t xml:space="preserve"> </w:t>
      </w:r>
      <w:r>
        <w:rPr>
          <w:rFonts w:ascii="Arial" w:cs="Arial" w:eastAsia="Arial" w:hAnsi="Arial"/>
          <w:sz w:val="16"/>
          <w:szCs w:val="16"/>
          <w:color w:val="auto"/>
        </w:rPr>
        <w:t>that we previously deferred from U.S. income taxes, and resulted in an increase in income tax expense of $714 million. We have not yet completed our calculation of the total post-1986 E&amp;P for these non-U.S. subsidiaries. Further, the tax on indefinitely reinvested earnings is based in part on the amount of those earnings held in cash and other specified assets. This amount may change when we finalize the calculation of post-1986 non-U.S. E&amp;P previously deferred from U.S. income taxes and finalize the amounts held in cash or other specified assets.</w:t>
      </w:r>
    </w:p>
    <w:p>
      <w:pPr>
        <w:spacing w:after="0" w:line="50" w:lineRule="exact"/>
        <w:rPr>
          <w:rFonts w:ascii="Arial" w:cs="Arial" w:eastAsia="Arial" w:hAnsi="Arial"/>
          <w:sz w:val="16"/>
          <w:szCs w:val="16"/>
          <w:color w:val="auto"/>
        </w:rPr>
      </w:pPr>
    </w:p>
    <w:p>
      <w:pPr>
        <w:ind w:left="1040" w:right="10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Deferred tax assets and liabilities </w:t>
      </w:r>
      <w:r>
        <w:rPr>
          <w:rFonts w:ascii="Arial" w:cs="Arial" w:eastAsia="Arial" w:hAnsi="Arial"/>
          <w:sz w:val="18"/>
          <w:szCs w:val="18"/>
          <w:color w:val="auto"/>
        </w:rPr>
        <w:t>– We remeasured deferred tax assets and liabilities based on the U.S. statutory income tax rate of 21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we are still analyzing certain aspects of the Tax Act and refining our calculations, which could potentially affect the measurement of these balances or potentially give rise to new deferred tax amounts. The provisional amount recorded related to the remeasurement of our deferred tax balance was $59 million.</w:t>
      </w:r>
    </w:p>
    <w:p>
      <w:pPr>
        <w:spacing w:after="0" w:line="1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Tax Act also included the global intangible low-taxed income (GILTI) tax for years beginning in 2018. We will account for the effects of GILTI as a component of income tax expense in the future period in which the tax arises.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180"/>
        <w:spacing w:after="0" w:line="273" w:lineRule="auto"/>
        <w:rPr>
          <w:sz w:val="20"/>
          <w:szCs w:val="20"/>
          <w:color w:val="auto"/>
        </w:rPr>
      </w:pPr>
      <w:r>
        <w:rPr>
          <w:rFonts w:ascii="Arial" w:cs="Arial" w:eastAsia="Arial" w:hAnsi="Arial"/>
          <w:sz w:val="17"/>
          <w:szCs w:val="17"/>
          <w:color w:val="auto"/>
        </w:rPr>
        <w:t>The earnings represented by non-cash operating assets, such as fixed assets and certain inventory, will continue to be permanently reinvested outside the United States. The tax on indefinitely reinvested earnings eliminates any additional U.S. taxation of these earnings upon repatriation to the United States. Consequently, no U.S. tax provision has been made for the future remittance of these earnings. However, withholding taxes in certain non-U.S. jurisdictions will be incurred upon repatriation of available cash to the United States. A provision has been made for deferred taxes on these undistributed earnings to the extent that dividend payments from these subsidiaries are expected to result in a withholding tax liability. As of December 31, 2017, we have no basis differences that would result in material unrecognized deferred tax liabilities.</w:t>
      </w:r>
    </w:p>
    <w:p>
      <w:pPr>
        <w:spacing w:after="0" w:line="17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effective tax rate is affected by U.S. tax benefits and tax rates applicable to our operations in many of the jurisdictions in which we operate, most of which were lower than the U.S. statutory income tax rate prior to enactment of the Tax Act. These non-U.S. tax rates are generally statutory in nature and without expiration.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tcPr>
          <w:p>
            <w:pPr>
              <w:spacing w:after="0"/>
              <w:rPr>
                <w:sz w:val="18"/>
                <w:szCs w:val="18"/>
                <w:color w:val="auto"/>
              </w:rPr>
            </w:pPr>
          </w:p>
        </w:tc>
        <w:tc>
          <w:tcPr>
            <w:tcW w:w="19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9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Deferred loss and tax credit carryforwards</w:t>
            </w:r>
          </w:p>
        </w:tc>
        <w:tc>
          <w:tcPr>
            <w:tcW w:w="3040" w:type="dxa"/>
            <w:vAlign w:val="bottom"/>
            <w:gridSpan w:val="2"/>
          </w:tcPr>
          <w:p>
            <w:pPr>
              <w:jc w:val="right"/>
              <w:ind w:right="96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256</w:t>
            </w:r>
          </w:p>
        </w:tc>
        <w:tc>
          <w:tcPr>
            <w:tcW w:w="320" w:type="dxa"/>
            <w:vAlign w:val="bottom"/>
          </w:tcPr>
          <w:p>
            <w:pPr>
              <w:spacing w:after="0"/>
              <w:rPr>
                <w:sz w:val="18"/>
                <w:szCs w:val="18"/>
                <w:color w:val="auto"/>
              </w:rPr>
            </w:pPr>
          </w:p>
        </w:tc>
        <w:tc>
          <w:tcPr>
            <w:tcW w:w="480" w:type="dxa"/>
            <w:vAlign w:val="bottom"/>
          </w:tcPr>
          <w:p>
            <w:pPr>
              <w:jc w:val="right"/>
              <w:ind w:right="32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Accrued expenses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119</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107</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Inventories and related reserves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93</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Retirement costs for defined benefit and retiree health care</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w:t>
            </w:r>
          </w:p>
        </w:tc>
        <w:tc>
          <w:tcPr>
            <w:tcW w:w="19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Total deferred tax assets, before valuation allowance</w:t>
            </w:r>
          </w:p>
        </w:tc>
        <w:tc>
          <w:tcPr>
            <w:tcW w:w="1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622</w:t>
            </w: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(165)</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Total deferred tax assets, after valuation allowance</w:t>
            </w:r>
          </w:p>
        </w:tc>
        <w:tc>
          <w:tcPr>
            <w:tcW w:w="19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457</w:t>
            </w:r>
          </w:p>
        </w:tc>
        <w:tc>
          <w:tcPr>
            <w:tcW w:w="3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color w:val="auto"/>
              </w:rPr>
              <w:t>Acquisition-related intangibles and fair-value adjustments</w:t>
            </w:r>
          </w:p>
        </w:tc>
        <w:tc>
          <w:tcPr>
            <w:tcW w:w="1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(207)</w:t>
            </w:r>
          </w:p>
        </w:tc>
        <w:tc>
          <w:tcPr>
            <w:tcW w:w="4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International earnings</w:t>
            </w:r>
          </w:p>
        </w:tc>
        <w:tc>
          <w:tcPr>
            <w:tcW w:w="19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(64)</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color w:val="auto"/>
              </w:rPr>
              <w:t>Total deferred tax liabilities</w:t>
            </w:r>
          </w:p>
        </w:tc>
        <w:tc>
          <w:tcPr>
            <w:tcW w:w="19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32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tax asset</w:t>
            </w:r>
          </w:p>
        </w:tc>
        <w:tc>
          <w:tcPr>
            <w:tcW w:w="192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186</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620" w:type="dxa"/>
            <w:vAlign w:val="bottom"/>
            <w:tcBorders>
              <w:bottom w:val="single" w:sz="8" w:color="CFF0FC"/>
            </w:tcBorders>
          </w:tcPr>
          <w:p>
            <w:pPr>
              <w:spacing w:after="0"/>
              <w:rPr>
                <w:sz w:val="18"/>
                <w:szCs w:val="18"/>
                <w:color w:val="auto"/>
              </w:rPr>
            </w:pPr>
          </w:p>
        </w:tc>
        <w:tc>
          <w:tcPr>
            <w:tcW w:w="314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FF0FC"/>
            </w:tcBorders>
          </w:tcPr>
          <w:p>
            <w:pPr>
              <w:spacing w:after="0"/>
              <w:rPr>
                <w:sz w:val="18"/>
                <w:szCs w:val="18"/>
                <w:color w:val="auto"/>
              </w:rPr>
            </w:pPr>
          </w:p>
        </w:tc>
      </w:tr>
      <w:tr>
        <w:trPr>
          <w:trHeight w:val="212"/>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3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16"/>
                <w:szCs w:val="16"/>
                <w:b w:val="1"/>
                <w:bCs w:val="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264</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FF0FC"/>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3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(78)</w:t>
            </w:r>
          </w:p>
        </w:tc>
        <w:tc>
          <w:tcPr>
            <w:tcW w:w="4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r>
      <w:tr>
        <w:trPr>
          <w:trHeight w:val="210"/>
        </w:trPr>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deferred tax asset</w:t>
            </w:r>
          </w:p>
        </w:tc>
        <w:tc>
          <w:tcPr>
            <w:tcW w:w="314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961"/>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186</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480" w:type="dxa"/>
            <w:vAlign w:val="bottom"/>
            <w:tcBorders>
              <w:top w:val="single" w:sz="8" w:color="auto"/>
              <w:bottom w:val="single" w:sz="8" w:color="auto"/>
            </w:tcBorders>
            <w:shd w:val="clear" w:color="auto" w:fill="CFF0FC"/>
          </w:tcPr>
          <w:p>
            <w:pPr>
              <w:jc w:val="right"/>
              <w:ind w:right="322"/>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increased by $37 million in 2017 and decreased by $58 million in 2016. These changes had no impact to Net income in 2017 and had a $63 million benefit to Net income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U.S. and non-U.S. tax loss carryforwards of approximately $6 million, none of which will expire before the year 2027.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payments made for income taxes, net of refunds, were $1.80 billion, $1.15 billion and $1.17 billion in 2017, 2016 and 2015,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r>
      <w:tr>
        <w:trPr>
          <w:trHeight w:val="21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166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243</w:t>
            </w:r>
          </w:p>
        </w:tc>
        <w:tc>
          <w:tcPr>
            <w:tcW w:w="3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3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Additions based on tax positions related to the current year</w:t>
            </w: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Additions for tax positions of prior years</w:t>
            </w:r>
          </w:p>
        </w:tc>
        <w:tc>
          <w:tcPr>
            <w:tcW w:w="1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42</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w:t>
            </w:r>
          </w:p>
        </w:tc>
        <w:tc>
          <w:tcPr>
            <w:tcW w:w="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9"/>
                <w:szCs w:val="19"/>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Reductions for tax positions of prior years</w:t>
            </w: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Settlements with tax authorities</w:t>
            </w:r>
          </w:p>
        </w:tc>
        <w:tc>
          <w:tcPr>
            <w:tcW w:w="1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r>
      <w:tr>
        <w:trPr>
          <w:trHeight w:val="247"/>
        </w:trPr>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w:t>
            </w:r>
          </w:p>
        </w:tc>
        <w:tc>
          <w:tcPr>
            <w:tcW w:w="1660" w:type="dxa"/>
            <w:vAlign w:val="bottom"/>
            <w:tcBorders>
              <w:bottom w:val="single" w:sz="8" w:color="CFF0FC"/>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300</w:t>
            </w:r>
          </w:p>
        </w:tc>
        <w:tc>
          <w:tcPr>
            <w:tcW w:w="3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3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FF0FC"/>
            </w:tcBorders>
          </w:tcPr>
          <w:p>
            <w:pPr>
              <w:spacing w:after="0"/>
              <w:rPr>
                <w:sz w:val="21"/>
                <w:szCs w:val="21"/>
                <w:color w:val="auto"/>
              </w:rPr>
            </w:pPr>
          </w:p>
        </w:tc>
      </w:tr>
      <w:tr>
        <w:trPr>
          <w:trHeight w:val="199"/>
        </w:trPr>
        <w:tc>
          <w:tcPr>
            <w:tcW w:w="616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3"/>
        </w:trPr>
        <w:tc>
          <w:tcPr>
            <w:tcW w:w="6160" w:type="dxa"/>
            <w:vAlign w:val="bottom"/>
          </w:tcPr>
          <w:p>
            <w:pPr>
              <w:spacing w:after="0"/>
              <w:rPr>
                <w:sz w:val="20"/>
                <w:szCs w:val="20"/>
                <w:color w:val="auto"/>
              </w:rPr>
            </w:pPr>
            <w:r>
              <w:rPr>
                <w:rFonts w:ascii="Arial" w:cs="Arial" w:eastAsia="Arial" w:hAnsi="Arial"/>
                <w:sz w:val="16"/>
                <w:szCs w:val="16"/>
                <w:color w:val="auto"/>
              </w:rPr>
              <w:t>Interest income (expense) recognized in the year ended December 31</w:t>
            </w:r>
          </w:p>
        </w:tc>
        <w:tc>
          <w:tcPr>
            <w:tcW w:w="2300" w:type="dxa"/>
            <w:vAlign w:val="bottom"/>
            <w:gridSpan w:val="2"/>
          </w:tcPr>
          <w:p>
            <w:pPr>
              <w:jc w:val="right"/>
              <w:ind w:right="48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(19)</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2"/>
                <w:szCs w:val="22"/>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2"/>
                <w:szCs w:val="22"/>
                <w:color w:val="auto"/>
              </w:rPr>
            </w:pPr>
          </w:p>
        </w:tc>
      </w:tr>
      <w:tr>
        <w:trPr>
          <w:trHeight w:val="199"/>
        </w:trPr>
        <w:tc>
          <w:tcPr>
            <w:tcW w:w="6160" w:type="dxa"/>
            <w:vAlign w:val="bottom"/>
            <w:tcBorders>
              <w:top w:val="single" w:sz="8" w:color="CFF0FC"/>
            </w:tcBorders>
            <w:shd w:val="clear" w:color="auto" w:fill="CFF0FC"/>
          </w:tcPr>
          <w:p>
            <w:pPr>
              <w:spacing w:after="0"/>
              <w:rPr>
                <w:sz w:val="17"/>
                <w:szCs w:val="17"/>
                <w:color w:val="auto"/>
              </w:rPr>
            </w:pPr>
          </w:p>
        </w:tc>
        <w:tc>
          <w:tcPr>
            <w:tcW w:w="16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Interest receivable (payable) as of December 31</w:t>
            </w:r>
          </w:p>
        </w:tc>
        <w:tc>
          <w:tcPr>
            <w:tcW w:w="2300" w:type="dxa"/>
            <w:vAlign w:val="bottom"/>
            <w:gridSpan w:val="2"/>
          </w:tcPr>
          <w:p>
            <w:pPr>
              <w:jc w:val="right"/>
              <w:ind w:right="48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(38)</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All of the $300 million and the $243 million liabilities for uncertain tax positions as of December 31, 2017 and 2016, respectively, are comprised of positions that, if recognized, would lower the effective tax rate. If these liabilities are ultimately realized, $13 million and $12 million of existing deferred tax assets in 2017 and 2016, respectively, would also be realized. These deferred tax assets are related to refunds from counterparty jurisdictions resulting from procedures for relief from double taxation.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2017, the statute of limitations remains open for U.S. federal tax returns for 2010 and following years. Audit activities related to our U.S. federal tax returns through 2012 have been completed except for certain pending tax treaty procedures for relief from double taxation. The procedures for relief from double taxation pertain to U.S. federal tax returns for the years 2006 through 2011. The audit of the U.S. federal tax returns for 2013 through 2015 is underway.</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224"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We hold derivative financial instruments such as forward foreign currency exchange contracts, the fair value of which was not material as of December 31, 2017. Our forward foreign currency exchange contracts outstanding as of December 31, 2017, had a notional value of $365 million to hedge our non-U.S. dollar net balance sheet exposures, including $140 million to sell Japanese yen, $59 million to sell British pound sterling and $49 million to sell euros.</w:t>
      </w:r>
    </w:p>
    <w:p>
      <w:pPr>
        <w:spacing w:after="0" w:line="14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8 for a description of fair value and the definition of Level 2 inputs.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Risk concentration</w:t>
      </w:r>
    </w:p>
    <w:p>
      <w:pPr>
        <w:spacing w:after="0" w:line="225"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15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accounts receivable allowances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Borders>
              <w:bottom w:val="single" w:sz="8" w:color="CFF0FC"/>
            </w:tcBorders>
          </w:tcPr>
          <w:p>
            <w:pPr>
              <w:spacing w:after="0"/>
              <w:rPr>
                <w:sz w:val="18"/>
                <w:szCs w:val="18"/>
                <w:color w:val="auto"/>
              </w:rPr>
            </w:pPr>
          </w:p>
        </w:tc>
        <w:tc>
          <w:tcPr>
            <w:tcW w:w="236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FF0FC"/>
            </w:tcBorders>
          </w:tcPr>
          <w:p>
            <w:pPr>
              <w:spacing w:after="0"/>
              <w:rPr>
                <w:sz w:val="18"/>
                <w:szCs w:val="18"/>
                <w:color w:val="auto"/>
              </w:rPr>
            </w:pPr>
          </w:p>
        </w:tc>
      </w:tr>
      <w:tr>
        <w:trPr>
          <w:trHeight w:val="213"/>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Balance, January 1</w:t>
            </w:r>
          </w:p>
        </w:tc>
        <w:tc>
          <w:tcPr>
            <w:tcW w:w="236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8"/>
                <w:szCs w:val="18"/>
                <w:color w:val="auto"/>
              </w:rPr>
            </w:pPr>
          </w:p>
        </w:tc>
      </w:tr>
      <w:tr>
        <w:trPr>
          <w:trHeight w:val="213"/>
        </w:trPr>
        <w:tc>
          <w:tcPr>
            <w:tcW w:w="5480" w:type="dxa"/>
            <w:vAlign w:val="bottom"/>
          </w:tcPr>
          <w:p>
            <w:pPr>
              <w:spacing w:after="0"/>
              <w:rPr>
                <w:sz w:val="20"/>
                <w:szCs w:val="20"/>
                <w:color w:val="auto"/>
              </w:rPr>
            </w:pPr>
            <w:r>
              <w:rPr>
                <w:rFonts w:ascii="Arial" w:cs="Arial" w:eastAsia="Arial" w:hAnsi="Arial"/>
                <w:sz w:val="16"/>
                <w:szCs w:val="16"/>
                <w:color w:val="auto"/>
              </w:rPr>
              <w:t>Amounts charged (credited) to operating results</w:t>
            </w: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r>
      <w:tr>
        <w:trPr>
          <w:trHeight w:val="219"/>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Recoveries and write-offs, net</w:t>
            </w:r>
          </w:p>
        </w:tc>
        <w:tc>
          <w:tcPr>
            <w:tcW w:w="23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07"/>
        </w:trPr>
        <w:tc>
          <w:tcPr>
            <w:tcW w:w="5480" w:type="dxa"/>
            <w:vAlign w:val="bottom"/>
          </w:tcPr>
          <w:p>
            <w:pPr>
              <w:spacing w:after="0"/>
              <w:rPr>
                <w:sz w:val="20"/>
                <w:szCs w:val="20"/>
                <w:color w:val="auto"/>
              </w:rPr>
            </w:pPr>
            <w:r>
              <w:rPr>
                <w:rFonts w:ascii="Arial" w:cs="Arial" w:eastAsia="Arial" w:hAnsi="Arial"/>
                <w:sz w:val="16"/>
                <w:szCs w:val="16"/>
                <w:color w:val="auto"/>
              </w:rPr>
              <w:t>Balance, December 31</w:t>
            </w:r>
          </w:p>
        </w:tc>
        <w:tc>
          <w:tcPr>
            <w:tcW w:w="2360" w:type="dxa"/>
            <w:vAlign w:val="bottom"/>
          </w:tcPr>
          <w:p>
            <w:pPr>
              <w:spacing w:after="0"/>
              <w:rPr>
                <w:sz w:val="17"/>
                <w:szCs w:val="17"/>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b w:val="1"/>
                <w:bCs w:val="1"/>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00" w:type="dxa"/>
            <w:vAlign w:val="bottom"/>
          </w:tcPr>
          <w:p>
            <w:pPr>
              <w:spacing w:after="0"/>
              <w:rPr>
                <w:sz w:val="17"/>
                <w:szCs w:val="17"/>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w:t>
      </w:r>
    </w:p>
    <w:p>
      <w:pPr>
        <w:spacing w:after="0" w:line="2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No end customer accounted for 10 percent or more of revenue in 2017 or 2016. In 2015, Apple Inc. accounted for approximately 11 percent of revenue, recognized primarily in our Analog segment.</w:t>
      </w:r>
    </w:p>
    <w:p>
      <w:pPr>
        <w:spacing w:after="0" w:line="18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3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Available-for-sale and trading securities are stated at fair value, which is generally based on market prices or broker quotes. See </w:t>
      </w:r>
      <w:r>
        <w:rPr>
          <w:rFonts w:ascii="Arial" w:cs="Arial" w:eastAsia="Arial" w:hAnsi="Arial"/>
          <w:sz w:val="16"/>
          <w:szCs w:val="16"/>
          <w:i w:val="1"/>
          <w:iCs w:val="1"/>
          <w:color w:val="auto"/>
        </w:rPr>
        <w:t>Fair-value considerations</w:t>
      </w:r>
      <w:r>
        <w:rPr>
          <w:rFonts w:ascii="Arial" w:cs="Arial" w:eastAsia="Arial" w:hAnsi="Arial"/>
          <w:sz w:val="16"/>
          <w:szCs w:val="16"/>
          <w:color w:val="auto"/>
        </w:rPr>
        <w:t xml:space="preserve">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Details of our investments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December 31, 2017</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Cash and Cash</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w w:val="99"/>
              </w:rPr>
              <w:t>Short-Term</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b w:val="1"/>
                <w:bCs w:val="1"/>
                <w:color w:val="auto"/>
                <w:w w:val="98"/>
              </w:rPr>
              <w:t>Long-Term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Cash and Cash</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Short-Term</w:t>
            </w:r>
          </w:p>
        </w:tc>
        <w:tc>
          <w:tcPr>
            <w:tcW w:w="120" w:type="dxa"/>
            <w:vAlign w:val="bottom"/>
          </w:tcPr>
          <w:p>
            <w:pPr>
              <w:spacing w:after="0"/>
              <w:rPr>
                <w:sz w:val="17"/>
                <w:szCs w:val="17"/>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Long-Term</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Equivalents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Investments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rPr>
              <w:t>Equivalents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Investments</w:t>
            </w:r>
          </w:p>
        </w:tc>
        <w:tc>
          <w:tcPr>
            <w:tcW w:w="12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Investments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Measured at fair value:</w:t>
            </w:r>
          </w:p>
        </w:tc>
        <w:tc>
          <w:tcPr>
            <w:tcW w:w="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0" w:type="dxa"/>
            <w:vAlign w:val="bottom"/>
            <w:gridSpan w:val="2"/>
          </w:tcPr>
          <w:p>
            <w:pPr>
              <w:spacing w:after="0"/>
              <w:rPr>
                <w:sz w:val="20"/>
                <w:szCs w:val="20"/>
                <w:color w:val="auto"/>
              </w:rPr>
            </w:pPr>
            <w:r>
              <w:rPr>
                <w:rFonts w:ascii="Arial" w:cs="Arial" w:eastAsia="Arial" w:hAnsi="Arial"/>
                <w:sz w:val="16"/>
                <w:szCs w:val="16"/>
                <w:color w:val="auto"/>
              </w:rPr>
              <w:t>Available-for-sale securities: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Money market funds</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698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U.S. government agency and</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700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2,115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Treasury securities</w:t>
            </w: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00" w:type="dxa"/>
            <w:vAlign w:val="bottom"/>
            <w:gridSpan w:val="2"/>
          </w:tcPr>
          <w:p>
            <w:pPr>
              <w:spacing w:after="0"/>
              <w:rPr>
                <w:sz w:val="20"/>
                <w:szCs w:val="20"/>
                <w:color w:val="auto"/>
              </w:rPr>
            </w:pPr>
            <w:r>
              <w:rPr>
                <w:rFonts w:ascii="Arial" w:cs="Arial" w:eastAsia="Arial" w:hAnsi="Arial"/>
                <w:sz w:val="16"/>
                <w:szCs w:val="16"/>
                <w:color w:val="auto"/>
              </w:rPr>
              <w:t>Trading securities: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Mutual funds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00" w:type="dxa"/>
            <w:vAlign w:val="bottom"/>
            <w:gridSpan w:val="2"/>
          </w:tcPr>
          <w:p>
            <w:pPr>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1,397</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2,813</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2,336</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3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6"/>
                <w:szCs w:val="16"/>
                <w:b w:val="1"/>
                <w:bCs w:val="1"/>
                <w:color w:val="auto"/>
              </w:rPr>
              <w:t>Other measurement basis: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Equity-method investments</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Cost-method investments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on hand</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259</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211</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00" w:type="dxa"/>
            <w:vAlign w:val="bottom"/>
            <w:gridSpan w:val="2"/>
          </w:tcPr>
          <w:p>
            <w:pPr>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1,656</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2,813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1,154</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2,336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December 31, 2017 and 2016, unrealized gains and losses associated with our available-for-sale investments were not material. We did not recognize any credit losses related to available-for-sale investments in 2017, 2016 and 2015. All of our debt securities classified as available for sale as of December 31, 2017, have maturities within one year.</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2017, 2016 and 2015, the proceeds from sales, redemptions and maturities of short-term available-for-sale investments were $4.10 billion, $3.39 billion and $2.89 billion, respectively. Gross realized gains and losses from these sales were not material.</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Other-than-temporary declines and impairments in the values of our debt and equity investments, which were recognized in OI&amp;E, were not material in 2017, 2016 and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17"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Uses unadjusted quoted prices that are available in active markets for identical assets or liabilities as of the reporting date.</w:t>
      </w:r>
    </w:p>
    <w:p>
      <w:pPr>
        <w:spacing w:after="0" w:line="128"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70" w:lineRule="exact"/>
        <w:rPr>
          <w:rFonts w:ascii="Arial" w:cs="Arial" w:eastAsia="Arial" w:hAnsi="Arial"/>
          <w:sz w:val="17"/>
          <w:szCs w:val="17"/>
          <w:color w:val="auto"/>
        </w:rPr>
      </w:pPr>
    </w:p>
    <w:p>
      <w:pPr>
        <w:ind w:left="1040" w:right="220" w:hanging="519"/>
        <w:spacing w:after="0" w:line="312" w:lineRule="auto"/>
        <w:tabs>
          <w:tab w:leader="none" w:pos="104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Uses inputs that are unobservable, supported by little or no market activity and reflect the use of significant management judgment.</w:t>
      </w:r>
      <w:r>
        <w:rPr>
          <w:rFonts w:ascii="Arial" w:cs="Arial" w:eastAsia="Arial" w:hAnsi="Arial"/>
          <w:sz w:val="16"/>
          <w:szCs w:val="16"/>
          <w:i w:val="1"/>
          <w:iCs w:val="1"/>
          <w:color w:val="auto"/>
        </w:rPr>
        <w:t xml:space="preserve"> </w:t>
      </w:r>
      <w:r>
        <w:rPr>
          <w:rFonts w:ascii="Arial" w:cs="Arial" w:eastAsia="Arial" w:hAnsi="Arial"/>
          <w:sz w:val="16"/>
          <w:szCs w:val="16"/>
          <w:color w:val="auto"/>
        </w:rPr>
        <w:t>These values are generally determined using pricing models that utilize management estimates of market participant assumptions. As of December 31, 2017 and 2016, we had no Level 3 assets or liabilities, other than certain assets held by our postretirement plans.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6" w:name="page47"/>
    <w:bookmarkEnd w:id="46"/>
    <w:p>
      <w:pPr>
        <w:ind w:right="12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2017</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December 31, 2016</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80" w:type="dxa"/>
            <w:vAlign w:val="bottom"/>
          </w:tcPr>
          <w:p>
            <w:pPr>
              <w:spacing w:after="0"/>
              <w:rPr>
                <w:sz w:val="18"/>
                <w:szCs w:val="18"/>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Level 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4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525</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Corporate obligations</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640" w:type="dxa"/>
            <w:vAlign w:val="bottom"/>
          </w:tcPr>
          <w:p>
            <w:pPr>
              <w:ind w:left="120"/>
              <w:spacing w:after="0"/>
              <w:rPr>
                <w:sz w:val="20"/>
                <w:szCs w:val="20"/>
                <w:color w:val="auto"/>
              </w:rPr>
            </w:pPr>
            <w:r>
              <w:rPr>
                <w:rFonts w:ascii="Arial" w:cs="Arial" w:eastAsia="Arial" w:hAnsi="Arial"/>
                <w:sz w:val="16"/>
                <w:szCs w:val="16"/>
                <w:color w:val="auto"/>
              </w:rPr>
              <w:t>U.S. government agency and</w:t>
            </w:r>
          </w:p>
        </w:tc>
        <w:tc>
          <w:tcPr>
            <w:tcW w:w="1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2,765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2,815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40" w:type="dxa"/>
            <w:vAlign w:val="bottom"/>
          </w:tcPr>
          <w:p>
            <w:pPr>
              <w:ind w:left="240"/>
              <w:spacing w:after="0"/>
              <w:rPr>
                <w:sz w:val="20"/>
                <w:szCs w:val="20"/>
                <w:color w:val="auto"/>
              </w:rPr>
            </w:pPr>
            <w:r>
              <w:rPr>
                <w:rFonts w:ascii="Arial" w:cs="Arial" w:eastAsia="Arial" w:hAnsi="Arial"/>
                <w:sz w:val="16"/>
                <w:szCs w:val="16"/>
                <w:color w:val="auto"/>
              </w:rPr>
              <w:t>Treasury securities</w:t>
            </w: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Mutual funds</w:t>
            </w: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236</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6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3,526</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920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4,446</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2,589</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891</w:t>
            </w:r>
          </w:p>
        </w:tc>
        <w:tc>
          <w:tcPr>
            <w:tcW w:w="32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46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Deferred compensation</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255</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w:t>
            </w: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255</w:t>
            </w:r>
          </w:p>
        </w:tc>
        <w:tc>
          <w:tcPr>
            <w:tcW w:w="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vMerge w:val="continue"/>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255</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as of December 31, 2017 and 2016,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2"/>
          </w:tcPr>
          <w:p>
            <w:pPr>
              <w:ind w:left="320"/>
              <w:spacing w:after="0"/>
              <w:rPr>
                <w:sz w:val="20"/>
                <w:szCs w:val="20"/>
                <w:color w:val="auto"/>
              </w:rPr>
            </w:pPr>
            <w:r>
              <w:rPr>
                <w:rFonts w:ascii="Arial" w:cs="Arial" w:eastAsia="Arial" w:hAnsi="Arial"/>
                <w:sz w:val="16"/>
                <w:szCs w:val="16"/>
                <w:b w:val="1"/>
                <w:bCs w:val="1"/>
                <w:color w:val="auto"/>
              </w:rPr>
              <w:t>Goodwill</w:t>
            </w:r>
          </w:p>
        </w:tc>
      </w:tr>
      <w:tr>
        <w:trPr>
          <w:trHeight w:val="213"/>
        </w:trPr>
        <w:tc>
          <w:tcPr>
            <w:tcW w:w="9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Analog</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4,158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200" w:type="dxa"/>
            <w:vAlign w:val="bottom"/>
          </w:tcPr>
          <w:p>
            <w:pPr>
              <w:spacing w:after="0"/>
              <w:rPr>
                <w:sz w:val="20"/>
                <w:szCs w:val="20"/>
                <w:color w:val="auto"/>
              </w:rPr>
            </w:pPr>
            <w:r>
              <w:rPr>
                <w:rFonts w:ascii="Arial" w:cs="Arial" w:eastAsia="Arial" w:hAnsi="Arial"/>
                <w:sz w:val="16"/>
                <w:szCs w:val="16"/>
                <w:color w:val="auto"/>
              </w:rPr>
              <w:t>Embedded Processing</w:t>
            </w:r>
          </w:p>
        </w:tc>
        <w:tc>
          <w:tcPr>
            <w:tcW w:w="4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r>
      <w:tr>
        <w:trPr>
          <w:trHeight w:val="21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9"/>
                <w:szCs w:val="19"/>
                <w:color w:val="auto"/>
              </w:rPr>
            </w:pPr>
          </w:p>
        </w:tc>
      </w:tr>
      <w:tr>
        <w:trPr>
          <w:trHeight w:val="207"/>
        </w:trPr>
        <w:tc>
          <w:tcPr>
            <w:tcW w:w="9200" w:type="dxa"/>
            <w:vAlign w:val="bottom"/>
          </w:tcPr>
          <w:p>
            <w:pPr>
              <w:spacing w:after="0"/>
              <w:rPr>
                <w:sz w:val="20"/>
                <w:szCs w:val="20"/>
                <w:color w:val="auto"/>
              </w:rPr>
            </w:pPr>
            <w:r>
              <w:rPr>
                <w:rFonts w:ascii="Arial" w:cs="Arial" w:eastAsia="Arial" w:hAnsi="Arial"/>
                <w:sz w:val="16"/>
                <w:szCs w:val="16"/>
                <w:color w:val="auto"/>
              </w:rPr>
              <w:t>Total</w:t>
            </w:r>
          </w:p>
        </w:tc>
        <w:tc>
          <w:tcPr>
            <w:tcW w:w="4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c>
          <w:tcPr>
            <w:tcW w:w="100" w:type="dxa"/>
            <w:vAlign w:val="bottom"/>
          </w:tcPr>
          <w:p>
            <w:pPr>
              <w:spacing w:after="0"/>
              <w:rPr>
                <w:sz w:val="17"/>
                <w:szCs w:val="17"/>
                <w:color w:val="auto"/>
              </w:rPr>
            </w:pPr>
          </w:p>
        </w:tc>
      </w:tr>
      <w:tr>
        <w:trPr>
          <w:trHeight w:val="20"/>
        </w:trPr>
        <w:tc>
          <w:tcPr>
            <w:tcW w:w="9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as described in Note 8. In 2017, 2016 and 2015, we determined no impairment was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December 31, 2017</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06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Period</w:t>
            </w:r>
          </w:p>
        </w:tc>
        <w:tc>
          <w:tcPr>
            <w:tcW w:w="12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Gross Carrying</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Accumulated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9"/>
        </w:trPr>
        <w:tc>
          <w:tcPr>
            <w:tcW w:w="2060" w:type="dxa"/>
            <w:vAlign w:val="bottom"/>
            <w:tcBorders>
              <w:bottom w:val="single" w:sz="8" w:color="CFF0FC"/>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Amortization</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Net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6"/>
              </w:rPr>
              <w:t>Amortization</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Net</w:t>
            </w:r>
          </w:p>
        </w:tc>
        <w:tc>
          <w:tcPr>
            <w:tcW w:w="60" w:type="dxa"/>
            <w:vAlign w:val="bottom"/>
            <w:tcBorders>
              <w:bottom w:val="single" w:sz="8" w:color="CFF0FC"/>
            </w:tcBorders>
          </w:tcPr>
          <w:p>
            <w:pPr>
              <w:spacing w:after="0"/>
              <w:rPr>
                <w:sz w:val="19"/>
                <w:szCs w:val="19"/>
                <w:color w:val="auto"/>
              </w:rPr>
            </w:pPr>
          </w:p>
        </w:tc>
      </w:tr>
      <w:tr>
        <w:trPr>
          <w:trHeight w:val="213"/>
        </w:trPr>
        <w:tc>
          <w:tcPr>
            <w:tcW w:w="206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136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7 - 10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2,130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769</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w:t>
            </w:r>
          </w:p>
        </w:tc>
        <w:tc>
          <w:tcPr>
            <w:tcW w:w="60" w:type="dxa"/>
            <w:vAlign w:val="bottom"/>
            <w:shd w:val="clear" w:color="auto" w:fill="CFF0FC"/>
          </w:tcPr>
          <w:p>
            <w:pPr>
              <w:spacing w:after="0"/>
              <w:rPr>
                <w:sz w:val="18"/>
                <w:szCs w:val="18"/>
                <w:color w:val="auto"/>
              </w:rPr>
            </w:pPr>
          </w:p>
        </w:tc>
      </w:tr>
      <w:tr>
        <w:trPr>
          <w:trHeight w:val="213"/>
        </w:trPr>
        <w:tc>
          <w:tcPr>
            <w:tcW w:w="2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w:t>
            </w:r>
          </w:p>
        </w:tc>
        <w:tc>
          <w:tcPr>
            <w:tcW w:w="1360" w:type="dxa"/>
            <w:vAlign w:val="bottom"/>
            <w:tcBorders>
              <w:bottom w:val="single" w:sz="8" w:color="CFF0FC"/>
            </w:tcBorders>
          </w:tcPr>
          <w:p>
            <w:pPr>
              <w:jc w:val="right"/>
              <w:ind w:right="5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60" w:type="dxa"/>
            <w:vAlign w:val="bottom"/>
            <w:tcBorders>
              <w:bottom w:val="single" w:sz="8" w:color="CFF0FC"/>
            </w:tcBorders>
          </w:tcPr>
          <w:p>
            <w:pPr>
              <w:spacing w:after="0"/>
              <w:rPr>
                <w:sz w:val="18"/>
                <w:szCs w:val="18"/>
                <w:color w:val="auto"/>
              </w:rPr>
            </w:pPr>
          </w:p>
        </w:tc>
      </w:tr>
      <w:tr>
        <w:trPr>
          <w:trHeight w:val="210"/>
        </w:trPr>
        <w:tc>
          <w:tcPr>
            <w:tcW w:w="20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2,940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1,264</w:t>
            </w:r>
          </w:p>
        </w:tc>
        <w:tc>
          <w:tcPr>
            <w:tcW w:w="60" w:type="dxa"/>
            <w:vAlign w:val="bottom"/>
            <w:shd w:val="clear" w:color="auto" w:fill="CFF0FC"/>
          </w:tcPr>
          <w:p>
            <w:pPr>
              <w:spacing w:after="0"/>
              <w:rPr>
                <w:sz w:val="18"/>
                <w:szCs w:val="18"/>
                <w:color w:val="auto"/>
              </w:rPr>
            </w:pPr>
          </w:p>
        </w:tc>
      </w:tr>
      <w:tr>
        <w:trPr>
          <w:trHeight w:val="20"/>
        </w:trPr>
        <w:tc>
          <w:tcPr>
            <w:tcW w:w="20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Amortization of acquisition-related intangibles was $318 million, $319 million and $319 million in 2017, 2016 and 2015, respectively. Fully amortized assets are written off against accumulated amortization. Remaining estimated amortization of acquisition-related intangibles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Amortization of</w:t>
            </w:r>
          </w:p>
        </w:tc>
      </w:tr>
      <w:tr>
        <w:trPr>
          <w:trHeight w:val="203"/>
        </w:trPr>
        <w:tc>
          <w:tcPr>
            <w:tcW w:w="9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Acquisition-Related</w:t>
            </w:r>
          </w:p>
        </w:tc>
      </w:tr>
      <w:tr>
        <w:trPr>
          <w:trHeight w:val="213"/>
        </w:trPr>
        <w:tc>
          <w:tcPr>
            <w:tcW w:w="9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Intangibles</w:t>
            </w:r>
          </w:p>
        </w:tc>
      </w:tr>
      <w:tr>
        <w:trPr>
          <w:trHeight w:val="213"/>
        </w:trPr>
        <w:tc>
          <w:tcPr>
            <w:tcW w:w="9420" w:type="dxa"/>
            <w:vAlign w:val="bottom"/>
            <w:tcBorders>
              <w:top w:val="single" w:sz="8" w:color="CFF0FC"/>
            </w:tcBorders>
            <w:shd w:val="clear" w:color="auto" w:fill="CFF0FC"/>
          </w:tcPr>
          <w:p>
            <w:pPr>
              <w:jc w:val="right"/>
              <w:ind w:right="8999"/>
              <w:spacing w:after="0"/>
              <w:rPr>
                <w:sz w:val="20"/>
                <w:szCs w:val="20"/>
                <w:color w:val="auto"/>
              </w:rPr>
            </w:pPr>
            <w:r>
              <w:rPr>
                <w:rFonts w:ascii="Arial" w:cs="Arial" w:eastAsia="Arial" w:hAnsi="Arial"/>
                <w:sz w:val="16"/>
                <w:szCs w:val="16"/>
                <w:color w:val="auto"/>
                <w:w w:val="89"/>
              </w:rPr>
              <w:t>2018</w:t>
            </w:r>
          </w:p>
        </w:tc>
        <w:tc>
          <w:tcPr>
            <w:tcW w:w="160" w:type="dxa"/>
            <w:vAlign w:val="bottom"/>
            <w:tcBorders>
              <w:top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420" w:type="dxa"/>
            <w:vAlign w:val="bottom"/>
          </w:tcPr>
          <w:p>
            <w:pPr>
              <w:jc w:val="right"/>
              <w:ind w:right="8999"/>
              <w:spacing w:after="0"/>
              <w:rPr>
                <w:sz w:val="20"/>
                <w:szCs w:val="20"/>
                <w:color w:val="auto"/>
              </w:rPr>
            </w:pPr>
            <w:r>
              <w:rPr>
                <w:rFonts w:ascii="Arial" w:cs="Arial" w:eastAsia="Arial" w:hAnsi="Arial"/>
                <w:sz w:val="16"/>
                <w:szCs w:val="16"/>
                <w:color w:val="auto"/>
                <w:w w:val="89"/>
              </w:rPr>
              <w:t>2019</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r>
      <w:tr>
        <w:trPr>
          <w:trHeight w:val="219"/>
        </w:trPr>
        <w:tc>
          <w:tcPr>
            <w:tcW w:w="9420" w:type="dxa"/>
            <w:vAlign w:val="bottom"/>
            <w:shd w:val="clear" w:color="auto" w:fill="CFF0FC"/>
          </w:tcPr>
          <w:p>
            <w:pPr>
              <w:jc w:val="right"/>
              <w:ind w:right="8999"/>
              <w:spacing w:after="0"/>
              <w:rPr>
                <w:sz w:val="20"/>
                <w:szCs w:val="20"/>
                <w:color w:val="auto"/>
              </w:rPr>
            </w:pPr>
            <w:r>
              <w:rPr>
                <w:rFonts w:ascii="Arial" w:cs="Arial" w:eastAsia="Arial" w:hAnsi="Arial"/>
                <w:sz w:val="16"/>
                <w:szCs w:val="16"/>
                <w:color w:val="auto"/>
                <w:w w:val="89"/>
              </w:rPr>
              <w:t>2020</w:t>
            </w:r>
          </w:p>
        </w:tc>
        <w:tc>
          <w:tcPr>
            <w:tcW w:w="1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FF0FC"/>
          </w:tcPr>
          <w:p>
            <w:pPr>
              <w:spacing w:after="0"/>
              <w:rPr>
                <w:sz w:val="19"/>
                <w:szCs w:val="19"/>
                <w:color w:val="auto"/>
              </w:rPr>
            </w:pPr>
          </w:p>
        </w:tc>
      </w:tr>
      <w:tr>
        <w:trPr>
          <w:trHeight w:val="210"/>
        </w:trPr>
        <w:tc>
          <w:tcPr>
            <w:tcW w:w="9420" w:type="dxa"/>
            <w:vAlign w:val="bottom"/>
          </w:tcPr>
          <w:p>
            <w:pPr>
              <w:jc w:val="right"/>
              <w:ind w:right="8999"/>
              <w:spacing w:after="0"/>
              <w:rPr>
                <w:sz w:val="20"/>
                <w:szCs w:val="20"/>
                <w:color w:val="auto"/>
              </w:rPr>
            </w:pPr>
            <w:r>
              <w:rPr>
                <w:rFonts w:ascii="Arial" w:cs="Arial" w:eastAsia="Arial" w:hAnsi="Arial"/>
                <w:sz w:val="16"/>
                <w:szCs w:val="16"/>
                <w:color w:val="auto"/>
                <w:w w:val="89"/>
              </w:rPr>
              <w:t>2021</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 described below.</w:t>
      </w:r>
    </w:p>
    <w:p>
      <w:pPr>
        <w:spacing w:after="0" w:line="19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Both defined contribution plans offer an employer-matching savings option that allows employees to make pre-tax contributions to various investment choices.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December 31, 2017 and 2016, as a result of employees’ elections, TI’s U.S. defined contribution plans held shares of TI common stock totaling 10 million shares and 11 million shares valued at $1.00 billion and $796 million, respectively. Dividends paid on these shares in 2017 and 2016 were $22 million and $20 million, respectively. Effective April 1, 2016, the TI common stock fund was frozen to new contributions or transfers into the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$61 million in 2017 and $60 million in 2016 and 2015.</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2017 and 2016, as a result of employees’ elections, TI’s non-U.S. defined contribution plans held TI common stock valued at $27 million and $20 million, respectively. Dividends paid on these shares of TI common stock in 2017 and 2016 were not material.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6"/>
          </w:tcPr>
          <w:p>
            <w:pPr>
              <w:jc w:val="right"/>
              <w:spacing w:after="0"/>
              <w:rPr>
                <w:sz w:val="20"/>
                <w:szCs w:val="20"/>
                <w:color w:val="auto"/>
              </w:rPr>
            </w:pPr>
            <w:r>
              <w:rPr>
                <w:rFonts w:ascii="Arial" w:cs="Arial" w:eastAsia="Arial" w:hAnsi="Arial"/>
                <w:sz w:val="16"/>
                <w:szCs w:val="16"/>
                <w:b w:val="1"/>
                <w:bCs w:val="1"/>
                <w:color w:val="auto"/>
              </w:rPr>
              <w:t>U.S. Defined Benefit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9"/>
          </w:tcPr>
          <w:p>
            <w:pPr>
              <w:jc w:val="right"/>
              <w:ind w:right="620"/>
              <w:spacing w:after="0"/>
              <w:rPr>
                <w:sz w:val="20"/>
                <w:szCs w:val="20"/>
                <w:color w:val="auto"/>
              </w:rPr>
            </w:pPr>
            <w:r>
              <w:rPr>
                <w:rFonts w:ascii="Arial" w:cs="Arial" w:eastAsia="Arial" w:hAnsi="Arial"/>
                <w:sz w:val="16"/>
                <w:szCs w:val="16"/>
                <w:b w:val="1"/>
                <w:bCs w:val="1"/>
                <w:color w:val="auto"/>
              </w:rPr>
              <w:t>U.S. Retiree Health Care</w:t>
            </w:r>
          </w:p>
        </w:tc>
        <w:tc>
          <w:tcPr>
            <w:tcW w:w="100" w:type="dxa"/>
            <w:vAlign w:val="bottom"/>
          </w:tcPr>
          <w:p>
            <w:pPr>
              <w:spacing w:after="0"/>
              <w:rPr>
                <w:sz w:val="18"/>
                <w:szCs w:val="18"/>
                <w:color w:val="auto"/>
              </w:rPr>
            </w:pPr>
          </w:p>
        </w:tc>
        <w:tc>
          <w:tcPr>
            <w:tcW w:w="2540" w:type="dxa"/>
            <w:vAlign w:val="bottom"/>
            <w:gridSpan w:val="9"/>
          </w:tcPr>
          <w:p>
            <w:pPr>
              <w:jc w:val="right"/>
              <w:ind w:right="520"/>
              <w:spacing w:after="0"/>
              <w:rPr>
                <w:sz w:val="20"/>
                <w:szCs w:val="20"/>
                <w:color w:val="auto"/>
              </w:rPr>
            </w:pPr>
            <w:r>
              <w:rPr>
                <w:rFonts w:ascii="Arial" w:cs="Arial" w:eastAsia="Arial" w:hAnsi="Arial"/>
                <w:sz w:val="16"/>
                <w:szCs w:val="16"/>
                <w:b w:val="1"/>
                <w:bCs w:val="1"/>
                <w:color w:val="auto"/>
              </w:rPr>
              <w:t>Non-U.S. Defined Benefit</w:t>
            </w:r>
          </w:p>
        </w:tc>
      </w:tr>
      <w:tr>
        <w:trPr>
          <w:trHeight w:val="210"/>
        </w:trPr>
        <w:tc>
          <w:tcPr>
            <w:tcW w:w="314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2017</w:t>
            </w:r>
          </w:p>
        </w:tc>
        <w:tc>
          <w:tcPr>
            <w:tcW w:w="2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2016</w:t>
            </w:r>
          </w:p>
        </w:tc>
        <w:tc>
          <w:tcPr>
            <w:tcW w:w="2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2015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2017</w:t>
            </w:r>
          </w:p>
        </w:tc>
        <w:tc>
          <w:tcPr>
            <w:tcW w:w="14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2016</w:t>
            </w:r>
          </w:p>
        </w:tc>
        <w:tc>
          <w:tcPr>
            <w:tcW w:w="26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2015</w:t>
            </w:r>
          </w:p>
        </w:tc>
        <w:tc>
          <w:tcPr>
            <w:tcW w:w="26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2017</w:t>
            </w:r>
          </w:p>
        </w:tc>
        <w:tc>
          <w:tcPr>
            <w:tcW w:w="16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8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2015</w:t>
            </w:r>
          </w:p>
        </w:tc>
        <w:tc>
          <w:tcPr>
            <w:tcW w:w="140" w:type="dxa"/>
            <w:vAlign w:val="bottom"/>
            <w:tcBorders>
              <w:bottom w:val="single" w:sz="8" w:color="CFF0FC"/>
            </w:tcBorders>
          </w:tcPr>
          <w:p>
            <w:pPr>
              <w:spacing w:after="0"/>
              <w:rPr>
                <w:sz w:val="18"/>
                <w:szCs w:val="18"/>
                <w:color w:val="auto"/>
              </w:rPr>
            </w:pPr>
          </w:p>
        </w:tc>
      </w:tr>
      <w:tr>
        <w:trPr>
          <w:trHeight w:val="212"/>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8"/>
                <w:szCs w:val="18"/>
                <w:color w:val="auto"/>
              </w:rPr>
            </w:pP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Interest cost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r>
      <w:tr>
        <w:trPr>
          <w:trHeight w:val="21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Expected return on plan assets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(62)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w:t>
            </w:r>
          </w:p>
        </w:tc>
      </w:tr>
      <w:tr>
        <w:trPr>
          <w:trHeight w:val="213"/>
        </w:trPr>
        <w:tc>
          <w:tcPr>
            <w:tcW w:w="3140" w:type="dxa"/>
            <w:vAlign w:val="bottom"/>
          </w:tcPr>
          <w:p>
            <w:pPr>
              <w:spacing w:after="0"/>
              <w:rPr>
                <w:sz w:val="20"/>
                <w:szCs w:val="20"/>
                <w:color w:val="auto"/>
              </w:rPr>
            </w:pPr>
            <w:r>
              <w:rPr>
                <w:rFonts w:ascii="Arial" w:cs="Arial" w:eastAsia="Arial" w:hAnsi="Arial"/>
                <w:sz w:val="16"/>
                <w:szCs w:val="16"/>
                <w:color w:val="auto"/>
              </w:rPr>
              <w:t>Amortization of prior service cost (credit)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r>
      <w:tr>
        <w:trPr>
          <w:trHeight w:val="219"/>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Recognized net actuarial loss</w:t>
            </w:r>
          </w:p>
        </w:tc>
        <w:tc>
          <w:tcPr>
            <w:tcW w:w="3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40" w:type="dxa"/>
            <w:vAlign w:val="bottom"/>
            <w:shd w:val="clear" w:color="auto" w:fill="CFF0FC"/>
          </w:tcPr>
          <w:p>
            <w:pPr>
              <w:spacing w:after="0"/>
              <w:rPr>
                <w:sz w:val="19"/>
                <w:szCs w:val="19"/>
                <w:color w:val="auto"/>
              </w:rPr>
            </w:pPr>
          </w:p>
        </w:tc>
      </w:tr>
      <w:tr>
        <w:trPr>
          <w:trHeight w:val="207"/>
        </w:trPr>
        <w:tc>
          <w:tcPr>
            <w:tcW w:w="3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periodic benefit costs</w:t>
            </w:r>
          </w:p>
        </w:tc>
        <w:tc>
          <w:tcPr>
            <w:tcW w:w="3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40" w:type="dxa"/>
            <w:vAlign w:val="bottom"/>
            <w:tcBorders>
              <w:bottom w:val="single" w:sz="8" w:color="CFF0FC"/>
            </w:tcBorders>
          </w:tcPr>
          <w:p>
            <w:pPr>
              <w:spacing w:after="0"/>
              <w:rPr>
                <w:sz w:val="17"/>
                <w:szCs w:val="17"/>
                <w:color w:val="auto"/>
              </w:rPr>
            </w:pPr>
          </w:p>
        </w:tc>
      </w:tr>
      <w:tr>
        <w:trPr>
          <w:trHeight w:val="212"/>
        </w:trPr>
        <w:tc>
          <w:tcPr>
            <w:tcW w:w="3140" w:type="dxa"/>
            <w:vAlign w:val="bottom"/>
            <w:shd w:val="clear" w:color="auto" w:fill="CFF0FC"/>
          </w:tcPr>
          <w:p>
            <w:pPr>
              <w:spacing w:after="0"/>
              <w:rPr>
                <w:sz w:val="20"/>
                <w:szCs w:val="20"/>
                <w:color w:val="auto"/>
              </w:rPr>
            </w:pPr>
            <w:r>
              <w:rPr>
                <w:rFonts w:ascii="Arial" w:cs="Arial" w:eastAsia="Arial" w:hAnsi="Arial"/>
                <w:sz w:val="16"/>
                <w:szCs w:val="16"/>
                <w:color w:val="auto"/>
              </w:rPr>
              <w:t>Settlement losses</w:t>
            </w:r>
          </w:p>
        </w:tc>
        <w:tc>
          <w:tcPr>
            <w:tcW w:w="3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8"/>
                <w:szCs w:val="18"/>
                <w:color w:val="auto"/>
              </w:rPr>
            </w:pPr>
          </w:p>
        </w:tc>
      </w:tr>
      <w:tr>
        <w:trPr>
          <w:trHeight w:val="207"/>
        </w:trPr>
        <w:tc>
          <w:tcPr>
            <w:tcW w:w="3140" w:type="dxa"/>
            <w:vAlign w:val="bottom"/>
          </w:tcPr>
          <w:p>
            <w:pPr>
              <w:spacing w:after="0"/>
              <w:rPr>
                <w:sz w:val="20"/>
                <w:szCs w:val="20"/>
                <w:color w:val="auto"/>
              </w:rPr>
            </w:pPr>
            <w:r>
              <w:rPr>
                <w:rFonts w:ascii="Arial" w:cs="Arial" w:eastAsia="Arial" w:hAnsi="Arial"/>
                <w:sz w:val="16"/>
                <w:szCs w:val="16"/>
                <w:color w:val="auto"/>
              </w:rPr>
              <w:t>Total, including other postretirement losses</w:t>
            </w:r>
          </w:p>
        </w:tc>
        <w:tc>
          <w:tcPr>
            <w:tcW w:w="3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6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17"/>
                <w:szCs w:val="17"/>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With our early adoption of ASU 2017-07, all defined benefit and retiree health care benefit plan expense components other than service cost are recognized in OI&amp;E in our Consolidated Statements of Income. Service cost is recognized within Operating profit. See Note 2 for additional information.</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44"/>
              <w:spacing w:after="0"/>
              <w:rPr>
                <w:sz w:val="20"/>
                <w:szCs w:val="20"/>
                <w:color w:val="auto"/>
              </w:rPr>
            </w:pPr>
            <w:r>
              <w:rPr>
                <w:rFonts w:ascii="Arial" w:cs="Arial" w:eastAsia="Arial" w:hAnsi="Arial"/>
                <w:sz w:val="16"/>
                <w:szCs w:val="16"/>
                <w:b w:val="1"/>
                <w:bCs w:val="1"/>
                <w:color w:val="auto"/>
              </w:rPr>
              <w:t>U.S.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64"/>
              <w:spacing w:after="0"/>
              <w:rPr>
                <w:sz w:val="20"/>
                <w:szCs w:val="20"/>
                <w:color w:val="auto"/>
              </w:rPr>
            </w:pPr>
            <w:r>
              <w:rPr>
                <w:rFonts w:ascii="Arial" w:cs="Arial" w:eastAsia="Arial" w:hAnsi="Arial"/>
                <w:sz w:val="16"/>
                <w:szCs w:val="16"/>
                <w:b w:val="1"/>
                <w:bCs w:val="1"/>
                <w:color w:val="auto"/>
              </w:rPr>
              <w:t>U.S.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b w:val="1"/>
                <w:bCs w:val="1"/>
                <w:color w:val="auto"/>
              </w:rPr>
              <w:t>Non-U.S.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9"/>
                <w:szCs w:val="19"/>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6"/>
              </w:rPr>
              <w:t>Retiree Health Care</w:t>
            </w:r>
          </w:p>
        </w:tc>
        <w:tc>
          <w:tcPr>
            <w:tcW w:w="160" w:type="dxa"/>
            <w:vAlign w:val="bottom"/>
          </w:tcPr>
          <w:p>
            <w:pPr>
              <w:spacing w:after="0"/>
              <w:rPr>
                <w:sz w:val="19"/>
                <w:szCs w:val="19"/>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Defined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Change in plan benefit obligation</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6"/>
                <w:szCs w:val="16"/>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1,030</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1,033</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434</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463</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2,361</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Participant contributions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(39)</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(90)</w:t>
            </w:r>
          </w:p>
        </w:tc>
        <w:tc>
          <w:tcPr>
            <w:tcW w:w="2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Medicare subsidy</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Actuarial loss (gain)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(52)</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(196)</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Plan amendments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Effects of exchange rate changes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Benefit obligation at end of year (BO)</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998</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w:t>
            </w:r>
          </w:p>
        </w:tc>
        <w:tc>
          <w:tcPr>
            <w:tcW w:w="24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2,469</w:t>
            </w:r>
          </w:p>
        </w:tc>
        <w:tc>
          <w:tcPr>
            <w:tcW w:w="2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6"/>
                <w:szCs w:val="16"/>
                <w:b w:val="1"/>
                <w:bCs w:val="1"/>
                <w:color w:val="auto"/>
              </w:rPr>
              <w:t>Change in plan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Fair value of plan assets at beginning of year:</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Actual return on plan assets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Employer contributions (qualified plans)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Employer contributions (non-qualified plans)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Participant contributions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Benefits paid</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(39)</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(90)</w:t>
            </w:r>
          </w:p>
        </w:tc>
        <w:tc>
          <w:tcPr>
            <w:tcW w:w="2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Settlements</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(196)</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(85)</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(13)</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Pr>
          <w:p>
            <w:pPr>
              <w:ind w:left="240"/>
              <w:spacing w:after="0"/>
              <w:rPr>
                <w:sz w:val="20"/>
                <w:szCs w:val="20"/>
                <w:color w:val="auto"/>
              </w:rPr>
            </w:pPr>
            <w:r>
              <w:rPr>
                <w:rFonts w:ascii="Arial" w:cs="Arial" w:eastAsia="Arial" w:hAnsi="Arial"/>
                <w:sz w:val="16"/>
                <w:szCs w:val="16"/>
                <w:color w:val="auto"/>
              </w:rPr>
              <w:t>Effects of exchange rate changes</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(55)</w:t>
            </w: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30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Fair value of plan assets at end of year (FVPA)</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394</w:t>
            </w:r>
          </w:p>
        </w:tc>
        <w:tc>
          <w:tcPr>
            <w:tcW w:w="24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220" w:type="dxa"/>
            <w:vAlign w:val="bottom"/>
            <w:tcBorders>
              <w:bottom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2,593</w:t>
            </w:r>
          </w:p>
        </w:tc>
        <w:tc>
          <w:tcPr>
            <w:tcW w:w="220" w:type="dxa"/>
            <w:vAlign w:val="bottom"/>
            <w:tcBorders>
              <w:bottom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20" w:type="dxa"/>
            <w:vAlign w:val="bottom"/>
            <w:gridSpan w:val="2"/>
          </w:tcPr>
          <w:p>
            <w:pPr>
              <w:spacing w:after="0"/>
              <w:rPr>
                <w:sz w:val="20"/>
                <w:szCs w:val="20"/>
                <w:color w:val="auto"/>
              </w:rPr>
            </w:pPr>
            <w:r>
              <w:rPr>
                <w:rFonts w:ascii="Arial" w:cs="Arial" w:eastAsia="Arial" w:hAnsi="Arial"/>
                <w:sz w:val="16"/>
                <w:szCs w:val="16"/>
                <w:color w:val="auto"/>
              </w:rPr>
              <w:t>Funded status (FVPA – BO) at end of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U.S. Defined</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U.S. Retiree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Non-U.S.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1180" w:type="dxa"/>
            <w:vAlign w:val="bottom"/>
          </w:tcPr>
          <w:p>
            <w:pPr>
              <w:jc w:val="right"/>
              <w:ind w:right="142"/>
              <w:spacing w:after="0"/>
              <w:rPr>
                <w:sz w:val="20"/>
                <w:szCs w:val="20"/>
                <w:color w:val="auto"/>
              </w:rPr>
            </w:pPr>
            <w:r>
              <w:rPr>
                <w:rFonts w:ascii="Arial" w:cs="Arial" w:eastAsia="Arial" w:hAnsi="Arial"/>
                <w:sz w:val="16"/>
                <w:szCs w:val="16"/>
                <w:b w:val="1"/>
                <w:bCs w:val="1"/>
                <w:color w:val="auto"/>
              </w:rPr>
              <w:t>Benefit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Health Care</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w w:val="93"/>
              </w:rPr>
              <w:t>Defined Benefit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2017</w:t>
            </w:r>
          </w:p>
        </w:tc>
        <w:tc>
          <w:tcPr>
            <w:tcW w:w="11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b w:val="1"/>
                <w:bCs w:val="1"/>
                <w:color w:val="auto"/>
              </w:rPr>
              <w:t>Overfunded retirement plans</w:t>
            </w:r>
          </w:p>
        </w:tc>
        <w:tc>
          <w:tcPr>
            <w:tcW w:w="1180" w:type="dxa"/>
            <w:vAlign w:val="bottom"/>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340" w:type="dxa"/>
            <w:vAlign w:val="bottom"/>
          </w:tcPr>
          <w:p>
            <w:pPr>
              <w:spacing w:after="0"/>
              <w:rPr>
                <w:sz w:val="18"/>
                <w:szCs w:val="18"/>
                <w:color w:val="auto"/>
              </w:rPr>
            </w:pPr>
          </w:p>
        </w:tc>
        <w:tc>
          <w:tcPr>
            <w:tcW w:w="1180" w:type="dxa"/>
            <w:vAlign w:val="bottom"/>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00" w:type="dxa"/>
            <w:vAlign w:val="bottom"/>
          </w:tcPr>
          <w:p>
            <w:pPr>
              <w:spacing w:after="0"/>
              <w:rPr>
                <w:sz w:val="18"/>
                <w:szCs w:val="18"/>
                <w:color w:val="auto"/>
              </w:rPr>
            </w:pPr>
          </w:p>
        </w:tc>
        <w:tc>
          <w:tcPr>
            <w:tcW w:w="480" w:type="dxa"/>
            <w:vAlign w:val="bottom"/>
            <w:gridSpan w:val="2"/>
          </w:tcPr>
          <w:p>
            <w:pPr>
              <w:jc w:val="right"/>
              <w:ind w:right="164"/>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4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Accrued expenses and other liabilities &amp;</w:t>
            </w: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Other long-term liabilities</w:t>
            </w:r>
          </w:p>
        </w:tc>
        <w:tc>
          <w:tcPr>
            <w:tcW w:w="1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w w:val="98"/>
              </w:rPr>
              <w:t>(13)</w:t>
            </w:r>
          </w:p>
        </w:tc>
        <w:tc>
          <w:tcPr>
            <w:tcW w:w="1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b w:val="1"/>
                <w:bCs w:val="1"/>
                <w:color w:val="auto"/>
              </w:rPr>
              <w:t>Underfunded retirement plans</w:t>
            </w:r>
          </w:p>
        </w:tc>
        <w:tc>
          <w:tcPr>
            <w:tcW w:w="11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8"/>
              </w:rPr>
              <w:t>(48)</w:t>
            </w:r>
          </w:p>
        </w:tc>
        <w:tc>
          <w:tcPr>
            <w:tcW w:w="1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(20)</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(89)</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Funded status (FVPA – BO) at end of 2017</w:t>
            </w: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FF0FC"/>
          </w:tcPr>
          <w:p>
            <w:pPr>
              <w:spacing w:after="0"/>
              <w:rPr>
                <w:sz w:val="18"/>
                <w:szCs w:val="18"/>
                <w:color w:val="auto"/>
              </w:rPr>
            </w:pPr>
          </w:p>
        </w:tc>
        <w:tc>
          <w:tcPr>
            <w:tcW w:w="1180" w:type="dxa"/>
            <w:vAlign w:val="bottom"/>
            <w:shd w:val="clear" w:color="auto" w:fill="CFF0FC"/>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(3)</w:t>
            </w:r>
          </w:p>
        </w:tc>
        <w:tc>
          <w:tcPr>
            <w:tcW w:w="1180" w:type="dxa"/>
            <w:vAlign w:val="bottom"/>
            <w:shd w:val="clear" w:color="auto" w:fill="CFF0FC"/>
          </w:tcPr>
          <w:p>
            <w:pPr>
              <w:jc w:val="right"/>
              <w:ind w:right="102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1"/>
              </w:rPr>
              <w:t>(20)</w:t>
            </w:r>
          </w:p>
        </w:tc>
        <w:tc>
          <w:tcPr>
            <w:tcW w:w="34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124</w:t>
            </w:r>
          </w:p>
        </w:tc>
        <w:tc>
          <w:tcPr>
            <w:tcW w:w="200" w:type="dxa"/>
            <w:vAlign w:val="bottom"/>
            <w:shd w:val="clear" w:color="auto" w:fill="CFF0FC"/>
          </w:tcPr>
          <w:p>
            <w:pPr>
              <w:spacing w:after="0"/>
              <w:rPr>
                <w:sz w:val="18"/>
                <w:szCs w:val="18"/>
                <w:color w:val="auto"/>
              </w:rPr>
            </w:pPr>
          </w:p>
        </w:tc>
        <w:tc>
          <w:tcPr>
            <w:tcW w:w="160" w:type="dxa"/>
            <w:vAlign w:val="bottom"/>
            <w:vMerge w:val="continue"/>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6"/>
                <w:szCs w:val="16"/>
                <w:color w:val="auto"/>
              </w:rPr>
              <w:t>2016</w:t>
            </w: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Overfunded retirement plans</w:t>
            </w:r>
          </w:p>
        </w:tc>
        <w:tc>
          <w:tcPr>
            <w:tcW w:w="1180" w:type="dxa"/>
            <w:vAlign w:val="bottom"/>
          </w:tcPr>
          <w:p>
            <w:pPr>
              <w:jc w:val="right"/>
              <w:ind w:right="10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66</w:t>
            </w:r>
          </w:p>
        </w:tc>
        <w:tc>
          <w:tcPr>
            <w:tcW w:w="340" w:type="dxa"/>
            <w:vAlign w:val="bottom"/>
          </w:tcPr>
          <w:p>
            <w:pPr>
              <w:spacing w:after="0"/>
              <w:rPr>
                <w:sz w:val="18"/>
                <w:szCs w:val="18"/>
                <w:color w:val="auto"/>
              </w:rPr>
            </w:pPr>
          </w:p>
        </w:tc>
        <w:tc>
          <w:tcPr>
            <w:tcW w:w="1180" w:type="dxa"/>
            <w:vAlign w:val="bottom"/>
          </w:tcPr>
          <w:p>
            <w:pPr>
              <w:jc w:val="right"/>
              <w:ind w:right="1022"/>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8"/>
                <w:szCs w:val="18"/>
                <w:color w:val="auto"/>
              </w:rPr>
            </w:pPr>
          </w:p>
        </w:tc>
        <w:tc>
          <w:tcPr>
            <w:tcW w:w="480" w:type="dxa"/>
            <w:vAlign w:val="bottom"/>
            <w:gridSpan w:val="2"/>
          </w:tcPr>
          <w:p>
            <w:pPr>
              <w:jc w:val="right"/>
              <w:ind w:right="164"/>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Accrued expenses and other liabilities &amp;</w:t>
            </w: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Other long-term liabilities</w:t>
            </w:r>
          </w:p>
        </w:tc>
        <w:tc>
          <w:tcPr>
            <w:tcW w:w="11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(9)</w:t>
            </w:r>
          </w:p>
        </w:tc>
        <w:tc>
          <w:tcPr>
            <w:tcW w:w="11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3"/>
        </w:trPr>
        <w:tc>
          <w:tcPr>
            <w:tcW w:w="4420" w:type="dxa"/>
            <w:vAlign w:val="bottom"/>
          </w:tcPr>
          <w:p>
            <w:pPr>
              <w:ind w:left="140"/>
              <w:spacing w:after="0"/>
              <w:rPr>
                <w:sz w:val="20"/>
                <w:szCs w:val="20"/>
                <w:color w:val="auto"/>
              </w:rPr>
            </w:pPr>
            <w:r>
              <w:rPr>
                <w:rFonts w:ascii="Arial" w:cs="Arial" w:eastAsia="Arial" w:hAnsi="Arial"/>
                <w:sz w:val="16"/>
                <w:szCs w:val="16"/>
                <w:color w:val="auto"/>
              </w:rPr>
              <w:t>Underfunded retirement plans</w:t>
            </w:r>
          </w:p>
        </w:tc>
        <w:tc>
          <w:tcPr>
            <w:tcW w:w="118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(53)</w:t>
            </w:r>
          </w:p>
        </w:tc>
        <w:tc>
          <w:tcPr>
            <w:tcW w:w="118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Funded status (FVPA – BO) at end of 2016</w:t>
            </w: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shd w:val="clear" w:color="auto" w:fill="CFF0FC"/>
          </w:tcPr>
          <w:p>
            <w:pPr>
              <w:spacing w:after="0"/>
              <w:rPr>
                <w:sz w:val="18"/>
                <w:szCs w:val="18"/>
                <w:color w:val="auto"/>
              </w:rPr>
            </w:pPr>
          </w:p>
        </w:tc>
        <w:tc>
          <w:tcPr>
            <w:tcW w:w="1180" w:type="dxa"/>
            <w:vAlign w:val="bottom"/>
            <w:shd w:val="clear" w:color="auto" w:fill="CFF0FC"/>
          </w:tcPr>
          <w:p>
            <w:pPr>
              <w:jc w:val="right"/>
              <w:ind w:right="1022"/>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22"/>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(52)</w:t>
            </w:r>
          </w:p>
        </w:tc>
        <w:tc>
          <w:tcPr>
            <w:tcW w:w="480" w:type="dxa"/>
            <w:vAlign w:val="bottom"/>
            <w:gridSpan w:val="2"/>
            <w:shd w:val="clear" w:color="auto" w:fill="CFF0FC"/>
          </w:tcPr>
          <w:p>
            <w:pPr>
              <w:jc w:val="right"/>
              <w:ind w:right="164"/>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$50 million to our retirement benefit plans in 2018. The amounts shown for underfunded U.S. defined benefit plans were for non-qualified pension plans, which we do not fund because contributions to them are not tax deductible.</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$899 million and $926 million as of December 31, 2017 and 2016, respectively, for the U.S. defined benefit plans, and $2.33 billion and $2.22 billion as of December 31, 2017 and 2016,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U.S. Defined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U.S. Retiree</w:t>
            </w:r>
          </w:p>
        </w:tc>
        <w:tc>
          <w:tcPr>
            <w:tcW w:w="100" w:type="dxa"/>
            <w:vAlign w:val="bottom"/>
          </w:tcPr>
          <w:p>
            <w:pPr>
              <w:spacing w:after="0"/>
              <w:rPr>
                <w:sz w:val="18"/>
                <w:szCs w:val="18"/>
                <w:color w:val="auto"/>
              </w:rPr>
            </w:pPr>
          </w:p>
        </w:tc>
        <w:tc>
          <w:tcPr>
            <w:tcW w:w="1680" w:type="dxa"/>
            <w:vAlign w:val="bottom"/>
            <w:gridSpan w:val="4"/>
          </w:tcPr>
          <w:p>
            <w:pPr>
              <w:jc w:val="right"/>
              <w:ind w:right="400"/>
              <w:spacing w:after="0"/>
              <w:rPr>
                <w:sz w:val="20"/>
                <w:szCs w:val="20"/>
                <w:color w:val="auto"/>
              </w:rPr>
            </w:pPr>
            <w:r>
              <w:rPr>
                <w:rFonts w:ascii="Arial" w:cs="Arial" w:eastAsia="Arial" w:hAnsi="Arial"/>
                <w:sz w:val="16"/>
                <w:szCs w:val="16"/>
                <w:b w:val="1"/>
                <w:bCs w:val="1"/>
                <w:color w:val="auto"/>
              </w:rPr>
              <w:t>Non-U.S.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Health Care</w:t>
            </w:r>
          </w:p>
        </w:tc>
        <w:tc>
          <w:tcPr>
            <w:tcW w:w="100" w:type="dxa"/>
            <w:vAlign w:val="bottom"/>
          </w:tcPr>
          <w:p>
            <w:pPr>
              <w:spacing w:after="0"/>
              <w:rPr>
                <w:sz w:val="19"/>
                <w:szCs w:val="19"/>
                <w:color w:val="auto"/>
              </w:rPr>
            </w:pPr>
          </w:p>
        </w:tc>
        <w:tc>
          <w:tcPr>
            <w:tcW w:w="16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Defined Benefit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6"/>
                <w:szCs w:val="16"/>
                <w:b w:val="1"/>
                <w:bCs w:val="1"/>
                <w:color w:val="auto"/>
              </w:rPr>
              <w:t>Total</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9"/>
        </w:trPr>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Prior</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Net</w:t>
            </w:r>
          </w:p>
        </w:tc>
        <w:tc>
          <w:tcPr>
            <w:tcW w:w="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96"/>
              </w:rPr>
              <w:t>Prior</w:t>
            </w: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Actuarial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Actuarial</w:t>
            </w:r>
          </w:p>
        </w:tc>
        <w:tc>
          <w:tcPr>
            <w:tcW w:w="1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Service</w:t>
            </w: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Actuarial</w:t>
            </w:r>
          </w:p>
        </w:tc>
        <w:tc>
          <w:tcPr>
            <w:tcW w:w="60" w:type="dxa"/>
            <w:vAlign w:val="bottom"/>
          </w:tcPr>
          <w:p>
            <w:pPr>
              <w:spacing w:after="0"/>
              <w:rPr>
                <w:sz w:val="17"/>
                <w:szCs w:val="17"/>
                <w:color w:val="auto"/>
              </w:rPr>
            </w:pPr>
          </w:p>
        </w:tc>
        <w:tc>
          <w:tcPr>
            <w:tcW w:w="700" w:type="dxa"/>
            <w:vAlign w:val="bottom"/>
          </w:tcPr>
          <w:p>
            <w:pPr>
              <w:jc w:val="center"/>
              <w:ind w:left="100"/>
              <w:spacing w:after="0"/>
              <w:rPr>
                <w:sz w:val="20"/>
                <w:szCs w:val="20"/>
                <w:color w:val="auto"/>
              </w:rPr>
            </w:pPr>
            <w:r>
              <w:rPr>
                <w:rFonts w:ascii="Arial" w:cs="Arial" w:eastAsia="Arial" w:hAnsi="Arial"/>
                <w:sz w:val="16"/>
                <w:szCs w:val="16"/>
                <w:b w:val="1"/>
                <w:bCs w:val="1"/>
                <w:color w:val="auto"/>
                <w:w w:val="91"/>
              </w:rPr>
              <w:t>Service</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Actuarial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Service</w:t>
            </w:r>
          </w:p>
        </w:tc>
      </w:tr>
      <w:tr>
        <w:trPr>
          <w:trHeight w:val="213"/>
        </w:trPr>
        <w:tc>
          <w:tcPr>
            <w:tcW w:w="364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Credit</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70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95"/>
              </w:rPr>
              <w:t>Credit</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9"/>
              </w:rPr>
              <w:t>Credit</w:t>
            </w:r>
          </w:p>
        </w:tc>
        <w:tc>
          <w:tcPr>
            <w:tcW w:w="100" w:type="dxa"/>
            <w:vAlign w:val="bottom"/>
            <w:tcBorders>
              <w:bottom w:val="single" w:sz="8" w:color="CFF0FC"/>
            </w:tcBorders>
          </w:tcPr>
          <w:p>
            <w:pPr>
              <w:spacing w:after="0"/>
              <w:rPr>
                <w:sz w:val="18"/>
                <w:szCs w:val="18"/>
                <w:color w:val="auto"/>
              </w:rPr>
            </w:pPr>
          </w:p>
        </w:tc>
      </w:tr>
      <w:tr>
        <w:trPr>
          <w:trHeight w:val="213"/>
        </w:trPr>
        <w:tc>
          <w:tcPr>
            <w:tcW w:w="3640" w:type="dxa"/>
            <w:vAlign w:val="bottom"/>
            <w:shd w:val="clear" w:color="auto" w:fill="CFF0FC"/>
          </w:tcPr>
          <w:p>
            <w:pPr>
              <w:spacing w:after="0"/>
              <w:rPr>
                <w:sz w:val="20"/>
                <w:szCs w:val="20"/>
                <w:color w:val="auto"/>
              </w:rPr>
            </w:pPr>
            <w:r>
              <w:rPr>
                <w:rFonts w:ascii="Arial" w:cs="Arial" w:eastAsia="Arial" w:hAnsi="Arial"/>
                <w:sz w:val="16"/>
                <w:szCs w:val="16"/>
                <w:color w:val="auto"/>
              </w:rPr>
              <w:t>AOCI balance, net of taxes, December 31, 2016</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FF0FC"/>
          </w:tcPr>
          <w:p>
            <w:pPr>
              <w:spacing w:after="0"/>
              <w:rPr>
                <w:sz w:val="18"/>
                <w:szCs w:val="18"/>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r>
      <w:tr>
        <w:trPr>
          <w:trHeight w:val="213"/>
        </w:trPr>
        <w:tc>
          <w:tcPr>
            <w:tcW w:w="3640" w:type="dxa"/>
            <w:vAlign w:val="bottom"/>
          </w:tcPr>
          <w:p>
            <w:pPr>
              <w:spacing w:after="0"/>
              <w:rPr>
                <w:sz w:val="20"/>
                <w:szCs w:val="20"/>
                <w:color w:val="auto"/>
              </w:rPr>
            </w:pPr>
            <w:r>
              <w:rPr>
                <w:rFonts w:ascii="Arial" w:cs="Arial" w:eastAsia="Arial" w:hAnsi="Arial"/>
                <w:sz w:val="16"/>
                <w:szCs w:val="16"/>
                <w:b w:val="1"/>
                <w:bCs w:val="1"/>
                <w:color w:val="auto"/>
              </w:rPr>
              <w:t>Changes in AOCI by category:</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36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Adjustments</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(41)</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(105)</w:t>
            </w: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w w:val="99"/>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(118)</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FF0FC"/>
          </w:tcPr>
          <w:p>
            <w:pPr>
              <w:spacing w:after="0"/>
              <w:rPr>
                <w:sz w:val="19"/>
                <w:szCs w:val="19"/>
                <w:color w:val="auto"/>
              </w:rPr>
            </w:pPr>
          </w:p>
        </w:tc>
      </w:tr>
      <w:tr>
        <w:trPr>
          <w:trHeight w:val="213"/>
        </w:trPr>
        <w:tc>
          <w:tcPr>
            <w:tcW w:w="3640" w:type="dxa"/>
            <w:vAlign w:val="bottom"/>
          </w:tcPr>
          <w:p>
            <w:pPr>
              <w:ind w:left="140"/>
              <w:spacing w:after="0"/>
              <w:rPr>
                <w:sz w:val="20"/>
                <w:szCs w:val="20"/>
                <w:color w:val="auto"/>
              </w:rPr>
            </w:pPr>
            <w:r>
              <w:rPr>
                <w:rFonts w:ascii="Arial" w:cs="Arial" w:eastAsia="Arial" w:hAnsi="Arial"/>
                <w:sz w:val="16"/>
                <w:szCs w:val="16"/>
                <w:b w:val="1"/>
                <w:bCs w:val="1"/>
                <w:color w:val="auto"/>
              </w:rPr>
              <w:t>Recognized within Net income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(29)</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(83)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r>
      <w:tr>
        <w:trPr>
          <w:trHeight w:val="219"/>
        </w:trPr>
        <w:tc>
          <w:tcPr>
            <w:tcW w:w="36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Tax effect</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w w:val="99"/>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(2)</w:t>
            </w:r>
          </w:p>
        </w:tc>
      </w:tr>
      <w:tr>
        <w:trPr>
          <w:trHeight w:val="207"/>
        </w:trPr>
        <w:tc>
          <w:tcPr>
            <w:tcW w:w="3640" w:type="dxa"/>
            <w:vAlign w:val="bottom"/>
            <w:tcBorders>
              <w:bottom w:val="single" w:sz="8" w:color="CFF0FC"/>
            </w:tcBorders>
          </w:tcPr>
          <w:p>
            <w:pPr>
              <w:ind w:left="140"/>
              <w:spacing w:after="0"/>
              <w:rPr>
                <w:sz w:val="20"/>
                <w:szCs w:val="20"/>
                <w:color w:val="auto"/>
              </w:rPr>
            </w:pPr>
            <w:r>
              <w:rPr>
                <w:rFonts w:ascii="Arial" w:cs="Arial" w:eastAsia="Arial" w:hAnsi="Arial"/>
                <w:sz w:val="16"/>
                <w:szCs w:val="16"/>
                <w:b w:val="1"/>
                <w:bCs w:val="1"/>
                <w:color w:val="auto"/>
              </w:rPr>
              <w:t>Total change to AOCI</w:t>
            </w:r>
          </w:p>
        </w:tc>
        <w:tc>
          <w:tcPr>
            <w:tcW w:w="38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w:t>
            </w:r>
          </w:p>
        </w:tc>
        <w:tc>
          <w:tcPr>
            <w:tcW w:w="10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(148)</w:t>
            </w:r>
          </w:p>
        </w:tc>
        <w:tc>
          <w:tcPr>
            <w:tcW w:w="1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FF0FC"/>
            </w:tcBorders>
          </w:tcPr>
          <w:p>
            <w:pPr>
              <w:spacing w:after="0"/>
              <w:rPr>
                <w:sz w:val="17"/>
                <w:szCs w:val="17"/>
                <w:color w:val="auto"/>
              </w:rPr>
            </w:pPr>
          </w:p>
        </w:tc>
      </w:tr>
      <w:tr>
        <w:trPr>
          <w:trHeight w:val="210"/>
        </w:trPr>
        <w:tc>
          <w:tcPr>
            <w:tcW w:w="3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AOCI balance, net of taxes, December 31, 2017</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118</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247</w:t>
            </w: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40"/>
              <w:spacing w:after="0"/>
              <w:rPr>
                <w:sz w:val="20"/>
                <w:szCs w:val="20"/>
                <w:color w:val="auto"/>
              </w:rPr>
            </w:pPr>
            <w:r>
              <w:rPr>
                <w:rFonts w:ascii="Arial" w:cs="Arial" w:eastAsia="Arial" w:hAnsi="Arial"/>
                <w:sz w:val="15"/>
                <w:szCs w:val="15"/>
                <w:b w:val="1"/>
                <w:bCs w:val="1"/>
                <w:color w:val="auto"/>
                <w:w w:val="71"/>
              </w:rPr>
              <w:t>$</w:t>
            </w:r>
          </w:p>
        </w:tc>
        <w:tc>
          <w:tcPr>
            <w:tcW w:w="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FF0FC"/>
          </w:tcPr>
          <w:p>
            <w:pPr>
              <w:spacing w:after="0"/>
              <w:rPr>
                <w:sz w:val="18"/>
                <w:szCs w:val="18"/>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credit included in AOCI as of December 31, 2017, that are expected to be amortized into net periodic benefit cost over the next fiscal year are: $17 million and none for the U.S. defined benefit plans; $2 million and ($3) million for the U.S. retiree health care benefit plan; and $20 million and ($2) million for the non-U.S. defined benefit plans.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Information on plan assets</w:t>
      </w:r>
    </w:p>
    <w:p>
      <w:pPr>
        <w:spacing w:after="0" w:line="225"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report and measure the plan assets of our defined benefit pension and other postretirement plans at fair value. The tables below set forth the fair value of our plan assets using the same three-level hierarchy of fair-value inputs described in Note 8. With the adoption of ASU 2015-07, certain assets are no longer subject to disclosure by level of fair value but have been included in the tables below to permit reconciliation to the total plan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6"/>
                <w:szCs w:val="16"/>
                <w:b w:val="1"/>
                <w:bCs w:val="1"/>
                <w:color w:val="auto"/>
                <w:w w:val="91"/>
              </w:rPr>
              <w:t>December 31, 2017</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Other (a)</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 of U.S. defined benefit plan:</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654</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341</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w:t>
            </w: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Assets of U.S. retiree health care plan: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111</w:t>
            </w:r>
          </w:p>
        </w:tc>
        <w:tc>
          <w:tcPr>
            <w:tcW w:w="4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260</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 of non-U.S. defined benefit plans: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183</w:t>
            </w: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1,646</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206</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2,363</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2,593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hanging="692"/>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w w:val="91"/>
              </w:rPr>
              <w:t>December 31, 2016</w:t>
            </w:r>
          </w:p>
        </w:tc>
        <w:tc>
          <w:tcPr>
            <w:tcW w:w="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1</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Level 2</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Other (a)</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 of U.S. defined benefit plan:</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685</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80" w:type="dxa"/>
            <w:vAlign w:val="bottom"/>
            <w:gridSpan w:val="2"/>
          </w:tcPr>
          <w:p>
            <w:pPr>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9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6"/>
                <w:szCs w:val="16"/>
                <w:b w:val="1"/>
                <w:bCs w:val="1"/>
                <w:color w:val="auto"/>
              </w:rPr>
              <w:t>Assets of U.S. retiree health care plan:</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 of non-U.S. defined benefit plans: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Pr>
          <w:p>
            <w:pPr>
              <w:ind w:left="120"/>
              <w:spacing w:after="0"/>
              <w:rPr>
                <w:sz w:val="20"/>
                <w:szCs w:val="20"/>
                <w:color w:val="auto"/>
              </w:rPr>
            </w:pPr>
            <w:r>
              <w:rPr>
                <w:rFonts w:ascii="Arial" w:cs="Arial" w:eastAsia="Arial" w:hAnsi="Arial"/>
                <w:sz w:val="16"/>
                <w:szCs w:val="16"/>
                <w:color w:val="auto"/>
              </w:rPr>
              <w:t>Fixed income securities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127</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1,508</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Equity securities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6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51" w:name="page52"/>
    <w:bookmarkEnd w:id="51"/>
    <w:p>
      <w:pPr>
        <w:jc w:val="both"/>
        <w:ind w:right="100"/>
        <w:spacing w:after="0" w:line="264" w:lineRule="auto"/>
        <w:rPr>
          <w:sz w:val="20"/>
          <w:szCs w:val="20"/>
          <w:color w:val="auto"/>
        </w:rPr>
      </w:pPr>
      <w:r>
        <w:rPr>
          <w:rFonts w:ascii="Arial" w:cs="Arial" w:eastAsia="Arial" w:hAnsi="Arial"/>
          <w:sz w:val="18"/>
          <w:szCs w:val="18"/>
          <w:color w:val="auto"/>
        </w:rPr>
        <w:t>The only Level 3 asset in our worldwide benefit plans for the periods presented is a diversified property fund in a non-U.S. pension plan. These investments are valued using inputs from the fund managers and internal models. Changes to the fair value of this fund since December 31, 2015, have not been material, and are due to redemptions.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4"/>
          </w:tcPr>
          <w:p>
            <w:pPr>
              <w:jc w:val="center"/>
              <w:ind w:right="880"/>
              <w:spacing w:after="0"/>
              <w:rPr>
                <w:sz w:val="20"/>
                <w:szCs w:val="20"/>
                <w:color w:val="auto"/>
              </w:rPr>
            </w:pPr>
            <w:r>
              <w:rPr>
                <w:rFonts w:ascii="Arial" w:cs="Arial" w:eastAsia="Arial" w:hAnsi="Arial"/>
                <w:sz w:val="16"/>
                <w:szCs w:val="16"/>
                <w:b w:val="1"/>
                <w:bCs w:val="1"/>
                <w:color w:val="auto"/>
                <w:w w:val="89"/>
              </w:rPr>
              <w:t>U.S.</w:t>
            </w:r>
          </w:p>
        </w:tc>
        <w:tc>
          <w:tcPr>
            <w:tcW w:w="1940" w:type="dxa"/>
            <w:vAlign w:val="bottom"/>
            <w:gridSpan w:val="4"/>
          </w:tcPr>
          <w:p>
            <w:pPr>
              <w:ind w:left="440"/>
              <w:spacing w:after="0"/>
              <w:rPr>
                <w:sz w:val="20"/>
                <w:szCs w:val="20"/>
                <w:color w:val="auto"/>
              </w:rPr>
            </w:pPr>
            <w:r>
              <w:rPr>
                <w:rFonts w:ascii="Arial" w:cs="Arial" w:eastAsia="Arial" w:hAnsi="Arial"/>
                <w:sz w:val="16"/>
                <w:szCs w:val="16"/>
                <w:b w:val="1"/>
                <w:bCs w:val="1"/>
                <w:color w:val="auto"/>
              </w:rPr>
              <w:t>U.S. Retiree</w:t>
            </w:r>
          </w:p>
        </w:tc>
        <w:tc>
          <w:tcPr>
            <w:tcW w:w="18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Non-U.S.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1"/>
              </w:rPr>
              <w:t>Defined Benefit</w:t>
            </w:r>
          </w:p>
        </w:tc>
        <w:tc>
          <w:tcPr>
            <w:tcW w:w="1940" w:type="dxa"/>
            <w:vAlign w:val="bottom"/>
            <w:gridSpan w:val="4"/>
          </w:tcPr>
          <w:p>
            <w:pPr>
              <w:ind w:left="440"/>
              <w:spacing w:after="0"/>
              <w:rPr>
                <w:sz w:val="20"/>
                <w:szCs w:val="20"/>
                <w:color w:val="auto"/>
              </w:rPr>
            </w:pPr>
            <w:r>
              <w:rPr>
                <w:rFonts w:ascii="Arial" w:cs="Arial" w:eastAsia="Arial" w:hAnsi="Arial"/>
                <w:sz w:val="16"/>
                <w:szCs w:val="16"/>
                <w:b w:val="1"/>
                <w:bCs w:val="1"/>
                <w:color w:val="auto"/>
              </w:rPr>
              <w:t>Health Care</w:t>
            </w:r>
          </w:p>
        </w:tc>
        <w:tc>
          <w:tcPr>
            <w:tcW w:w="186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1060" w:type="dxa"/>
            <w:vAlign w:val="bottom"/>
            <w:tcBorders>
              <w:top w:val="single" w:sz="8" w:color="auto"/>
            </w:tcBorders>
            <w:gridSpan w:val="3"/>
          </w:tcPr>
          <w:p>
            <w:pPr>
              <w:jc w:val="center"/>
              <w:ind w:left="219"/>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2017</w:t>
            </w: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Pr>
          <w:p>
            <w:pPr>
              <w:spacing w:after="0"/>
              <w:rPr>
                <w:sz w:val="18"/>
                <w:szCs w:val="18"/>
                <w:color w:val="auto"/>
              </w:rPr>
            </w:pPr>
          </w:p>
        </w:tc>
        <w:tc>
          <w:tcPr>
            <w:tcW w:w="7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Weighted average assumptions used to determine</w:t>
            </w:r>
          </w:p>
        </w:tc>
        <w:tc>
          <w:tcPr>
            <w:tcW w:w="6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benefit obligations:</w:t>
            </w: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6"/>
                <w:szCs w:val="16"/>
                <w:color w:val="auto"/>
              </w:rPr>
              <w:t>Discount rate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3.75%</w:t>
            </w:r>
          </w:p>
        </w:tc>
        <w:tc>
          <w:tcPr>
            <w:tcW w:w="1060" w:type="dxa"/>
            <w:vAlign w:val="bottom"/>
            <w:gridSpan w:val="3"/>
          </w:tcPr>
          <w:p>
            <w:pPr>
              <w:jc w:val="center"/>
              <w:ind w:left="199"/>
              <w:spacing w:after="0"/>
              <w:rPr>
                <w:sz w:val="20"/>
                <w:szCs w:val="20"/>
                <w:color w:val="auto"/>
              </w:rPr>
            </w:pPr>
            <w:r>
              <w:rPr>
                <w:rFonts w:ascii="Arial" w:cs="Arial" w:eastAsia="Arial" w:hAnsi="Arial"/>
                <w:sz w:val="16"/>
                <w:szCs w:val="16"/>
                <w:color w:val="auto"/>
                <w:w w:val="92"/>
              </w:rPr>
              <w:t>4.29%</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3.63%</w:t>
            </w: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4.08%</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1.84%</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pay progression</w:t>
            </w:r>
          </w:p>
        </w:tc>
        <w:tc>
          <w:tcPr>
            <w:tcW w:w="64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3.30%</w:t>
            </w:r>
          </w:p>
        </w:tc>
        <w:tc>
          <w:tcPr>
            <w:tcW w:w="1060" w:type="dxa"/>
            <w:vAlign w:val="bottom"/>
            <w:gridSpan w:val="3"/>
            <w:shd w:val="clear" w:color="auto" w:fill="CFF0FC"/>
          </w:tcPr>
          <w:p>
            <w:pPr>
              <w:jc w:val="center"/>
              <w:ind w:left="199"/>
              <w:spacing w:after="0"/>
              <w:rPr>
                <w:sz w:val="20"/>
                <w:szCs w:val="20"/>
                <w:color w:val="auto"/>
              </w:rPr>
            </w:pPr>
            <w:r>
              <w:rPr>
                <w:rFonts w:ascii="Arial" w:cs="Arial" w:eastAsia="Arial" w:hAnsi="Arial"/>
                <w:sz w:val="16"/>
                <w:szCs w:val="16"/>
                <w:color w:val="auto"/>
                <w:w w:val="92"/>
              </w:rPr>
              <w:t>3.30%</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260"/>
              <w:spacing w:after="0"/>
              <w:rPr>
                <w:sz w:val="20"/>
                <w:szCs w:val="20"/>
                <w:color w:val="auto"/>
              </w:rPr>
            </w:pPr>
            <w:r>
              <w:rPr>
                <w:rFonts w:ascii="Arial" w:cs="Arial" w:eastAsia="Arial" w:hAnsi="Arial"/>
                <w:sz w:val="16"/>
                <w:szCs w:val="16"/>
                <w:b w:val="1"/>
                <w:bCs w:val="1"/>
                <w:color w:val="auto"/>
              </w:rPr>
              <w:t>n/a</w:t>
            </w:r>
          </w:p>
        </w:tc>
        <w:tc>
          <w:tcPr>
            <w:tcW w:w="9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n/a</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96"/>
              </w:rPr>
              <w:t>2.96%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Weighted average assumptions used to determine net</w:t>
            </w: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periodic benefit cost:</w:t>
            </w: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6"/>
                <w:szCs w:val="16"/>
                <w:color w:val="auto"/>
              </w:rPr>
              <w:t>Discount rate</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4.21%</w:t>
            </w:r>
          </w:p>
        </w:tc>
        <w:tc>
          <w:tcPr>
            <w:tcW w:w="1060" w:type="dxa"/>
            <w:vAlign w:val="bottom"/>
            <w:gridSpan w:val="3"/>
          </w:tcPr>
          <w:p>
            <w:pPr>
              <w:jc w:val="center"/>
              <w:ind w:left="199"/>
              <w:spacing w:after="0"/>
              <w:rPr>
                <w:sz w:val="20"/>
                <w:szCs w:val="20"/>
                <w:color w:val="auto"/>
              </w:rPr>
            </w:pPr>
            <w:r>
              <w:rPr>
                <w:rFonts w:ascii="Arial" w:cs="Arial" w:eastAsia="Arial" w:hAnsi="Arial"/>
                <w:sz w:val="16"/>
                <w:szCs w:val="16"/>
                <w:color w:val="auto"/>
                <w:w w:val="92"/>
              </w:rPr>
              <w:t>4.40%</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b w:val="1"/>
                <w:bCs w:val="1"/>
                <w:color w:val="auto"/>
              </w:rPr>
              <w:t>4.08%</w:t>
            </w:r>
          </w:p>
        </w:tc>
        <w:tc>
          <w:tcPr>
            <w:tcW w:w="2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2"/>
              </w:rPr>
              <w:t>4.40%</w:t>
            </w:r>
          </w:p>
        </w:tc>
        <w:tc>
          <w:tcPr>
            <w:tcW w:w="2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1.76%</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6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Long-term rate of return on plan assets</w:t>
            </w:r>
          </w:p>
        </w:tc>
        <w:tc>
          <w:tcPr>
            <w:tcW w:w="64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4.30%</w:t>
            </w:r>
          </w:p>
        </w:tc>
        <w:tc>
          <w:tcPr>
            <w:tcW w:w="1060" w:type="dxa"/>
            <w:vAlign w:val="bottom"/>
            <w:gridSpan w:val="3"/>
            <w:shd w:val="clear" w:color="auto" w:fill="CFF0FC"/>
          </w:tcPr>
          <w:p>
            <w:pPr>
              <w:jc w:val="center"/>
              <w:ind w:left="199"/>
              <w:spacing w:after="0"/>
              <w:rPr>
                <w:sz w:val="20"/>
                <w:szCs w:val="20"/>
                <w:color w:val="auto"/>
              </w:rPr>
            </w:pPr>
            <w:r>
              <w:rPr>
                <w:rFonts w:ascii="Arial" w:cs="Arial" w:eastAsia="Arial" w:hAnsi="Arial"/>
                <w:sz w:val="16"/>
                <w:szCs w:val="16"/>
                <w:color w:val="auto"/>
                <w:w w:val="92"/>
              </w:rPr>
              <w:t>4.60%</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rPr>
              <w:t>4.10%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4.40%</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b w:val="1"/>
                <w:bCs w:val="1"/>
                <w:color w:val="auto"/>
                <w:w w:val="96"/>
              </w:rPr>
              <w:t>2.60%</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8"/>
              </w:rPr>
              <w:t>3.18%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Pr>
          <w:p>
            <w:pPr>
              <w:ind w:left="120"/>
              <w:spacing w:after="0"/>
              <w:rPr>
                <w:sz w:val="20"/>
                <w:szCs w:val="20"/>
                <w:color w:val="auto"/>
              </w:rPr>
            </w:pPr>
            <w:r>
              <w:rPr>
                <w:rFonts w:ascii="Arial" w:cs="Arial" w:eastAsia="Arial" w:hAnsi="Arial"/>
                <w:sz w:val="16"/>
                <w:szCs w:val="16"/>
                <w:color w:val="auto"/>
              </w:rPr>
              <w:t>Long-term pay progression</w:t>
            </w: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3.30%</w:t>
            </w:r>
          </w:p>
        </w:tc>
        <w:tc>
          <w:tcPr>
            <w:tcW w:w="1060" w:type="dxa"/>
            <w:vAlign w:val="bottom"/>
            <w:gridSpan w:val="3"/>
          </w:tcPr>
          <w:p>
            <w:pPr>
              <w:jc w:val="center"/>
              <w:ind w:left="199"/>
              <w:spacing w:after="0"/>
              <w:rPr>
                <w:sz w:val="20"/>
                <w:szCs w:val="20"/>
                <w:color w:val="auto"/>
              </w:rPr>
            </w:pPr>
            <w:r>
              <w:rPr>
                <w:rFonts w:ascii="Arial" w:cs="Arial" w:eastAsia="Arial" w:hAnsi="Arial"/>
                <w:sz w:val="16"/>
                <w:szCs w:val="16"/>
                <w:color w:val="auto"/>
                <w:w w:val="92"/>
              </w:rPr>
              <w:t>3.30%</w:t>
            </w:r>
          </w:p>
        </w:tc>
        <w:tc>
          <w:tcPr>
            <w:tcW w:w="220" w:type="dxa"/>
            <w:vAlign w:val="bottom"/>
          </w:tcPr>
          <w:p>
            <w:pPr>
              <w:spacing w:after="0"/>
              <w:rPr>
                <w:sz w:val="18"/>
                <w:szCs w:val="18"/>
                <w:color w:val="auto"/>
              </w:rPr>
            </w:pPr>
          </w:p>
        </w:tc>
        <w:tc>
          <w:tcPr>
            <w:tcW w:w="980" w:type="dxa"/>
            <w:vAlign w:val="bottom"/>
            <w:gridSpan w:val="2"/>
          </w:tcPr>
          <w:p>
            <w:pPr>
              <w:ind w:left="260"/>
              <w:spacing w:after="0"/>
              <w:rPr>
                <w:sz w:val="20"/>
                <w:szCs w:val="20"/>
                <w:color w:val="auto"/>
              </w:rPr>
            </w:pPr>
            <w:r>
              <w:rPr>
                <w:rFonts w:ascii="Arial" w:cs="Arial" w:eastAsia="Arial" w:hAnsi="Arial"/>
                <w:sz w:val="16"/>
                <w:szCs w:val="16"/>
                <w:b w:val="1"/>
                <w:bCs w:val="1"/>
                <w:color w:val="auto"/>
              </w:rPr>
              <w:t>n/a</w:t>
            </w:r>
          </w:p>
        </w:tc>
        <w:tc>
          <w:tcPr>
            <w:tcW w:w="960" w:type="dxa"/>
            <w:vAlign w:val="bottom"/>
            <w:gridSpan w:val="2"/>
          </w:tcPr>
          <w:p>
            <w:pPr>
              <w:ind w:left="260"/>
              <w:spacing w:after="0"/>
              <w:rPr>
                <w:sz w:val="20"/>
                <w:szCs w:val="20"/>
                <w:color w:val="auto"/>
              </w:rPr>
            </w:pPr>
            <w:r>
              <w:rPr>
                <w:rFonts w:ascii="Arial" w:cs="Arial" w:eastAsia="Arial" w:hAnsi="Arial"/>
                <w:sz w:val="16"/>
                <w:szCs w:val="16"/>
                <w:color w:val="auto"/>
              </w:rPr>
              <w:t>n/a</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6"/>
              </w:rPr>
              <w:t>3.11%</w:t>
            </w:r>
          </w:p>
        </w:tc>
        <w:tc>
          <w:tcPr>
            <w:tcW w:w="2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6"/>
                <w:szCs w:val="16"/>
                <w:color w:val="auto"/>
                <w:w w:val="88"/>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adjusted for an appropriate risk premium is used to establish the discount rate.</w:t>
      </w:r>
    </w:p>
    <w:p>
      <w:pPr>
        <w:spacing w:after="0" w:line="17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U.S. Defined</w:t>
            </w: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U.S. Retiree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Non-U.S.</w:t>
            </w:r>
          </w:p>
        </w:tc>
      </w:tr>
      <w:tr>
        <w:trPr>
          <w:trHeight w:val="219"/>
        </w:trPr>
        <w:tc>
          <w:tcPr>
            <w:tcW w:w="6200" w:type="dxa"/>
            <w:vAlign w:val="bottom"/>
          </w:tcPr>
          <w:p>
            <w:pPr>
              <w:spacing w:after="0"/>
              <w:rPr>
                <w:sz w:val="19"/>
                <w:szCs w:val="19"/>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2"/>
              </w:rPr>
              <w:t>Benefit</w:t>
            </w:r>
          </w:p>
        </w:tc>
        <w:tc>
          <w:tcPr>
            <w:tcW w:w="1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Health Care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Defined Benefit</w:t>
            </w:r>
          </w:p>
        </w:tc>
      </w:tr>
      <w:tr>
        <w:trPr>
          <w:trHeight w:val="213"/>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Fixed income securities and cash equivalents</w:t>
            </w: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65%</w:t>
            </w:r>
          </w:p>
        </w:tc>
        <w:tc>
          <w:tcPr>
            <w:tcW w:w="34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4"/>
              </w:rPr>
              <w:t>55% - 65%</w:t>
            </w:r>
          </w:p>
        </w:tc>
        <w:tc>
          <w:tcPr>
            <w:tcW w:w="24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9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- 100%</w:t>
            </w:r>
          </w:p>
        </w:tc>
      </w:tr>
      <w:tr>
        <w:trPr>
          <w:trHeight w:val="210"/>
        </w:trPr>
        <w:tc>
          <w:tcPr>
            <w:tcW w:w="6200" w:type="dxa"/>
            <w:vAlign w:val="bottom"/>
          </w:tcPr>
          <w:p>
            <w:pPr>
              <w:spacing w:after="0"/>
              <w:rPr>
                <w:sz w:val="20"/>
                <w:szCs w:val="20"/>
                <w:color w:val="auto"/>
              </w:rPr>
            </w:pPr>
            <w:r>
              <w:rPr>
                <w:rFonts w:ascii="Arial" w:cs="Arial" w:eastAsia="Arial" w:hAnsi="Arial"/>
                <w:sz w:val="16"/>
                <w:szCs w:val="16"/>
                <w:color w:val="auto"/>
              </w:rPr>
              <w:t>Equity securities</w:t>
            </w:r>
          </w:p>
        </w:tc>
        <w:tc>
          <w:tcPr>
            <w:tcW w:w="146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35% - 45%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900" w:type="dxa"/>
            <w:vAlign w:val="bottom"/>
          </w:tcPr>
          <w:p>
            <w:pPr>
              <w:ind w:left="20"/>
              <w:spacing w:after="0"/>
              <w:rPr>
                <w:sz w:val="20"/>
                <w:szCs w:val="20"/>
                <w:color w:val="auto"/>
              </w:rPr>
            </w:pPr>
            <w:r>
              <w:rPr>
                <w:rFonts w:ascii="Arial" w:cs="Arial" w:eastAsia="Arial" w:hAnsi="Arial"/>
                <w:sz w:val="16"/>
                <w:szCs w:val="16"/>
                <w:color w:val="auto"/>
              </w:rPr>
              <w:t>- 40%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not within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1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U.S. Defined</w:t>
            </w:r>
          </w:p>
        </w:tc>
        <w:tc>
          <w:tcPr>
            <w:tcW w:w="2200" w:type="dxa"/>
            <w:vAlign w:val="bottom"/>
            <w:gridSpan w:val="4"/>
          </w:tcPr>
          <w:p>
            <w:pPr>
              <w:ind w:left="500"/>
              <w:spacing w:after="0"/>
              <w:rPr>
                <w:sz w:val="20"/>
                <w:szCs w:val="20"/>
                <w:color w:val="auto"/>
              </w:rPr>
            </w:pPr>
            <w:r>
              <w:rPr>
                <w:rFonts w:ascii="Arial" w:cs="Arial" w:eastAsia="Arial" w:hAnsi="Arial"/>
                <w:sz w:val="16"/>
                <w:szCs w:val="16"/>
                <w:b w:val="1"/>
                <w:bCs w:val="1"/>
                <w:color w:val="auto"/>
              </w:rPr>
              <w:t>U.S. Retiree</w:t>
            </w:r>
          </w:p>
        </w:tc>
        <w:tc>
          <w:tcPr>
            <w:tcW w:w="198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1"/>
              </w:rPr>
              <w:t>Non-U.S. Defined</w:t>
            </w:r>
          </w:p>
        </w:tc>
      </w:tr>
      <w:tr>
        <w:trPr>
          <w:trHeight w:val="219"/>
        </w:trPr>
        <w:tc>
          <w:tcPr>
            <w:tcW w:w="5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2"/>
              </w:rPr>
              <w:t>Benefit</w:t>
            </w:r>
          </w:p>
        </w:tc>
        <w:tc>
          <w:tcPr>
            <w:tcW w:w="2200" w:type="dxa"/>
            <w:vAlign w:val="bottom"/>
            <w:gridSpan w:val="4"/>
          </w:tcPr>
          <w:p>
            <w:pPr>
              <w:ind w:left="500"/>
              <w:spacing w:after="0"/>
              <w:rPr>
                <w:sz w:val="20"/>
                <w:szCs w:val="20"/>
                <w:color w:val="auto"/>
              </w:rPr>
            </w:pPr>
            <w:r>
              <w:rPr>
                <w:rFonts w:ascii="Arial" w:cs="Arial" w:eastAsia="Arial" w:hAnsi="Arial"/>
                <w:sz w:val="16"/>
                <w:szCs w:val="16"/>
                <w:b w:val="1"/>
                <w:bCs w:val="1"/>
                <w:color w:val="auto"/>
              </w:rPr>
              <w:t>Health Care</w:t>
            </w:r>
          </w:p>
        </w:tc>
        <w:tc>
          <w:tcPr>
            <w:tcW w:w="600" w:type="dxa"/>
            <w:vAlign w:val="bottom"/>
          </w:tcPr>
          <w:p>
            <w:pPr>
              <w:spacing w:after="0"/>
              <w:rPr>
                <w:sz w:val="19"/>
                <w:szCs w:val="19"/>
                <w:color w:val="auto"/>
              </w:rPr>
            </w:pPr>
          </w:p>
        </w:tc>
        <w:tc>
          <w:tcPr>
            <w:tcW w:w="1380" w:type="dxa"/>
            <w:vAlign w:val="bottom"/>
            <w:gridSpan w:val="4"/>
          </w:tcPr>
          <w:p>
            <w:pPr>
              <w:jc w:val="center"/>
              <w:ind w:right="740"/>
              <w:spacing w:after="0"/>
              <w:rPr>
                <w:sz w:val="20"/>
                <w:szCs w:val="20"/>
                <w:color w:val="auto"/>
              </w:rPr>
            </w:pPr>
            <w:r>
              <w:rPr>
                <w:rFonts w:ascii="Arial" w:cs="Arial" w:eastAsia="Arial" w:hAnsi="Arial"/>
                <w:sz w:val="16"/>
                <w:szCs w:val="16"/>
                <w:b w:val="1"/>
                <w:bCs w:val="1"/>
                <w:color w:val="auto"/>
                <w:w w:val="88"/>
              </w:rPr>
              <w:t>Benefit</w:t>
            </w:r>
          </w:p>
        </w:tc>
      </w:tr>
      <w:tr>
        <w:trPr>
          <w:trHeight w:val="210"/>
        </w:trPr>
        <w:tc>
          <w:tcPr>
            <w:tcW w:w="5080" w:type="dxa"/>
            <w:vAlign w:val="bottom"/>
            <w:tcBorders>
              <w:bottom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34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360" w:type="dxa"/>
            <w:vAlign w:val="bottom"/>
            <w:tcBorders>
              <w:bottom w:val="single" w:sz="8" w:color="CFF0FC"/>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CFF0FC"/>
            </w:tcBorders>
          </w:tcPr>
          <w:p>
            <w:pPr>
              <w:spacing w:after="0"/>
              <w:rPr>
                <w:sz w:val="18"/>
                <w:szCs w:val="18"/>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2016</w:t>
            </w:r>
          </w:p>
        </w:tc>
        <w:tc>
          <w:tcPr>
            <w:tcW w:w="120" w:type="dxa"/>
            <w:vAlign w:val="bottom"/>
            <w:tcBorders>
              <w:bottom w:val="single" w:sz="8" w:color="CFF0FC"/>
            </w:tcBorders>
          </w:tcPr>
          <w:p>
            <w:pPr>
              <w:spacing w:after="0"/>
              <w:rPr>
                <w:sz w:val="18"/>
                <w:szCs w:val="18"/>
                <w:color w:val="auto"/>
              </w:rPr>
            </w:pPr>
          </w:p>
        </w:tc>
      </w:tr>
      <w:tr>
        <w:trPr>
          <w:trHeight w:val="21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Fixed income securities and cash equivalents</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w:t>
            </w:r>
          </w:p>
        </w:tc>
        <w:tc>
          <w:tcPr>
            <w:tcW w:w="1240" w:type="dxa"/>
            <w:vAlign w:val="bottom"/>
            <w:gridSpan w:val="3"/>
            <w:shd w:val="clear" w:color="auto" w:fill="CFF0FC"/>
          </w:tcPr>
          <w:p>
            <w:pPr>
              <w:jc w:val="center"/>
              <w:ind w:left="379"/>
              <w:spacing w:after="0"/>
              <w:rPr>
                <w:sz w:val="20"/>
                <w:szCs w:val="20"/>
                <w:color w:val="auto"/>
              </w:rPr>
            </w:pPr>
            <w:r>
              <w:rPr>
                <w:rFonts w:ascii="Arial" w:cs="Arial" w:eastAsia="Arial" w:hAnsi="Arial"/>
                <w:sz w:val="16"/>
                <w:szCs w:val="16"/>
                <w:color w:val="auto"/>
                <w:w w:val="93"/>
              </w:rPr>
              <w:t>66%</w:t>
            </w: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19"/>
              <w:spacing w:after="0"/>
              <w:rPr>
                <w:sz w:val="20"/>
                <w:szCs w:val="20"/>
                <w:color w:val="auto"/>
              </w:rPr>
            </w:pPr>
            <w:r>
              <w:rPr>
                <w:rFonts w:ascii="Arial" w:cs="Arial" w:eastAsia="Arial" w:hAnsi="Arial"/>
                <w:sz w:val="16"/>
                <w:szCs w:val="16"/>
                <w:b w:val="1"/>
                <w:bCs w:val="1"/>
                <w:color w:val="auto"/>
              </w:rPr>
              <w:t>62%</w:t>
            </w: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52%</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w:t>
            </w:r>
          </w:p>
        </w:tc>
        <w:tc>
          <w:tcPr>
            <w:tcW w:w="1260" w:type="dxa"/>
            <w:vAlign w:val="bottom"/>
            <w:gridSpan w:val="3"/>
            <w:shd w:val="clear" w:color="auto" w:fill="CFF0FC"/>
          </w:tcPr>
          <w:p>
            <w:pPr>
              <w:jc w:val="center"/>
              <w:ind w:left="399"/>
              <w:spacing w:after="0"/>
              <w:rPr>
                <w:sz w:val="20"/>
                <w:szCs w:val="20"/>
                <w:color w:val="auto"/>
              </w:rPr>
            </w:pPr>
            <w:r>
              <w:rPr>
                <w:rFonts w:ascii="Arial" w:cs="Arial" w:eastAsia="Arial" w:hAnsi="Arial"/>
                <w:sz w:val="16"/>
                <w:szCs w:val="16"/>
                <w:color w:val="auto"/>
                <w:w w:val="93"/>
              </w:rPr>
              <w:t>72%</w:t>
            </w:r>
          </w:p>
        </w:tc>
        <w:tc>
          <w:tcPr>
            <w:tcW w:w="120" w:type="dxa"/>
            <w:vAlign w:val="bottom"/>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Equity securities</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240" w:type="dxa"/>
            <w:vAlign w:val="bottom"/>
            <w:gridSpan w:val="3"/>
          </w:tcPr>
          <w:p>
            <w:pPr>
              <w:jc w:val="center"/>
              <w:ind w:left="379"/>
              <w:spacing w:after="0"/>
              <w:rPr>
                <w:sz w:val="20"/>
                <w:szCs w:val="20"/>
                <w:color w:val="auto"/>
              </w:rPr>
            </w:pPr>
            <w:r>
              <w:rPr>
                <w:rFonts w:ascii="Arial" w:cs="Arial" w:eastAsia="Arial" w:hAnsi="Arial"/>
                <w:sz w:val="16"/>
                <w:szCs w:val="16"/>
                <w:color w:val="auto"/>
                <w:w w:val="93"/>
              </w:rPr>
              <w:t>34%</w:t>
            </w:r>
          </w:p>
        </w:tc>
        <w:tc>
          <w:tcPr>
            <w:tcW w:w="34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b w:val="1"/>
                <w:bCs w:val="1"/>
                <w:color w:val="auto"/>
              </w:rPr>
              <w:t>38%</w:t>
            </w:r>
          </w:p>
        </w:tc>
        <w:tc>
          <w:tcPr>
            <w:tcW w:w="3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93"/>
              </w:rPr>
              <w:t>48%</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1260" w:type="dxa"/>
            <w:vAlign w:val="bottom"/>
            <w:gridSpan w:val="3"/>
          </w:tcPr>
          <w:p>
            <w:pPr>
              <w:jc w:val="center"/>
              <w:ind w:left="399"/>
              <w:spacing w:after="0"/>
              <w:rPr>
                <w:sz w:val="20"/>
                <w:szCs w:val="20"/>
                <w:color w:val="auto"/>
              </w:rPr>
            </w:pPr>
            <w:r>
              <w:rPr>
                <w:rFonts w:ascii="Arial" w:cs="Arial" w:eastAsia="Arial" w:hAnsi="Arial"/>
                <w:sz w:val="16"/>
                <w:szCs w:val="16"/>
                <w:color w:val="auto"/>
                <w:w w:val="93"/>
              </w:rPr>
              <w:t>28%</w:t>
            </w:r>
          </w:p>
        </w:tc>
        <w:tc>
          <w:tcPr>
            <w:tcW w:w="120" w:type="dxa"/>
            <w:vAlign w:val="bottom"/>
          </w:tcPr>
          <w:p>
            <w:pPr>
              <w:spacing w:after="0"/>
              <w:rPr>
                <w:sz w:val="18"/>
                <w:szCs w:val="18"/>
                <w:color w:val="auto"/>
              </w:rPr>
            </w:pPr>
          </w:p>
        </w:tc>
      </w:tr>
    </w:tbl>
    <w:p>
      <w:pPr>
        <w:spacing w:after="0" w:line="207"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 As of December 31, 2017, we do not expect to return any of the defined benefit pension plans’ assets to TI in the next 12 months.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640"/>
        <w:spacing w:after="0" w:line="308" w:lineRule="auto"/>
        <w:rPr>
          <w:sz w:val="20"/>
          <w:szCs w:val="20"/>
          <w:color w:val="auto"/>
        </w:rPr>
      </w:pPr>
      <w:r>
        <w:rPr>
          <w:rFonts w:ascii="Arial" w:cs="Arial" w:eastAsia="Arial" w:hAnsi="Arial"/>
          <w:sz w:val="17"/>
          <w:szCs w:val="17"/>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1300" w:type="dxa"/>
            <w:vAlign w:val="bottom"/>
          </w:tcPr>
          <w:p>
            <w:pPr>
              <w:jc w:val="center"/>
              <w:ind w:left="221"/>
              <w:spacing w:after="0"/>
              <w:rPr>
                <w:sz w:val="20"/>
                <w:szCs w:val="20"/>
                <w:color w:val="auto"/>
              </w:rPr>
            </w:pPr>
            <w:r>
              <w:rPr>
                <w:rFonts w:ascii="Arial" w:cs="Arial" w:eastAsia="Arial" w:hAnsi="Arial"/>
                <w:sz w:val="16"/>
                <w:szCs w:val="16"/>
                <w:b w:val="1"/>
                <w:bCs w:val="1"/>
                <w:color w:val="auto"/>
                <w:w w:val="93"/>
              </w:rPr>
              <w:t>U.S. Defined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ind w:left="380"/>
              <w:spacing w:after="0"/>
              <w:rPr>
                <w:sz w:val="20"/>
                <w:szCs w:val="20"/>
                <w:color w:val="auto"/>
              </w:rPr>
            </w:pPr>
            <w:r>
              <w:rPr>
                <w:rFonts w:ascii="Arial" w:cs="Arial" w:eastAsia="Arial" w:hAnsi="Arial"/>
                <w:sz w:val="16"/>
                <w:szCs w:val="16"/>
                <w:b w:val="1"/>
                <w:bCs w:val="1"/>
                <w:color w:val="auto"/>
                <w:w w:val="97"/>
              </w:rPr>
              <w:t>U.S. Retiree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6"/>
                <w:szCs w:val="16"/>
                <w:b w:val="1"/>
                <w:bCs w:val="1"/>
                <w:color w:val="auto"/>
                <w:w w:val="94"/>
              </w:rPr>
              <w:t>Non-U.S.</w:t>
            </w:r>
          </w:p>
        </w:tc>
      </w:tr>
      <w:tr>
        <w:trPr>
          <w:trHeight w:val="219"/>
        </w:trPr>
        <w:tc>
          <w:tcPr>
            <w:tcW w:w="57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w w:val="92"/>
              </w:rPr>
              <w:t>Benefit</w:t>
            </w: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98"/>
              </w:rPr>
              <w:t>Health Care</w:t>
            </w: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b w:val="1"/>
                <w:bCs w:val="1"/>
                <w:color w:val="auto"/>
              </w:rPr>
              <w:t>Defined Benefit</w:t>
            </w:r>
          </w:p>
        </w:tc>
        <w:tc>
          <w:tcPr>
            <w:tcW w:w="120" w:type="dxa"/>
            <w:vAlign w:val="bottom"/>
            <w:tcBorders>
              <w:bottom w:val="single" w:sz="8" w:color="CFF0FC"/>
            </w:tcBorders>
          </w:tcPr>
          <w:p>
            <w:pPr>
              <w:spacing w:after="0"/>
              <w:rPr>
                <w:sz w:val="19"/>
                <w:szCs w:val="19"/>
                <w:color w:val="auto"/>
              </w:rPr>
            </w:pPr>
          </w:p>
        </w:tc>
      </w:tr>
      <w:tr>
        <w:trPr>
          <w:trHeight w:val="213"/>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2018</w:t>
            </w:r>
          </w:p>
        </w:tc>
        <w:tc>
          <w:tcPr>
            <w:tcW w:w="1300" w:type="dxa"/>
            <w:vAlign w:val="bottom"/>
            <w:shd w:val="clear" w:color="auto" w:fill="CFF0FC"/>
          </w:tcPr>
          <w:p>
            <w:pPr>
              <w:jc w:val="right"/>
              <w:ind w:right="11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0" w:type="dxa"/>
            <w:vAlign w:val="bottom"/>
            <w:gridSpan w:val="3"/>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FF0FC"/>
          </w:tcPr>
          <w:p>
            <w:pPr>
              <w:spacing w:after="0"/>
              <w:rPr>
                <w:sz w:val="18"/>
                <w:szCs w:val="18"/>
                <w:color w:val="auto"/>
              </w:rPr>
            </w:pPr>
          </w:p>
        </w:tc>
      </w:tr>
      <w:tr>
        <w:trPr>
          <w:trHeight w:val="240"/>
        </w:trPr>
        <w:tc>
          <w:tcPr>
            <w:tcW w:w="5720" w:type="dxa"/>
            <w:vAlign w:val="bottom"/>
          </w:tcPr>
          <w:p>
            <w:pPr>
              <w:spacing w:after="0"/>
              <w:rPr>
                <w:sz w:val="20"/>
                <w:szCs w:val="20"/>
                <w:color w:val="auto"/>
              </w:rPr>
            </w:pPr>
            <w:r>
              <w:rPr>
                <w:rFonts w:ascii="Arial" w:cs="Arial" w:eastAsia="Arial" w:hAnsi="Arial"/>
                <w:sz w:val="16"/>
                <w:szCs w:val="16"/>
                <w:color w:val="auto"/>
              </w:rPr>
              <w:t>2019</w:t>
            </w:r>
          </w:p>
        </w:tc>
        <w:tc>
          <w:tcPr>
            <w:tcW w:w="13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111</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FF0FC"/>
          </w:tcPr>
          <w:p>
            <w:pPr>
              <w:spacing w:after="0"/>
              <w:rPr>
                <w:sz w:val="19"/>
                <w:szCs w:val="19"/>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2021</w:t>
            </w:r>
          </w:p>
        </w:tc>
        <w:tc>
          <w:tcPr>
            <w:tcW w:w="1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90</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9"/>
                <w:szCs w:val="19"/>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color w:val="auto"/>
              </w:rPr>
              <w:t>2023 – 2027</w:t>
            </w:r>
          </w:p>
        </w:tc>
        <w:tc>
          <w:tcPr>
            <w:tcW w:w="1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410</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18"/>
                <w:szCs w:val="18"/>
                <w:color w:val="auto"/>
              </w:rPr>
            </w:pPr>
          </w:p>
        </w:tc>
      </w:tr>
      <w:tr>
        <w:trPr>
          <w:trHeight w:val="438"/>
        </w:trPr>
        <w:tc>
          <w:tcPr>
            <w:tcW w:w="8980" w:type="dxa"/>
            <w:vAlign w:val="bottom"/>
            <w:gridSpan w:val="5"/>
          </w:tcPr>
          <w:p>
            <w:pPr>
              <w:spacing w:after="0"/>
              <w:rPr>
                <w:sz w:val="20"/>
                <w:szCs w:val="20"/>
                <w:color w:val="auto"/>
              </w:rPr>
            </w:pPr>
            <w:r>
              <w:rPr>
                <w:rFonts w:ascii="Arial" w:cs="Arial" w:eastAsia="Arial" w:hAnsi="Arial"/>
                <w:sz w:val="18"/>
                <w:szCs w:val="18"/>
                <w:color w:val="auto"/>
                <w:w w:val="97"/>
              </w:rPr>
              <w:t>Assumed health care cost trend rates for the U.S. retiree health care benefit plan as of December 31 are as follows: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3"/>
        </w:trPr>
        <w:tc>
          <w:tcPr>
            <w:tcW w:w="5720" w:type="dxa"/>
            <w:vAlign w:val="bottom"/>
            <w:tcBorders>
              <w:bottom w:val="single" w:sz="8" w:color="CFF0FC"/>
            </w:tcBorders>
          </w:tcPr>
          <w:p>
            <w:pPr>
              <w:spacing w:after="0"/>
              <w:rPr>
                <w:sz w:val="24"/>
                <w:szCs w:val="24"/>
                <w:color w:val="auto"/>
              </w:rPr>
            </w:pPr>
          </w:p>
        </w:tc>
        <w:tc>
          <w:tcPr>
            <w:tcW w:w="13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36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CFF0FC"/>
            </w:tcBorders>
          </w:tcPr>
          <w:p>
            <w:pPr>
              <w:spacing w:after="0"/>
              <w:rPr>
                <w:sz w:val="24"/>
                <w:szCs w:val="2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13"/>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Assumed health care cost trend rate for next year</w:t>
            </w:r>
          </w:p>
        </w:tc>
        <w:tc>
          <w:tcPr>
            <w:tcW w:w="1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79"/>
              <w:spacing w:after="0"/>
              <w:rPr>
                <w:sz w:val="20"/>
                <w:szCs w:val="20"/>
                <w:color w:val="auto"/>
              </w:rPr>
            </w:pPr>
            <w:r>
              <w:rPr>
                <w:rFonts w:ascii="Arial" w:cs="Arial" w:eastAsia="Arial" w:hAnsi="Arial"/>
                <w:sz w:val="16"/>
                <w:szCs w:val="16"/>
                <w:b w:val="1"/>
                <w:bCs w:val="1"/>
                <w:color w:val="auto"/>
              </w:rPr>
              <w:t>7.50%</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6.75%</w:t>
            </w:r>
          </w:p>
        </w:tc>
      </w:tr>
      <w:tr>
        <w:trPr>
          <w:trHeight w:val="213"/>
        </w:trPr>
        <w:tc>
          <w:tcPr>
            <w:tcW w:w="5720" w:type="dxa"/>
            <w:vAlign w:val="bottom"/>
          </w:tcPr>
          <w:p>
            <w:pPr>
              <w:spacing w:after="0"/>
              <w:rPr>
                <w:sz w:val="20"/>
                <w:szCs w:val="20"/>
                <w:color w:val="auto"/>
              </w:rPr>
            </w:pPr>
            <w:r>
              <w:rPr>
                <w:rFonts w:ascii="Arial" w:cs="Arial" w:eastAsia="Arial" w:hAnsi="Arial"/>
                <w:sz w:val="16"/>
                <w:szCs w:val="16"/>
                <w:color w:val="auto"/>
              </w:rPr>
              <w:t>Ultimate trend rate</w:t>
            </w: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5.00%</w:t>
            </w:r>
          </w:p>
        </w:tc>
        <w:tc>
          <w:tcPr>
            <w:tcW w:w="880" w:type="dxa"/>
            <w:vAlign w:val="bottom"/>
            <w:gridSpan w:val="3"/>
          </w:tcPr>
          <w:p>
            <w:pPr>
              <w:jc w:val="right"/>
              <w:ind w:right="20"/>
              <w:spacing w:after="0"/>
              <w:rPr>
                <w:sz w:val="20"/>
                <w:szCs w:val="20"/>
                <w:color w:val="auto"/>
              </w:rPr>
            </w:pPr>
            <w:r>
              <w:rPr>
                <w:rFonts w:ascii="Arial" w:cs="Arial" w:eastAsia="Arial" w:hAnsi="Arial"/>
                <w:sz w:val="16"/>
                <w:szCs w:val="16"/>
                <w:color w:val="auto"/>
              </w:rPr>
              <w:t>5.00%</w:t>
            </w: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6"/>
                <w:szCs w:val="16"/>
                <w:color w:val="auto"/>
              </w:rPr>
              <w:t>Year in which ultimate trend rate is reached</w:t>
            </w:r>
          </w:p>
        </w:tc>
        <w:tc>
          <w:tcPr>
            <w:tcW w:w="1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6"/>
                <w:szCs w:val="16"/>
                <w:b w:val="1"/>
                <w:bCs w:val="1"/>
                <w:color w:val="auto"/>
              </w:rPr>
              <w:t>2028</w:t>
            </w: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A one percentage point increase or decrease in health care cost trend rates over all future periods would have increased or decreased the accumulated postretirement benefit obligation for the U.S. retiree health care benefit plan as of December 31, 2017, by $1 million. The service cost and interest cost components of 2017 plan expense would have increased or decreased by less than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As of December 31, 2017, our liability to participants of the deferred compensation plans was $255 million and is recorded in Other long-term liabilities on our Consolidated Balance Sheets. This amount reflects the accumulated participant deferrals and earnings thereon as of that date. As of December 31, 2017, we held $236 million in mutual funds related to these plans that are recorded in Long-term investments on our Consolidated Balance Sheets, and serve as an economic hedge against changes in fair values of our other deferred compensation liabilities. We record changes in the fair value of the liability and the related investment in SG&amp;A as discussed in Note 8.</w:t>
      </w:r>
    </w:p>
    <w:p>
      <w:pPr>
        <w:spacing w:after="0" w:line="242" w:lineRule="exact"/>
        <w:rPr>
          <w:sz w:val="20"/>
          <w:szCs w:val="20"/>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December 31, 2017, we had a variable-rate revolving credit facility from a consortium of investment-grade banks that allows us to borrow up to $2 billion until March 2022. The interest rate on borrowings under this credit facility, if drawn, is indexed to the applicable London Interbank Offered Rate (LIBOR). As of December 31, 2017,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$250 million of maturing debt in March 2017 and another $375 million in June 2017.</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2017, we issued an aggregate principal amount of $600 million of fixed-rate, long-term debt. The offering consisted of the reissuance of $300 million of 2.75% notes due in 2021 at a premium and the issuance of $300 million of 2.625% notes due in 2024 at a discount. We incurred $3 million of issuance and other related costs. The proceeds of the offerings were $605 million, net of the original issuance discount and premium, and were used for the repayment of maturing debt and general corporate purposes.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53" w:name="page54"/>
    <w:bookmarkEnd w:id="53"/>
    <w:p>
      <w:pPr>
        <w:ind w:right="380"/>
        <w:spacing w:after="0" w:line="342" w:lineRule="auto"/>
        <w:rPr>
          <w:sz w:val="20"/>
          <w:szCs w:val="20"/>
          <w:color w:val="auto"/>
        </w:rPr>
      </w:pPr>
      <w:r>
        <w:rPr>
          <w:rFonts w:ascii="Arial" w:cs="Arial" w:eastAsia="Arial" w:hAnsi="Arial"/>
          <w:sz w:val="16"/>
          <w:szCs w:val="16"/>
          <w:color w:val="auto"/>
        </w:rPr>
        <w:t>In November 2017, we issued a principal amount of $500 million of fixed-rate, long-term debt due in 2027. We incurred $3 million of issuance and other related costs. The proceeds of the offering were $494 million, net of the original issuance discount, and were used for general corporate purposes.</w:t>
      </w:r>
    </w:p>
    <w:p>
      <w:pPr>
        <w:spacing w:after="0" w:line="12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May 2016, we issued a principal amount of $500 million of fixed-rate, long-term debt due in 2022. We incurred $3 million of issuance and other related costs. The proceeds of the offering were $499 million, net of the original issuance discount, and were used toward the repayment of a portion of $1.0 billion of maturing debt retired in May 2016.</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May 2015, we issued a principal amount of $500 million of fixed-rate, long-term debt due in 2020. We incurred $3 million of issuance and other related costs. The proceeds of the offering were $498 million, net of the original issuance discount, and were used toward the repayment of a portion of the debt that matured in August 2015. We retired $250 million of maturing debt in April 2015 and another $750 million in August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Borders>
              <w:bottom w:val="single" w:sz="8" w:color="CFF0FC"/>
            </w:tcBorders>
          </w:tcPr>
          <w:p>
            <w:pPr>
              <w:spacing w:after="0"/>
              <w:rPr>
                <w:sz w:val="18"/>
                <w:szCs w:val="18"/>
                <w:color w:val="auto"/>
              </w:rPr>
            </w:pP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Notes due 2017 at 0.875%</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FF0FC"/>
          </w:tcPr>
          <w:p>
            <w:pPr>
              <w:spacing w:after="0"/>
              <w:rPr>
                <w:sz w:val="18"/>
                <w:szCs w:val="18"/>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2017 at 6.60% (assumed with National acquisition)</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8"/>
                <w:szCs w:val="18"/>
                <w:color w:val="auto"/>
              </w:rPr>
            </w:pPr>
          </w:p>
        </w:tc>
      </w:tr>
      <w:tr>
        <w:trPr>
          <w:trHeight w:val="219"/>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Notes due 2018 at 1.00%</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FF0FC"/>
          </w:tcPr>
          <w:p>
            <w:pPr>
              <w:spacing w:after="0"/>
              <w:rPr>
                <w:sz w:val="19"/>
                <w:szCs w:val="19"/>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2019 at 1.65%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r>
      <w:tr>
        <w:trPr>
          <w:trHeight w:val="219"/>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Notes due 2020 at 1.75%</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FF0FC"/>
          </w:tcPr>
          <w:p>
            <w:pPr>
              <w:spacing w:after="0"/>
              <w:rPr>
                <w:sz w:val="19"/>
                <w:szCs w:val="19"/>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2021 at 2.75%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r>
      <w:tr>
        <w:trPr>
          <w:trHeight w:val="219"/>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Notes due 2022 at 1.85%</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FF0FC"/>
          </w:tcPr>
          <w:p>
            <w:pPr>
              <w:spacing w:after="0"/>
              <w:rPr>
                <w:sz w:val="19"/>
                <w:szCs w:val="19"/>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2023 at 2.25%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r>
      <w:tr>
        <w:trPr>
          <w:trHeight w:val="219"/>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Notes due 2024 at 2.625%</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Notes due 2027 at 2.90%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2"/>
        </w:trPr>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debt</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4,100</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Net unamortized discounts, premiums and debt issuance costs</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2"/>
        </w:trPr>
        <w:tc>
          <w:tcPr>
            <w:tcW w:w="9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debt, including net unamortized discounts, premiums and debt issuance costs</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4,077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3,609</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(631)</w:t>
            </w:r>
          </w:p>
        </w:tc>
      </w:tr>
      <w:tr>
        <w:trPr>
          <w:trHeight w:val="210"/>
        </w:trPr>
        <w:tc>
          <w:tcPr>
            <w:tcW w:w="9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debt</w:t>
            </w: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3,577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2,978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Interest and debt expense was $78 million in 2017, $80 million in 2016 and $90 million in 2015. This was net of the amortization of the debt discounts, premiums and debt issuance costs. Cash payments for interest on long-term debt were $75 million in 2017, $88 million in 2016 and $99 million in 2015. Capitalized interest was not material.</w:t>
      </w:r>
    </w:p>
    <w:p>
      <w:pPr>
        <w:spacing w:after="0" w:line="181"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Some of our purchase commitments include payments for software licenses and contractual agreements with suppliers where there is a fixed, non-cancellable payment schedule or minimum payments due with a reduced delivery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$81 million, $86 million and $98 million in 2017, 2016 and 2015,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4" w:name="page55"/>
    <w:bookmarkEnd w:id="54"/>
    <w:p>
      <w:pPr>
        <w:ind w:right="360"/>
        <w:spacing w:after="0" w:line="277" w:lineRule="auto"/>
        <w:rPr>
          <w:sz w:val="20"/>
          <w:szCs w:val="20"/>
          <w:color w:val="auto"/>
        </w:rPr>
      </w:pPr>
      <w:r>
        <w:rPr>
          <w:rFonts w:ascii="Arial" w:cs="Arial" w:eastAsia="Arial" w:hAnsi="Arial"/>
          <w:sz w:val="18"/>
          <w:szCs w:val="18"/>
          <w:color w:val="auto"/>
        </w:rPr>
        <w:t>As of December 31, 2017, we had committed to make the following minimum payments under our purchase commitments and non-cancellable operating leases: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420" w:type="dxa"/>
            <w:vAlign w:val="bottom"/>
          </w:tcPr>
          <w:p>
            <w:pPr>
              <w:jc w:val="center"/>
              <w:ind w:left="221"/>
              <w:spacing w:after="0"/>
              <w:rPr>
                <w:sz w:val="20"/>
                <w:szCs w:val="20"/>
                <w:color w:val="auto"/>
              </w:rPr>
            </w:pPr>
            <w:r>
              <w:rPr>
                <w:rFonts w:ascii="Arial" w:cs="Arial" w:eastAsia="Arial" w:hAnsi="Arial"/>
                <w:sz w:val="16"/>
                <w:szCs w:val="16"/>
                <w:b w:val="1"/>
                <w:bCs w:val="1"/>
                <w:color w:val="auto"/>
                <w:w w:val="88"/>
              </w:rPr>
              <w:t>Purchase</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Operating</w:t>
            </w:r>
          </w:p>
        </w:tc>
      </w:tr>
      <w:tr>
        <w:trPr>
          <w:trHeight w:val="219"/>
        </w:trPr>
        <w:tc>
          <w:tcPr>
            <w:tcW w:w="7440" w:type="dxa"/>
            <w:vAlign w:val="bottom"/>
          </w:tcPr>
          <w:p>
            <w:pPr>
              <w:spacing w:after="0"/>
              <w:rPr>
                <w:sz w:val="19"/>
                <w:szCs w:val="19"/>
                <w:color w:val="auto"/>
              </w:rPr>
            </w:pPr>
          </w:p>
        </w:tc>
        <w:tc>
          <w:tcPr>
            <w:tcW w:w="1420" w:type="dxa"/>
            <w:vAlign w:val="bottom"/>
          </w:tcPr>
          <w:p>
            <w:pPr>
              <w:jc w:val="center"/>
              <w:ind w:left="221"/>
              <w:spacing w:after="0"/>
              <w:rPr>
                <w:sz w:val="20"/>
                <w:szCs w:val="20"/>
                <w:color w:val="auto"/>
              </w:rPr>
            </w:pPr>
            <w:r>
              <w:rPr>
                <w:rFonts w:ascii="Arial" w:cs="Arial" w:eastAsia="Arial" w:hAnsi="Arial"/>
                <w:sz w:val="16"/>
                <w:szCs w:val="16"/>
                <w:b w:val="1"/>
                <w:bCs w:val="1"/>
                <w:color w:val="auto"/>
                <w:w w:val="93"/>
              </w:rPr>
              <w:t>Commitments</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4"/>
              </w:rPr>
              <w:t>Leases</w:t>
            </w:r>
          </w:p>
        </w:tc>
      </w:tr>
      <w:tr>
        <w:trPr>
          <w:trHeight w:val="21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2018</w:t>
            </w:r>
          </w:p>
        </w:tc>
        <w:tc>
          <w:tcPr>
            <w:tcW w:w="1420" w:type="dxa"/>
            <w:vAlign w:val="bottom"/>
            <w:tcBorders>
              <w:top w:val="single" w:sz="8" w:color="auto"/>
            </w:tcBorders>
            <w:shd w:val="clear" w:color="auto" w:fill="CFF0FC"/>
          </w:tcPr>
          <w:p>
            <w:pPr>
              <w:jc w:val="right"/>
              <w:ind w:right="1261"/>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3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2019</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367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2020</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FF0FC"/>
          </w:tcPr>
          <w:p>
            <w:pPr>
              <w:spacing w:after="0"/>
              <w:rPr>
                <w:sz w:val="19"/>
                <w:szCs w:val="19"/>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2021</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6"/>
                <w:szCs w:val="16"/>
                <w:color w:val="auto"/>
              </w:rPr>
              <w:t>Thereafter</w:t>
            </w:r>
          </w:p>
        </w:tc>
        <w:tc>
          <w:tcPr>
            <w:tcW w:w="14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24"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 See Note 9 for additional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6"/>
                <w:szCs w:val="16"/>
                <w:b w:val="1"/>
                <w:bCs w:val="1"/>
                <w:color w:val="auto"/>
                <w:w w:val="90"/>
              </w:rPr>
              <w:t>For Years Ended December 31,</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616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Borders>
              <w:bottom w:val="single" w:sz="8" w:color="CFF0FC"/>
            </w:tcBorders>
          </w:tcPr>
          <w:p>
            <w:pPr>
              <w:spacing w:after="0"/>
              <w:rPr>
                <w:sz w:val="18"/>
                <w:szCs w:val="18"/>
                <w:color w:val="auto"/>
              </w:rPr>
            </w:pPr>
          </w:p>
        </w:tc>
      </w:tr>
      <w:tr>
        <w:trPr>
          <w:trHeight w:val="212"/>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Royalty income (a)</w:t>
            </w:r>
          </w:p>
        </w:tc>
        <w:tc>
          <w:tcPr>
            <w:tcW w:w="16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119</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6160" w:type="dxa"/>
            <w:vAlign w:val="bottom"/>
          </w:tcPr>
          <w:p>
            <w:pPr>
              <w:spacing w:after="0"/>
              <w:rPr>
                <w:sz w:val="20"/>
                <w:szCs w:val="20"/>
                <w:color w:val="auto"/>
              </w:rPr>
            </w:pPr>
            <w:r>
              <w:rPr>
                <w:rFonts w:ascii="Arial" w:cs="Arial" w:eastAsia="Arial" w:hAnsi="Arial"/>
                <w:sz w:val="16"/>
                <w:szCs w:val="16"/>
                <w:color w:val="auto"/>
              </w:rPr>
              <w:t>Income from settlements related to intellectual property infringement</w:t>
            </w:r>
          </w:p>
        </w:tc>
        <w:tc>
          <w:tcPr>
            <w:tcW w:w="1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19"/>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Pension and other retiree benefit costs (b)</w:t>
            </w:r>
          </w:p>
        </w:tc>
        <w:tc>
          <w:tcPr>
            <w:tcW w:w="16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(61)</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r>
      <w:tr>
        <w:trPr>
          <w:trHeight w:val="213"/>
        </w:trPr>
        <w:tc>
          <w:tcPr>
            <w:tcW w:w="6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w:t>
            </w:r>
          </w:p>
        </w:tc>
        <w:tc>
          <w:tcPr>
            <w:tcW w:w="166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3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8"/>
                <w:szCs w:val="18"/>
                <w:color w:val="auto"/>
              </w:rPr>
            </w:pPr>
          </w:p>
        </w:tc>
      </w:tr>
      <w:tr>
        <w:trPr>
          <w:trHeight w:val="210"/>
        </w:trPr>
        <w:tc>
          <w:tcPr>
            <w:tcW w:w="61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6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82"/>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75</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w:t>
            </w: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January 1, 2017, royalties are recorded in OI&amp;E. See Note 1 for additional information.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adoption of ASU 2017-07. See Note 2 for additional information.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includes interest and lease income, investment and currency gains and losses, and tax interest income and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Borders>
              <w:bottom w:val="single" w:sz="8" w:color="CFF0FC"/>
            </w:tcBorders>
          </w:tcPr>
          <w:p>
            <w:pPr>
              <w:spacing w:after="0"/>
              <w:rPr>
                <w:sz w:val="18"/>
                <w:szCs w:val="18"/>
                <w:color w:val="auto"/>
              </w:rPr>
            </w:pP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Prepaid taxes on intercompany inventory profits, net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768</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FF0FC"/>
          </w:tcPr>
          <w:p>
            <w:pPr>
              <w:spacing w:after="0"/>
              <w:rPr>
                <w:sz w:val="18"/>
                <w:szCs w:val="18"/>
                <w:color w:val="auto"/>
              </w:rPr>
            </w:pPr>
          </w:p>
        </w:tc>
      </w:tr>
      <w:tr>
        <w:trPr>
          <w:trHeight w:val="213"/>
        </w:trPr>
        <w:tc>
          <w:tcPr>
            <w:tcW w:w="9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262</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FF0FC"/>
            </w:tcBorders>
          </w:tcPr>
          <w:p>
            <w:pPr>
              <w:spacing w:after="0"/>
              <w:rPr>
                <w:sz w:val="18"/>
                <w:szCs w:val="18"/>
                <w:color w:val="auto"/>
              </w:rPr>
            </w:pPr>
          </w:p>
        </w:tc>
      </w:tr>
      <w:tr>
        <w:trPr>
          <w:trHeight w:val="210"/>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1,030</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910</w:t>
            </w:r>
          </w:p>
        </w:tc>
        <w:tc>
          <w:tcPr>
            <w:tcW w:w="100" w:type="dxa"/>
            <w:vAlign w:val="bottom"/>
            <w:shd w:val="clear" w:color="auto" w:fill="CFF0FC"/>
          </w:tcPr>
          <w:p>
            <w:pPr>
              <w:spacing w:after="0"/>
              <w:rPr>
                <w:sz w:val="18"/>
                <w:szCs w:val="18"/>
                <w:color w:val="auto"/>
              </w:rPr>
            </w:pPr>
          </w:p>
        </w:tc>
      </w:tr>
      <w:tr>
        <w:trPr>
          <w:trHeight w:val="20"/>
        </w:trPr>
        <w:tc>
          <w:tcPr>
            <w:tcW w:w="9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Depreciable</w:t>
            </w: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3"/>
        </w:trPr>
        <w:tc>
          <w:tcPr>
            <w:tcW w:w="6460" w:type="dxa"/>
            <w:vAlign w:val="bottom"/>
            <w:tcBorders>
              <w:bottom w:val="single" w:sz="8" w:color="CFF0FC"/>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Lives (Years)</w:t>
            </w: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FF0FC"/>
            </w:tcBorders>
          </w:tcPr>
          <w:p>
            <w:pPr>
              <w:spacing w:after="0"/>
              <w:rPr>
                <w:sz w:val="18"/>
                <w:szCs w:val="18"/>
                <w:color w:val="auto"/>
              </w:rPr>
            </w:pPr>
          </w:p>
        </w:tc>
      </w:tr>
      <w:tr>
        <w:trPr>
          <w:trHeight w:val="212"/>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Land</w:t>
            </w:r>
          </w:p>
        </w:tc>
        <w:tc>
          <w:tcPr>
            <w:tcW w:w="1620" w:type="dxa"/>
            <w:vAlign w:val="bottom"/>
            <w:gridSpan w:val="2"/>
            <w:shd w:val="clear" w:color="auto" w:fill="CFF0FC"/>
          </w:tcPr>
          <w:p>
            <w:pPr>
              <w:jc w:val="center"/>
              <w:ind w:right="180"/>
              <w:spacing w:after="0"/>
              <w:rPr>
                <w:sz w:val="20"/>
                <w:szCs w:val="20"/>
                <w:color w:val="auto"/>
              </w:rPr>
            </w:pPr>
            <w:r>
              <w:rPr>
                <w:rFonts w:ascii="Arial" w:cs="Arial" w:eastAsia="Arial" w:hAnsi="Arial"/>
                <w:sz w:val="16"/>
                <w:szCs w:val="16"/>
                <w:color w:val="auto"/>
                <w:w w:val="89"/>
              </w:rPr>
              <w:t>n/a</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127</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w:t>
            </w:r>
          </w:p>
        </w:tc>
        <w:tc>
          <w:tcPr>
            <w:tcW w:w="120" w:type="dxa"/>
            <w:vAlign w:val="bottom"/>
            <w:shd w:val="clear" w:color="auto" w:fill="CFF0FC"/>
          </w:tcPr>
          <w:p>
            <w:pPr>
              <w:spacing w:after="0"/>
              <w:rPr>
                <w:sz w:val="18"/>
                <w:szCs w:val="18"/>
                <w:color w:val="auto"/>
              </w:rPr>
            </w:pPr>
          </w:p>
        </w:tc>
      </w:tr>
      <w:tr>
        <w:trPr>
          <w:trHeight w:val="213"/>
        </w:trPr>
        <w:tc>
          <w:tcPr>
            <w:tcW w:w="6460" w:type="dxa"/>
            <w:vAlign w:val="bottom"/>
          </w:tcPr>
          <w:p>
            <w:pPr>
              <w:spacing w:after="0"/>
              <w:rPr>
                <w:sz w:val="20"/>
                <w:szCs w:val="20"/>
                <w:color w:val="auto"/>
              </w:rPr>
            </w:pPr>
            <w:r>
              <w:rPr>
                <w:rFonts w:ascii="Arial" w:cs="Arial" w:eastAsia="Arial" w:hAnsi="Arial"/>
                <w:sz w:val="16"/>
                <w:szCs w:val="16"/>
                <w:color w:val="auto"/>
              </w:rPr>
              <w:t>Buildings and improvements</w:t>
            </w:r>
          </w:p>
        </w:tc>
        <w:tc>
          <w:tcPr>
            <w:tcW w:w="1440" w:type="dxa"/>
            <w:vAlign w:val="bottom"/>
          </w:tcPr>
          <w:p>
            <w:pPr>
              <w:jc w:val="center"/>
              <w:spacing w:after="0"/>
              <w:rPr>
                <w:sz w:val="20"/>
                <w:szCs w:val="20"/>
                <w:color w:val="auto"/>
              </w:rPr>
            </w:pPr>
            <w:r>
              <w:rPr>
                <w:rFonts w:ascii="Arial" w:cs="Arial" w:eastAsia="Arial" w:hAnsi="Arial"/>
                <w:sz w:val="16"/>
                <w:szCs w:val="16"/>
                <w:color w:val="auto"/>
                <w:w w:val="92"/>
              </w:rPr>
              <w:t>5 - 40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2,467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2,753</w:t>
            </w:r>
          </w:p>
        </w:tc>
        <w:tc>
          <w:tcPr>
            <w:tcW w:w="120" w:type="dxa"/>
            <w:vAlign w:val="bottom"/>
          </w:tcPr>
          <w:p>
            <w:pPr>
              <w:spacing w:after="0"/>
              <w:rPr>
                <w:sz w:val="18"/>
                <w:szCs w:val="18"/>
                <w:color w:val="auto"/>
              </w:rPr>
            </w:pPr>
          </w:p>
        </w:tc>
      </w:tr>
      <w:tr>
        <w:trPr>
          <w:trHeight w:val="219"/>
        </w:trPr>
        <w:tc>
          <w:tcPr>
            <w:tcW w:w="646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14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2 - 10</w:t>
            </w: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2,195</w:t>
            </w:r>
          </w:p>
        </w:tc>
        <w:tc>
          <w:tcPr>
            <w:tcW w:w="30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2,043</w:t>
            </w:r>
          </w:p>
        </w:tc>
        <w:tc>
          <w:tcPr>
            <w:tcW w:w="120" w:type="dxa"/>
            <w:vAlign w:val="bottom"/>
            <w:shd w:val="clear" w:color="auto" w:fill="CFF0FC"/>
          </w:tcPr>
          <w:p>
            <w:pPr>
              <w:spacing w:after="0"/>
              <w:rPr>
                <w:sz w:val="19"/>
                <w:szCs w:val="19"/>
                <w:color w:val="auto"/>
              </w:rPr>
            </w:pPr>
          </w:p>
        </w:tc>
      </w:tr>
      <w:tr>
        <w:trPr>
          <w:trHeight w:val="207"/>
        </w:trPr>
        <w:tc>
          <w:tcPr>
            <w:tcW w:w="6460" w:type="dxa"/>
            <w:vAlign w:val="bottom"/>
          </w:tcPr>
          <w:p>
            <w:pPr>
              <w:spacing w:after="0"/>
              <w:rPr>
                <w:sz w:val="20"/>
                <w:szCs w:val="20"/>
                <w:color w:val="auto"/>
              </w:rPr>
            </w:pPr>
            <w:r>
              <w:rPr>
                <w:rFonts w:ascii="Arial" w:cs="Arial" w:eastAsia="Arial" w:hAnsi="Arial"/>
                <w:sz w:val="16"/>
                <w:szCs w:val="16"/>
                <w:color w:val="auto"/>
              </w:rPr>
              <w:t>Total</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4,789</w:t>
            </w:r>
          </w:p>
        </w:tc>
        <w:tc>
          <w:tcPr>
            <w:tcW w:w="300" w:type="dxa"/>
            <w:vAlign w:val="bottom"/>
          </w:tcPr>
          <w:p>
            <w:pPr>
              <w:spacing w:after="0"/>
              <w:rPr>
                <w:sz w:val="17"/>
                <w:szCs w:val="17"/>
                <w:color w:val="auto"/>
              </w:rPr>
            </w:pPr>
          </w:p>
        </w:tc>
        <w:tc>
          <w:tcPr>
            <w:tcW w:w="44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4,923</w:t>
            </w:r>
          </w:p>
        </w:tc>
        <w:tc>
          <w:tcPr>
            <w:tcW w:w="120" w:type="dxa"/>
            <w:vAlign w:val="bottom"/>
          </w:tcPr>
          <w:p>
            <w:pPr>
              <w:spacing w:after="0"/>
              <w:rPr>
                <w:sz w:val="17"/>
                <w:szCs w:val="17"/>
                <w:color w:val="auto"/>
              </w:rPr>
            </w:pPr>
          </w:p>
        </w:tc>
      </w:tr>
      <w:tr>
        <w:trPr>
          <w:trHeight w:val="20"/>
        </w:trPr>
        <w:tc>
          <w:tcPr>
            <w:tcW w:w="6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liabilities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Borders>
              <w:bottom w:val="single" w:sz="8" w:color="CFF0FC"/>
            </w:tcBorders>
          </w:tcPr>
          <w:p>
            <w:pPr>
              <w:spacing w:after="0"/>
              <w:rPr>
                <w:sz w:val="18"/>
                <w:szCs w:val="18"/>
                <w:color w:val="auto"/>
              </w:rPr>
            </w:pP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Long-term portion of tax on indefinitely reinvested earnings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635</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9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668</w:t>
            </w:r>
          </w:p>
        </w:tc>
        <w:tc>
          <w:tcPr>
            <w:tcW w:w="3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FF0FC"/>
            </w:tcBorders>
          </w:tcPr>
          <w:p>
            <w:pPr>
              <w:spacing w:after="0"/>
              <w:rPr>
                <w:sz w:val="18"/>
                <w:szCs w:val="18"/>
                <w:color w:val="auto"/>
              </w:rPr>
            </w:pPr>
          </w:p>
        </w:tc>
      </w:tr>
      <w:tr>
        <w:trPr>
          <w:trHeight w:val="210"/>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1,303</w:t>
            </w:r>
          </w:p>
        </w:tc>
        <w:tc>
          <w:tcPr>
            <w:tcW w:w="6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FF0FC"/>
          </w:tcPr>
          <w:p>
            <w:pPr>
              <w:spacing w:after="0"/>
              <w:rPr>
                <w:sz w:val="18"/>
                <w:szCs w:val="18"/>
                <w:color w:val="auto"/>
              </w:rPr>
            </w:pPr>
          </w:p>
        </w:tc>
      </w:tr>
      <w:tr>
        <w:trPr>
          <w:trHeight w:val="20"/>
        </w:trPr>
        <w:tc>
          <w:tcPr>
            <w:tcW w:w="9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4"/>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9120" w:type="dxa"/>
            <w:vAlign w:val="bottom"/>
            <w:shd w:val="clear" w:color="auto" w:fill="CFF0FC"/>
          </w:tcPr>
          <w:p>
            <w:pPr>
              <w:spacing w:after="0"/>
              <w:rPr>
                <w:sz w:val="20"/>
                <w:szCs w:val="20"/>
                <w:color w:val="auto"/>
              </w:rPr>
            </w:pPr>
            <w:r>
              <w:rPr>
                <w:rFonts w:ascii="Arial" w:cs="Arial" w:eastAsia="Arial" w:hAnsi="Arial"/>
                <w:sz w:val="16"/>
                <w:szCs w:val="16"/>
                <w:color w:val="auto"/>
              </w:rPr>
              <w:t>Postretirement benefit plans: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120" w:type="dxa"/>
            <w:vAlign w:val="bottom"/>
          </w:tcPr>
          <w:p>
            <w:pPr>
              <w:ind w:left="140"/>
              <w:spacing w:after="0"/>
              <w:rPr>
                <w:sz w:val="20"/>
                <w:szCs w:val="20"/>
                <w:color w:val="auto"/>
              </w:rPr>
            </w:pPr>
            <w:r>
              <w:rPr>
                <w:rFonts w:ascii="Arial" w:cs="Arial" w:eastAsia="Arial" w:hAnsi="Arial"/>
                <w:sz w:val="16"/>
                <w:szCs w:val="16"/>
                <w:color w:val="auto"/>
              </w:rPr>
              <w:t>Net actuarial loss</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(394)</w:t>
            </w:r>
          </w:p>
        </w:tc>
        <w:tc>
          <w:tcPr>
            <w:tcW w:w="44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9"/>
        </w:trPr>
        <w:tc>
          <w:tcPr>
            <w:tcW w:w="9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Prior service credit</w:t>
            </w: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120" w:type="dxa"/>
            <w:vAlign w:val="bottom"/>
          </w:tcPr>
          <w:p>
            <w:pPr>
              <w:spacing w:after="0"/>
              <w:rPr>
                <w:sz w:val="20"/>
                <w:szCs w:val="20"/>
                <w:color w:val="auto"/>
              </w:rPr>
            </w:pPr>
            <w:r>
              <w:rPr>
                <w:rFonts w:ascii="Arial" w:cs="Arial" w:eastAsia="Arial" w:hAnsi="Arial"/>
                <w:sz w:val="16"/>
                <w:szCs w:val="16"/>
                <w:color w:val="auto"/>
              </w:rPr>
              <w:t>Cash flow hedge derivative instruments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91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(384)</w:t>
            </w:r>
          </w:p>
        </w:tc>
        <w:tc>
          <w:tcPr>
            <w:tcW w:w="22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0"/>
        </w:trPr>
        <w:tc>
          <w:tcPr>
            <w:tcW w:w="9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2017, 2016 and 2015. The table below details where these transactions are recorded in our Consolidated Statements of Income.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For Years Ended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5"/>
              </w:rPr>
              <w:t>Impact to</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w w:val="92"/>
              </w:rPr>
              <w:t>December 31,</w:t>
            </w: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1"/>
              </w:rPr>
              <w:t>Related Statement</w:t>
            </w:r>
          </w:p>
        </w:tc>
        <w:tc>
          <w:tcPr>
            <w:tcW w:w="0" w:type="dxa"/>
            <w:vAlign w:val="bottom"/>
          </w:tcPr>
          <w:p>
            <w:pPr>
              <w:spacing w:after="0"/>
              <w:rPr>
                <w:sz w:val="1"/>
                <w:szCs w:val="1"/>
                <w:color w:val="auto"/>
              </w:rPr>
            </w:pPr>
          </w:p>
        </w:tc>
      </w:tr>
      <w:tr>
        <w:trPr>
          <w:trHeight w:val="213"/>
        </w:trPr>
        <w:tc>
          <w:tcPr>
            <w:tcW w:w="4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w w:val="89"/>
              </w:rPr>
              <w:t>2016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92"/>
              </w:rPr>
              <w:t>of Income Line</w:t>
            </w:r>
          </w:p>
        </w:tc>
        <w:tc>
          <w:tcPr>
            <w:tcW w:w="0" w:type="dxa"/>
            <w:vAlign w:val="bottom"/>
          </w:tcPr>
          <w:p>
            <w:pPr>
              <w:spacing w:after="0"/>
              <w:rPr>
                <w:sz w:val="1"/>
                <w:szCs w:val="1"/>
                <w:color w:val="auto"/>
              </w:rPr>
            </w:pPr>
          </w:p>
        </w:tc>
      </w:tr>
      <w:tr>
        <w:trPr>
          <w:trHeight w:val="212"/>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Net actuarial losses of defined benefit plans:</w:t>
            </w:r>
          </w:p>
        </w:tc>
        <w:tc>
          <w:tcPr>
            <w:tcW w:w="6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34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660" w:type="dxa"/>
            <w:vAlign w:val="bottom"/>
            <w:gridSpan w:val="2"/>
          </w:tcPr>
          <w:p>
            <w:pPr>
              <w:jc w:val="right"/>
              <w:ind w:right="4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83</w:t>
            </w:r>
          </w:p>
        </w:tc>
        <w:tc>
          <w:tcPr>
            <w:tcW w:w="80" w:type="dxa"/>
            <w:vAlign w:val="bottom"/>
          </w:tcPr>
          <w:p>
            <w:pPr>
              <w:spacing w:after="0"/>
              <w:rPr>
                <w:sz w:val="18"/>
                <w:szCs w:val="18"/>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480" w:type="dxa"/>
            <w:vAlign w:val="bottom"/>
            <w:gridSpan w:val="2"/>
          </w:tcPr>
          <w:p>
            <w:pPr>
              <w:ind w:left="40"/>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w w:val="98"/>
              </w:rPr>
              <w:t>(27)</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(25)</w:t>
            </w:r>
          </w:p>
        </w:tc>
        <w:tc>
          <w:tcPr>
            <w:tcW w:w="6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8"/>
              </w:rPr>
              <w:t>(25)</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2"/>
            <w:vMerge w:val="restart"/>
          </w:tcPr>
          <w:p>
            <w:pPr>
              <w:ind w:left="4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47"/>
        </w:trPr>
        <w:tc>
          <w:tcPr>
            <w:tcW w:w="4860" w:type="dxa"/>
            <w:vAlign w:val="bottom"/>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80" w:type="dxa"/>
            <w:vAlign w:val="bottom"/>
          </w:tcPr>
          <w:p>
            <w:pPr>
              <w:spacing w:after="0"/>
              <w:rPr>
                <w:sz w:val="21"/>
                <w:szCs w:val="21"/>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21"/>
                <w:szCs w:val="21"/>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1"/>
                <w:szCs w:val="21"/>
                <w:color w:val="auto"/>
              </w:rPr>
            </w:pPr>
          </w:p>
        </w:tc>
        <w:tc>
          <w:tcPr>
            <w:tcW w:w="3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86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4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Prior service credit of defined benefit plans:</w:t>
            </w: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Amortization of prior service cost (credit) (a)</w:t>
            </w:r>
          </w:p>
        </w:tc>
        <w:tc>
          <w:tcPr>
            <w:tcW w:w="660" w:type="dxa"/>
            <w:vAlign w:val="bottom"/>
            <w:gridSpan w:val="2"/>
            <w:shd w:val="clear" w:color="auto" w:fill="CFF0FC"/>
          </w:tcPr>
          <w:p>
            <w:pPr>
              <w:jc w:val="right"/>
              <w:ind w:right="443"/>
              <w:spacing w:after="0"/>
              <w:rPr>
                <w:sz w:val="20"/>
                <w:szCs w:val="20"/>
                <w:color w:val="auto"/>
              </w:rPr>
            </w:pPr>
            <w:r>
              <w:rPr>
                <w:rFonts w:ascii="Arial" w:cs="Arial" w:eastAsia="Arial" w:hAnsi="Arial"/>
                <w:sz w:val="16"/>
                <w:szCs w:val="16"/>
                <w:b w:val="1"/>
                <w:bCs w:val="1"/>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68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w:t>
            </w:r>
          </w:p>
        </w:tc>
        <w:tc>
          <w:tcPr>
            <w:tcW w:w="620" w:type="dxa"/>
            <w:vAlign w:val="bottom"/>
            <w:shd w:val="clear" w:color="auto" w:fill="CFF0FC"/>
          </w:tcPr>
          <w:p>
            <w:pPr>
              <w:jc w:val="right"/>
              <w:ind w:right="463"/>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FF0FC"/>
            </w:tcBorders>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3480" w:type="dxa"/>
            <w:vAlign w:val="bottom"/>
            <w:tcBorders>
              <w:bottom w:val="single" w:sz="8" w:color="CFF0FC"/>
            </w:tcBorders>
            <w:gridSpan w:val="2"/>
          </w:tcPr>
          <w:p>
            <w:pPr>
              <w:ind w:left="40"/>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3"/>
              <w:spacing w:after="0"/>
              <w:rPr>
                <w:sz w:val="20"/>
                <w:szCs w:val="20"/>
                <w:color w:val="auto"/>
              </w:rPr>
            </w:pPr>
            <w:r>
              <w:rPr>
                <w:rFonts w:ascii="Arial" w:cs="Arial" w:eastAsia="Arial" w:hAnsi="Arial"/>
                <w:sz w:val="15"/>
                <w:szCs w:val="15"/>
                <w:b w:val="1"/>
                <w:bCs w:val="1"/>
                <w:color w:val="auto"/>
                <w:w w:val="71"/>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680" w:type="dxa"/>
            <w:vAlign w:val="bottom"/>
            <w:gridSpan w:val="2"/>
            <w:shd w:val="clear" w:color="auto" w:fill="CFF0FC"/>
          </w:tcPr>
          <w:p>
            <w:pPr>
              <w:jc w:val="right"/>
              <w:ind w:right="5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w:t>
            </w:r>
          </w:p>
        </w:tc>
        <w:tc>
          <w:tcPr>
            <w:tcW w:w="620" w:type="dxa"/>
            <w:vAlign w:val="bottom"/>
            <w:shd w:val="clear" w:color="auto" w:fill="CFF0FC"/>
          </w:tcPr>
          <w:p>
            <w:pPr>
              <w:jc w:val="right"/>
              <w:ind w:right="463"/>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4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Derivative instruments:</w:t>
            </w:r>
          </w:p>
        </w:tc>
        <w:tc>
          <w:tcPr>
            <w:tcW w:w="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Pr>
          <w:p>
            <w:pPr>
              <w:ind w:left="140"/>
              <w:spacing w:after="0"/>
              <w:rPr>
                <w:sz w:val="20"/>
                <w:szCs w:val="20"/>
                <w:color w:val="auto"/>
              </w:rPr>
            </w:pPr>
            <w:r>
              <w:rPr>
                <w:rFonts w:ascii="Arial" w:cs="Arial" w:eastAsia="Arial" w:hAnsi="Arial"/>
                <w:sz w:val="16"/>
                <w:szCs w:val="16"/>
                <w:color w:val="auto"/>
              </w:rPr>
              <w:t>Amortization of treasury-rate locks</w:t>
            </w:r>
          </w:p>
        </w:tc>
        <w:tc>
          <w:tcPr>
            <w:tcW w:w="660" w:type="dxa"/>
            <w:vAlign w:val="bottom"/>
            <w:gridSpan w:val="2"/>
          </w:tcPr>
          <w:p>
            <w:pPr>
              <w:jc w:val="right"/>
              <w:ind w:right="443"/>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480" w:type="dxa"/>
            <w:vAlign w:val="bottom"/>
            <w:gridSpan w:val="2"/>
          </w:tcPr>
          <w:p>
            <w:pPr>
              <w:ind w:left="40"/>
              <w:spacing w:after="0"/>
              <w:rPr>
                <w:sz w:val="20"/>
                <w:szCs w:val="20"/>
                <w:color w:val="auto"/>
              </w:rPr>
            </w:pPr>
            <w:r>
              <w:rPr>
                <w:rFonts w:ascii="Arial" w:cs="Arial" w:eastAsia="Arial" w:hAnsi="Arial"/>
                <w:sz w:val="16"/>
                <w:szCs w:val="16"/>
                <w:color w:val="auto"/>
              </w:rPr>
              <w:t>Increase to Interest and debt expense</w:t>
            </w:r>
          </w:p>
        </w:tc>
        <w:tc>
          <w:tcPr>
            <w:tcW w:w="0" w:type="dxa"/>
            <w:vAlign w:val="bottom"/>
          </w:tcPr>
          <w:p>
            <w:pPr>
              <w:spacing w:after="0"/>
              <w:rPr>
                <w:sz w:val="1"/>
                <w:szCs w:val="1"/>
                <w:color w:val="auto"/>
              </w:rPr>
            </w:pPr>
          </w:p>
        </w:tc>
      </w:tr>
      <w:tr>
        <w:trPr>
          <w:trHeight w:val="219"/>
        </w:trPr>
        <w:tc>
          <w:tcPr>
            <w:tcW w:w="4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Tax effect</w:t>
            </w: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w:t>
            </w:r>
          </w:p>
        </w:tc>
        <w:tc>
          <w:tcPr>
            <w:tcW w:w="348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2"/>
            <w:vMerge w:val="restart"/>
          </w:tcPr>
          <w:p>
            <w:pPr>
              <w:ind w:left="4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line="20" w:lineRule="exact"/>
              <w:rPr>
                <w:sz w:val="1"/>
                <w:szCs w:val="1"/>
                <w:color w:val="auto"/>
              </w:rPr>
            </w:pPr>
          </w:p>
        </w:tc>
      </w:tr>
      <w:tr>
        <w:trPr>
          <w:trHeight w:val="207"/>
        </w:trPr>
        <w:tc>
          <w:tcPr>
            <w:tcW w:w="48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0" w:type="dxa"/>
            <w:vAlign w:val="bottom"/>
          </w:tcPr>
          <w:p>
            <w:pPr>
              <w:jc w:val="right"/>
              <w:ind w:right="443"/>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Pr>
          <w:p>
            <w:pPr>
              <w:spacing w:after="0"/>
              <w:rPr>
                <w:sz w:val="17"/>
                <w:szCs w:val="17"/>
                <w:color w:val="auto"/>
              </w:rPr>
            </w:pPr>
          </w:p>
        </w:tc>
        <w:tc>
          <w:tcPr>
            <w:tcW w:w="68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Detailed in Note 10.</w:t>
      </w:r>
    </w:p>
    <w:p>
      <w:pPr>
        <w:sectPr>
          <w:pgSz w:w="11900" w:h="16838" w:orient="portrait"/>
          <w:cols w:equalWidth="0" w:num="1">
            <w:col w:w="11420"/>
          </w:cols>
          <w:pgMar w:left="240" w:top="341"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6" w:name="page57"/>
    <w:bookmarkEnd w:id="56"/>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a result of our early adoption of ASU 2017-07, we have recast Gross profit and Operating profit for 2016 to conform to the new presentation. See Note 2 for additional information.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2017 Quarters</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ind w:left="280"/>
              <w:spacing w:after="0"/>
              <w:rPr>
                <w:sz w:val="20"/>
                <w:szCs w:val="20"/>
                <w:color w:val="auto"/>
              </w:rPr>
            </w:pPr>
            <w:r>
              <w:rPr>
                <w:rFonts w:ascii="Arial" w:cs="Arial" w:eastAsia="Arial" w:hAnsi="Arial"/>
                <w:sz w:val="16"/>
                <w:szCs w:val="16"/>
                <w:b w:val="1"/>
                <w:bCs w:val="1"/>
                <w:color w:val="auto"/>
              </w:rPr>
              <w:t>2016 Quarters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39"/>
              <w:spacing w:after="0"/>
              <w:rPr>
                <w:sz w:val="20"/>
                <w:szCs w:val="20"/>
                <w:color w:val="auto"/>
              </w:rPr>
            </w:pPr>
            <w:r>
              <w:rPr>
                <w:rFonts w:ascii="Arial" w:cs="Arial" w:eastAsia="Arial" w:hAnsi="Arial"/>
                <w:sz w:val="16"/>
                <w:szCs w:val="16"/>
                <w:b w:val="1"/>
                <w:bCs w:val="1"/>
                <w:color w:val="auto"/>
              </w:rPr>
              <w:t>4th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w:t>
            </w: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2nd</w:t>
            </w:r>
          </w:p>
        </w:tc>
        <w:tc>
          <w:tcPr>
            <w:tcW w:w="22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1st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4th</w:t>
            </w: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w:t>
            </w:r>
          </w:p>
        </w:tc>
        <w:tc>
          <w:tcPr>
            <w:tcW w:w="2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2nd</w:t>
            </w:r>
          </w:p>
        </w:tc>
        <w:tc>
          <w:tcPr>
            <w:tcW w:w="220" w:type="dxa"/>
            <w:vAlign w:val="bottom"/>
          </w:tcPr>
          <w:p>
            <w:pPr>
              <w:spacing w:after="0"/>
              <w:rPr>
                <w:sz w:val="18"/>
                <w:szCs w:val="18"/>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rPr>
              <w:t>1st</w:t>
            </w:r>
          </w:p>
        </w:tc>
        <w:tc>
          <w:tcPr>
            <w:tcW w:w="100" w:type="dxa"/>
            <w:vAlign w:val="bottom"/>
          </w:tcPr>
          <w:p>
            <w:pPr>
              <w:spacing w:after="0"/>
              <w:rPr>
                <w:sz w:val="18"/>
                <w:szCs w:val="18"/>
                <w:color w:val="auto"/>
              </w:rPr>
            </w:pPr>
          </w:p>
        </w:tc>
      </w:tr>
      <w:tr>
        <w:trPr>
          <w:trHeight w:val="212"/>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w:t>
            </w: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3,750</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4,116</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3,693</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3,402</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3,414</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3,675</w:t>
            </w:r>
          </w:p>
        </w:tc>
        <w:tc>
          <w:tcPr>
            <w:tcW w:w="16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3,273</w:t>
            </w:r>
          </w:p>
        </w:tc>
        <w:tc>
          <w:tcPr>
            <w:tcW w:w="1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2,440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2,656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2,374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1,829</w:t>
            </w:r>
          </w:p>
        </w:tc>
        <w:tc>
          <w:tcPr>
            <w:tcW w:w="100" w:type="dxa"/>
            <w:vAlign w:val="bottom"/>
          </w:tcPr>
          <w:p>
            <w:pPr>
              <w:spacing w:after="0"/>
              <w:rPr>
                <w:sz w:val="18"/>
                <w:szCs w:val="18"/>
                <w:color w:val="auto"/>
              </w:rPr>
            </w:pPr>
          </w:p>
        </w:tc>
      </w:tr>
      <w:tr>
        <w:trPr>
          <w:trHeight w:val="21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Included in Operating profit: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Acquisition charges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r>
      <w:tr>
        <w:trPr>
          <w:trHeight w:val="219"/>
        </w:trPr>
        <w:tc>
          <w:tcPr>
            <w:tcW w:w="30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Restructuring charges/other</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r>
      <w:tr>
        <w:trPr>
          <w:trHeight w:val="213"/>
        </w:trPr>
        <w:tc>
          <w:tcPr>
            <w:tcW w:w="3040" w:type="dxa"/>
            <w:vAlign w:val="bottom"/>
          </w:tcPr>
          <w:p>
            <w:pPr>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1,563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1,788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1,480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1,252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r>
      <w:tr>
        <w:trPr>
          <w:trHeight w:val="21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344</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1,285</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1,056</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1,018</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FF0FC"/>
          </w:tcPr>
          <w:p>
            <w:pPr>
              <w:spacing w:after="0"/>
              <w:rPr>
                <w:sz w:val="19"/>
                <w:szCs w:val="19"/>
                <w:color w:val="auto"/>
              </w:rPr>
            </w:pP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Basic EPS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0.35</w:t>
            </w:r>
          </w:p>
        </w:tc>
        <w:tc>
          <w:tcPr>
            <w:tcW w:w="36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0.99</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0.81</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0.70</w:t>
            </w:r>
          </w:p>
        </w:tc>
        <w:tc>
          <w:tcPr>
            <w:tcW w:w="100" w:type="dxa"/>
            <w:vAlign w:val="bottom"/>
            <w:shd w:val="clear" w:color="auto" w:fill="CFF0FC"/>
          </w:tcPr>
          <w:p>
            <w:pPr>
              <w:spacing w:after="0"/>
              <w:rPr>
                <w:sz w:val="18"/>
                <w:szCs w:val="18"/>
                <w:color w:val="auto"/>
              </w:rPr>
            </w:pPr>
          </w:p>
        </w:tc>
      </w:tr>
      <w:tr>
        <w:trPr>
          <w:trHeight w:val="210"/>
        </w:trPr>
        <w:tc>
          <w:tcPr>
            <w:tcW w:w="3040" w:type="dxa"/>
            <w:vAlign w:val="bottom"/>
          </w:tcPr>
          <w:p>
            <w:pPr>
              <w:spacing w:after="0"/>
              <w:rPr>
                <w:sz w:val="20"/>
                <w:szCs w:val="20"/>
                <w:color w:val="auto"/>
              </w:rPr>
            </w:pPr>
            <w:r>
              <w:rPr>
                <w:rFonts w:ascii="Arial" w:cs="Arial" w:eastAsia="Arial" w:hAnsi="Arial"/>
                <w:sz w:val="16"/>
                <w:szCs w:val="16"/>
                <w:color w:val="auto"/>
              </w:rPr>
              <w:t>Diluted EPS</w:t>
            </w: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0.34</w:t>
            </w:r>
          </w:p>
        </w:tc>
        <w:tc>
          <w:tcPr>
            <w:tcW w:w="360" w:type="dxa"/>
            <w:vAlign w:val="bottom"/>
            <w:gridSpan w:val="2"/>
          </w:tcPr>
          <w:p>
            <w:pPr>
              <w:jc w:val="right"/>
              <w:ind w:right="44"/>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1.26</w:t>
            </w:r>
          </w:p>
        </w:tc>
        <w:tc>
          <w:tcPr>
            <w:tcW w:w="1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0.97</w:t>
            </w:r>
          </w:p>
        </w:tc>
        <w:tc>
          <w:tcPr>
            <w:tcW w:w="1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0.98</w:t>
            </w:r>
          </w:p>
        </w:tc>
        <w:tc>
          <w:tcPr>
            <w:tcW w:w="16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0.79</w:t>
            </w:r>
          </w:p>
        </w:tc>
        <w:tc>
          <w:tcPr>
            <w:tcW w:w="1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have audited the accompanying consolidated balance sheets of Texas Instruments Incorporated (the Company) as of December 31, 2017 and 2016, the related consolidated statements of income, comprehensive income, shareholders' equity and cash flows for each of the three years in the period ended December 31, 2017, and the related notes (collectively referred to as the “financial statements”). In our opinion, the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2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22, 2018 expressed an unqualified opinion thereon.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139700</wp:posOffset>
            </wp:positionV>
            <wp:extent cx="1629410"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58" w:name="page59"/>
    <w:bookmarkEnd w:id="58"/>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5" w:lineRule="exact"/>
        <w:rPr>
          <w:sz w:val="20"/>
          <w:szCs w:val="20"/>
          <w:color w:val="auto"/>
        </w:rPr>
      </w:pPr>
    </w:p>
    <w:p>
      <w:pPr>
        <w:jc w:val="both"/>
        <w:ind w:right="280"/>
        <w:spacing w:after="0" w:line="276"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2017 that has materially affected, or is reasonably likely to materially affect, our internal control over financial reporting.</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2017. In making this assessment, we used the criteria set forth by the Committee of Sponsoring Organizations of the Treadway Commission (2013 framework) (the COSO criteria) in Internal Control − Integrated Framework. Based on our assessment, we believe that, as of December 31, 2017, our internal control over financial reporting is effective based on the COSO criteria.</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2017,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2017, based on the COSO criteria.</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Texas Instruments Incorporated as of December 31, 2017 and 2016, the related consolidated statements of income, comprehensive income, shareholders' equity and cash flows for each of the three years in the period ended December 31, 2017, and the related notes, and our report dated February 22,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141605</wp:posOffset>
            </wp:positionV>
            <wp:extent cx="1629410"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941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2018 annual meeting of stockholders, is incorporated herein by reference to such proxy statement.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with respect to directors’ business experience, which is contained under the caption “Diversity and qualifications” in our proxy statement for the 2018 annual meeting of stockholders, is incorporated herein by reference to such proxy statement.</w:t>
      </w:r>
    </w:p>
    <w:p>
      <w:pPr>
        <w:spacing w:after="0" w:line="17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2018 annual meeting of stockholders is incorporated herein by reference to such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2018 annual meeting of stockholders is incorporated herein by reference to such proxy statement.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2018 annual meeting of stockholders is incorporated herein by reference to such proxy statement, provided that the Compensation Committee report shall not be deemed filed with this Form 10-K.</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2018 annual meeting of stockholders is incorporated herein by reference to such proxy statement.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contained under the caption “Equity compensation plan information” in our proxy statement for the 2018 annual meeting of stockholders is incorporated herein by reference to such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2018 annual meeting of stockholders is incorporated herein by reference to such proxy statement.</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2018 annual meeting of stockholders is incorporated herein by reference to such proxy statement.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61" w:name="page62"/>
    <w:bookmarkEnd w:id="61"/>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information with respect to principal accountant fees and services contained under the caption “Proposal to ratify appointment of independent registered public accounting firm” in our proxy statement for the 2018 annual meeting of stockholders is incorporated herein by reference to such proxy statement.</w:t>
      </w: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1140" w:type="dxa"/>
            <w:vAlign w:val="bottom"/>
            <w:tcBorders>
              <w:top w:val="single" w:sz="8" w:color="auto"/>
              <w:left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right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gridSpan w:val="2"/>
            <w:vMerge w:val="restart"/>
          </w:tcPr>
          <w:p>
            <w:pPr>
              <w:ind w:left="900"/>
              <w:spacing w:after="0"/>
              <w:rPr>
                <w:sz w:val="20"/>
                <w:szCs w:val="20"/>
                <w:color w:val="auto"/>
              </w:rPr>
            </w:pPr>
            <w:r>
              <w:rPr>
                <w:rFonts w:ascii="Arial" w:cs="Arial" w:eastAsia="Arial" w:hAnsi="Arial"/>
                <w:sz w:val="16"/>
                <w:szCs w:val="16"/>
                <w:b w:val="1"/>
                <w:bCs w:val="1"/>
                <w:color w:val="auto"/>
              </w:rPr>
              <w:t>Incorporated by Reference</w:t>
            </w:r>
          </w:p>
        </w:tc>
        <w:tc>
          <w:tcPr>
            <w:tcW w:w="144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105"/>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Designation</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60" w:type="dxa"/>
            <w:vAlign w:val="bottom"/>
            <w:tcBorders>
              <w:bottom w:val="single" w:sz="8" w:color="auto"/>
            </w:tcBorders>
            <w:gridSpan w:val="2"/>
            <w:vMerge w:val="continue"/>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77"/>
        </w:trPr>
        <w:tc>
          <w:tcPr>
            <w:tcW w:w="1140" w:type="dxa"/>
            <w:vAlign w:val="bottom"/>
            <w:tcBorders>
              <w:left w:val="single" w:sz="8" w:color="auto"/>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4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 Exhibit</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20" w:type="dxa"/>
            <w:vAlign w:val="bottom"/>
            <w:tcBorders>
              <w:bottom w:val="single" w:sz="8" w:color="auto"/>
              <w:right w:val="single" w:sz="8" w:color="auto"/>
            </w:tcBorders>
            <w:gridSpan w:val="21"/>
          </w:tcPr>
          <w:p>
            <w:pPr>
              <w:ind w:left="40"/>
              <w:spacing w:after="0"/>
              <w:rPr>
                <w:sz w:val="20"/>
                <w:szCs w:val="20"/>
                <w:color w:val="auto"/>
              </w:rPr>
            </w:pPr>
            <w:r>
              <w:rPr>
                <w:rFonts w:ascii="Arial" w:cs="Arial" w:eastAsia="Arial" w:hAnsi="Arial"/>
                <w:sz w:val="16"/>
                <w:szCs w:val="16"/>
                <w:b w:val="1"/>
                <w:bCs w:val="1"/>
                <w:color w:val="auto"/>
              </w:rPr>
              <w:t>Description of Exhibit</w:t>
            </w:r>
          </w:p>
        </w:tc>
        <w:tc>
          <w:tcPr>
            <w:tcW w:w="1020" w:type="dxa"/>
            <w:vAlign w:val="bottom"/>
            <w:tcBorders>
              <w:bottom w:val="single" w:sz="8" w:color="auto"/>
            </w:tcBorders>
          </w:tcPr>
          <w:p>
            <w:pPr>
              <w:jc w:val="center"/>
              <w:ind w:left="30"/>
              <w:spacing w:after="0"/>
              <w:rPr>
                <w:sz w:val="20"/>
                <w:szCs w:val="20"/>
                <w:color w:val="auto"/>
              </w:rPr>
            </w:pPr>
            <w:r>
              <w:rPr>
                <w:rFonts w:ascii="Arial" w:cs="Arial" w:eastAsia="Arial" w:hAnsi="Arial"/>
                <w:sz w:val="16"/>
                <w:szCs w:val="16"/>
                <w:b w:val="1"/>
                <w:bCs w:val="1"/>
                <w:color w:val="auto"/>
                <w:w w:val="94"/>
              </w:rPr>
              <w:t>Form</w:t>
            </w:r>
          </w:p>
        </w:tc>
        <w:tc>
          <w:tcPr>
            <w:tcW w:w="1460" w:type="dxa"/>
            <w:vAlign w:val="bottom"/>
            <w:tcBorders>
              <w:bottom w:val="single" w:sz="8" w:color="auto"/>
            </w:tcBorders>
          </w:tcPr>
          <w:p>
            <w:pPr>
              <w:jc w:val="center"/>
              <w:ind w:left="51"/>
              <w:spacing w:after="0"/>
              <w:rPr>
                <w:sz w:val="20"/>
                <w:szCs w:val="20"/>
                <w:color w:val="auto"/>
              </w:rPr>
            </w:pPr>
            <w:r>
              <w:rPr>
                <w:rFonts w:ascii="Arial" w:cs="Arial" w:eastAsia="Arial" w:hAnsi="Arial"/>
                <w:sz w:val="16"/>
                <w:szCs w:val="16"/>
                <w:b w:val="1"/>
                <w:bCs w:val="1"/>
                <w:color w:val="auto"/>
                <w:w w:val="95"/>
              </w:rPr>
              <w:t>File Number</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of Filing</w:t>
            </w:r>
          </w:p>
        </w:tc>
        <w:tc>
          <w:tcPr>
            <w:tcW w:w="14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Exhibit Number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Herewith</w:t>
            </w: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bottom w:val="single" w:sz="8" w:color="CFF0FC"/>
              <w:right w:val="single" w:sz="8" w:color="auto"/>
            </w:tcBorders>
            <w:shd w:val="clear" w:color="auto" w:fill="CFF0FC"/>
          </w:tcPr>
          <w:p>
            <w:pPr>
              <w:jc w:val="center"/>
              <w:spacing w:after="0" w:line="172" w:lineRule="exact"/>
              <w:rPr>
                <w:sz w:val="20"/>
                <w:szCs w:val="20"/>
                <w:color w:val="auto"/>
              </w:rPr>
            </w:pPr>
            <w:r>
              <w:rPr>
                <w:rFonts w:ascii="Arial" w:cs="Arial" w:eastAsia="Arial" w:hAnsi="Arial"/>
                <w:sz w:val="18"/>
                <w:szCs w:val="18"/>
                <w:b w:val="1"/>
                <w:bCs w:val="1"/>
                <w:color w:val="auto"/>
                <w:w w:val="93"/>
              </w:rPr>
              <w:t>3(a)</w:t>
            </w:r>
          </w:p>
        </w:tc>
        <w:tc>
          <w:tcPr>
            <w:tcW w:w="160" w:type="dxa"/>
            <w:vAlign w:val="bottom"/>
            <w:tcBorders>
              <w:bottom w:val="single" w:sz="8" w:color="CFF0FC"/>
            </w:tcBorders>
            <w:shd w:val="clear" w:color="auto" w:fill="CFF0FC"/>
          </w:tcPr>
          <w:p>
            <w:pPr>
              <w:spacing w:after="0"/>
              <w:rPr>
                <w:sz w:val="14"/>
                <w:szCs w:val="14"/>
                <w:color w:val="auto"/>
              </w:rPr>
            </w:pPr>
          </w:p>
        </w:tc>
        <w:tc>
          <w:tcPr>
            <w:tcW w:w="2860" w:type="dxa"/>
            <w:vAlign w:val="bottom"/>
            <w:tcBorders>
              <w:bottom w:val="single" w:sz="8" w:color="0000EE"/>
            </w:tcBorders>
            <w:gridSpan w:val="22"/>
            <w:shd w:val="clear" w:color="auto" w:fill="CFF0FC"/>
          </w:tcPr>
          <w:p>
            <w:pPr>
              <w:spacing w:after="0" w:line="172"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Restated Certificate of Incorporation of</w:t>
              </w:r>
            </w:hyperlink>
          </w:p>
        </w:tc>
        <w:tc>
          <w:tcPr>
            <w:tcW w:w="200" w:type="dxa"/>
            <w:vAlign w:val="bottom"/>
            <w:tcBorders>
              <w:bottom w:val="single" w:sz="8" w:color="CFF0FC"/>
              <w:right w:val="single" w:sz="8" w:color="auto"/>
            </w:tcBorders>
            <w:gridSpan w:val="4"/>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center"/>
              <w:ind w:left="30"/>
              <w:spacing w:after="0" w:line="172" w:lineRule="exact"/>
              <w:rPr>
                <w:sz w:val="20"/>
                <w:szCs w:val="20"/>
                <w:color w:val="auto"/>
              </w:rPr>
            </w:pPr>
            <w:r>
              <w:rPr>
                <w:rFonts w:ascii="Arial" w:cs="Arial" w:eastAsia="Arial" w:hAnsi="Arial"/>
                <w:sz w:val="18"/>
                <w:szCs w:val="18"/>
                <w:color w:val="auto"/>
                <w:w w:val="99"/>
              </w:rPr>
              <w:t>10-K</w:t>
            </w:r>
          </w:p>
        </w:tc>
        <w:tc>
          <w:tcPr>
            <w:tcW w:w="1460" w:type="dxa"/>
            <w:vAlign w:val="bottom"/>
            <w:tcBorders>
              <w:bottom w:val="single" w:sz="8" w:color="CFF0FC"/>
            </w:tcBorders>
            <w:shd w:val="clear" w:color="auto" w:fill="CFF0FC"/>
          </w:tcPr>
          <w:p>
            <w:pPr>
              <w:jc w:val="center"/>
              <w:ind w:left="51"/>
              <w:spacing w:after="0" w:line="172" w:lineRule="exact"/>
              <w:rPr>
                <w:sz w:val="20"/>
                <w:szCs w:val="20"/>
                <w:color w:val="auto"/>
              </w:rPr>
            </w:pPr>
            <w:r>
              <w:rPr>
                <w:rFonts w:ascii="Arial" w:cs="Arial" w:eastAsia="Arial" w:hAnsi="Arial"/>
                <w:sz w:val="18"/>
                <w:szCs w:val="18"/>
                <w:color w:val="auto"/>
                <w:w w:val="89"/>
              </w:rPr>
              <w:t>001-3761</w:t>
            </w:r>
          </w:p>
        </w:tc>
        <w:tc>
          <w:tcPr>
            <w:tcW w:w="1800" w:type="dxa"/>
            <w:vAlign w:val="bottom"/>
            <w:tcBorders>
              <w:bottom w:val="single" w:sz="8" w:color="CFF0FC"/>
            </w:tcBorders>
            <w:shd w:val="clear" w:color="auto" w:fill="CFF0FC"/>
          </w:tcPr>
          <w:p>
            <w:pPr>
              <w:jc w:val="center"/>
              <w:spacing w:after="0" w:line="172" w:lineRule="exact"/>
              <w:rPr>
                <w:sz w:val="20"/>
                <w:szCs w:val="20"/>
                <w:color w:val="auto"/>
              </w:rPr>
            </w:pPr>
            <w:r>
              <w:rPr>
                <w:rFonts w:ascii="Arial" w:cs="Arial" w:eastAsia="Arial" w:hAnsi="Arial"/>
                <w:sz w:val="18"/>
                <w:szCs w:val="18"/>
                <w:color w:val="auto"/>
                <w:w w:val="89"/>
              </w:rPr>
              <w:t>February 24, 2015</w:t>
            </w:r>
          </w:p>
        </w:tc>
        <w:tc>
          <w:tcPr>
            <w:tcW w:w="1440" w:type="dxa"/>
            <w:vAlign w:val="bottom"/>
            <w:tcBorders>
              <w:bottom w:val="single" w:sz="8" w:color="CFF0FC"/>
              <w:right w:val="single" w:sz="8" w:color="auto"/>
            </w:tcBorders>
            <w:shd w:val="clear" w:color="auto" w:fill="CFF0FC"/>
          </w:tcPr>
          <w:p>
            <w:pPr>
              <w:jc w:val="center"/>
              <w:spacing w:after="0" w:line="172" w:lineRule="exact"/>
              <w:rPr>
                <w:sz w:val="20"/>
                <w:szCs w:val="20"/>
                <w:color w:val="auto"/>
              </w:rPr>
            </w:pPr>
            <w:r>
              <w:rPr>
                <w:rFonts w:ascii="Arial" w:cs="Arial" w:eastAsia="Arial" w:hAnsi="Arial"/>
                <w:sz w:val="18"/>
                <w:szCs w:val="18"/>
                <w:color w:val="auto"/>
                <w:w w:val="87"/>
              </w:rPr>
              <w:t>3(a)</w:t>
            </w:r>
          </w:p>
        </w:tc>
        <w:tc>
          <w:tcPr>
            <w:tcW w:w="1360" w:type="dxa"/>
            <w:vAlign w:val="bottom"/>
            <w:tcBorders>
              <w:bottom w:val="single" w:sz="8" w:color="CFF0FC"/>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CFF0FC"/>
              <w:right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40" w:type="dxa"/>
            <w:vAlign w:val="bottom"/>
            <w:tcBorders>
              <w:bottom w:val="single" w:sz="8" w:color="0000EE"/>
            </w:tcBorders>
            <w:gridSpan w:val="21"/>
            <w:shd w:val="clear" w:color="auto" w:fill="CFF0FC"/>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the Registrant, dated April 18, 1985, as</w:t>
              </w:r>
            </w:hyperlink>
          </w:p>
        </w:tc>
        <w:tc>
          <w:tcPr>
            <w:tcW w:w="220" w:type="dxa"/>
            <w:vAlign w:val="bottom"/>
            <w:tcBorders>
              <w:bottom w:val="single" w:sz="8" w:color="CFF0FC"/>
              <w:right w:val="single" w:sz="8" w:color="auto"/>
            </w:tcBorders>
            <w:gridSpan w:val="5"/>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060" w:type="dxa"/>
            <w:vAlign w:val="bottom"/>
            <w:tcBorders>
              <w:bottom w:val="single" w:sz="8" w:color="auto"/>
              <w:right w:val="single" w:sz="8" w:color="auto"/>
            </w:tcBorders>
            <w:gridSpan w:val="26"/>
            <w:shd w:val="clear" w:color="auto" w:fill="CFF0FC"/>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amended</w:t>
              </w:r>
            </w:hyperlink>
          </w:p>
        </w:tc>
        <w:tc>
          <w:tcPr>
            <w:tcW w:w="10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6"/>
              </w:rPr>
              <w:t>3(b)</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79">
              <w:r>
                <w:rPr>
                  <w:rFonts w:ascii="Arial" w:cs="Arial" w:eastAsia="Arial" w:hAnsi="Arial"/>
                  <w:sz w:val="18"/>
                  <w:szCs w:val="18"/>
                  <w:color w:val="0000EE"/>
                </w:rPr>
                <w:t>By-Laws of the Registrant</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89"/>
              </w:rPr>
              <w:t>December 12, 2016</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3</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3"/>
              </w:rPr>
              <w:t>4(a)</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6"/>
            <w:shd w:val="clear" w:color="auto" w:fill="CFF0FC"/>
          </w:tcPr>
          <w:p>
            <w:pPr>
              <w:spacing w:after="0" w:line="170" w:lineRule="exact"/>
              <w:rPr>
                <w:rFonts w:ascii="Arial" w:cs="Arial" w:eastAsia="Arial" w:hAnsi="Arial"/>
                <w:sz w:val="18"/>
                <w:szCs w:val="18"/>
                <w:color w:val="0000EE"/>
              </w:rPr>
            </w:pPr>
            <w:hyperlink r:id="rId80">
              <w:r>
                <w:rPr>
                  <w:rFonts w:ascii="Arial" w:cs="Arial" w:eastAsia="Arial" w:hAnsi="Arial"/>
                  <w:sz w:val="18"/>
                  <w:szCs w:val="18"/>
                  <w:color w:val="0000EE"/>
                </w:rPr>
                <w:t>Indenture</w:t>
              </w:r>
            </w:hyperlink>
          </w:p>
        </w:tc>
        <w:tc>
          <w:tcPr>
            <w:tcW w:w="1020" w:type="dxa"/>
            <w:vAlign w:val="bottom"/>
            <w:tcBorders>
              <w:bottom w:val="single" w:sz="8" w:color="auto"/>
            </w:tcBorders>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Borders>
              <w:bottom w:val="single" w:sz="8" w:color="auto"/>
            </w:tcBorders>
            <w:shd w:val="clear" w:color="auto" w:fill="CFF0FC"/>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Borders>
              <w:bottom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1"/>
              </w:rPr>
              <w:t>May 23, 2011</w:t>
            </w:r>
          </w:p>
        </w:tc>
        <w:tc>
          <w:tcPr>
            <w:tcW w:w="1440" w:type="dxa"/>
            <w:vAlign w:val="bottom"/>
            <w:tcBorders>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4.2</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6"/>
              </w:rPr>
              <w:t>4(b)</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81">
              <w:r>
                <w:rPr>
                  <w:rFonts w:ascii="Arial" w:cs="Arial" w:eastAsia="Arial" w:hAnsi="Arial"/>
                  <w:sz w:val="18"/>
                  <w:szCs w:val="18"/>
                  <w:color w:val="0000EE"/>
                </w:rPr>
                <w:t>Officer’s Certificate</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91"/>
              </w:rPr>
              <w:t>May 23, 2011</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4.3</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87"/>
              </w:rPr>
              <w:t>4(c)</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6"/>
            <w:shd w:val="clear" w:color="auto" w:fill="CFF0FC"/>
          </w:tcPr>
          <w:p>
            <w:pPr>
              <w:spacing w:after="0" w:line="170" w:lineRule="exact"/>
              <w:rPr>
                <w:rFonts w:ascii="Arial" w:cs="Arial" w:eastAsia="Arial" w:hAnsi="Arial"/>
                <w:sz w:val="18"/>
                <w:szCs w:val="18"/>
                <w:color w:val="0000EE"/>
              </w:rPr>
            </w:pPr>
            <w:hyperlink r:id="rId82">
              <w:r>
                <w:rPr>
                  <w:rFonts w:ascii="Arial" w:cs="Arial" w:eastAsia="Arial" w:hAnsi="Arial"/>
                  <w:sz w:val="18"/>
                  <w:szCs w:val="18"/>
                  <w:color w:val="0000EE"/>
                </w:rPr>
                <w:t>Officer’s Certificate</w:t>
              </w:r>
            </w:hyperlink>
          </w:p>
        </w:tc>
        <w:tc>
          <w:tcPr>
            <w:tcW w:w="1020" w:type="dxa"/>
            <w:vAlign w:val="bottom"/>
            <w:tcBorders>
              <w:bottom w:val="single" w:sz="8" w:color="auto"/>
            </w:tcBorders>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Borders>
              <w:bottom w:val="single" w:sz="8" w:color="auto"/>
            </w:tcBorders>
            <w:shd w:val="clear" w:color="auto" w:fill="CFF0FC"/>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Borders>
              <w:bottom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2"/>
              </w:rPr>
              <w:t>May 8, 2013</w:t>
            </w:r>
          </w:p>
        </w:tc>
        <w:tc>
          <w:tcPr>
            <w:tcW w:w="1440" w:type="dxa"/>
            <w:vAlign w:val="bottom"/>
            <w:tcBorders>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4.2</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6"/>
              </w:rPr>
              <w:t>4(d)</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83">
              <w:r>
                <w:rPr>
                  <w:rFonts w:ascii="Arial" w:cs="Arial" w:eastAsia="Arial" w:hAnsi="Arial"/>
                  <w:sz w:val="18"/>
                  <w:szCs w:val="18"/>
                  <w:color w:val="0000EE"/>
                </w:rPr>
                <w:t>Officer’s Certificate</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91"/>
              </w:rPr>
              <w:t>March 12, 2014</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4.2</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87"/>
              </w:rPr>
              <w:t>4(e)</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6"/>
            <w:shd w:val="clear" w:color="auto" w:fill="CFF0FC"/>
          </w:tcPr>
          <w:p>
            <w:pPr>
              <w:spacing w:after="0" w:line="170" w:lineRule="exact"/>
              <w:rPr>
                <w:rFonts w:ascii="Arial" w:cs="Arial" w:eastAsia="Arial" w:hAnsi="Arial"/>
                <w:sz w:val="18"/>
                <w:szCs w:val="18"/>
                <w:color w:val="0000EE"/>
              </w:rPr>
            </w:pPr>
            <w:hyperlink r:id="rId84">
              <w:r>
                <w:rPr>
                  <w:rFonts w:ascii="Arial" w:cs="Arial" w:eastAsia="Arial" w:hAnsi="Arial"/>
                  <w:sz w:val="18"/>
                  <w:szCs w:val="18"/>
                  <w:color w:val="0000EE"/>
                </w:rPr>
                <w:t>Officer’s Certificate</w:t>
              </w:r>
            </w:hyperlink>
          </w:p>
        </w:tc>
        <w:tc>
          <w:tcPr>
            <w:tcW w:w="1020" w:type="dxa"/>
            <w:vAlign w:val="bottom"/>
            <w:tcBorders>
              <w:bottom w:val="single" w:sz="8" w:color="auto"/>
            </w:tcBorders>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Borders>
              <w:bottom w:val="single" w:sz="8" w:color="auto"/>
            </w:tcBorders>
            <w:shd w:val="clear" w:color="auto" w:fill="CFF0FC"/>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Borders>
              <w:bottom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2"/>
              </w:rPr>
              <w:t>May 6, 2015</w:t>
            </w:r>
          </w:p>
        </w:tc>
        <w:tc>
          <w:tcPr>
            <w:tcW w:w="1440" w:type="dxa"/>
            <w:vAlign w:val="bottom"/>
            <w:tcBorders>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4.1</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9"/>
              </w:rPr>
              <w:t>4(f)</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85">
              <w:r>
                <w:rPr>
                  <w:rFonts w:ascii="Arial" w:cs="Arial" w:eastAsia="Arial" w:hAnsi="Arial"/>
                  <w:sz w:val="18"/>
                  <w:szCs w:val="18"/>
                  <w:color w:val="0000EE"/>
                </w:rPr>
                <w:t>Officer’s Certificate</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92"/>
              </w:rPr>
              <w:t>May 6, 2016</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4.1</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0"/>
              </w:rPr>
              <w:t>4(g)</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6"/>
            <w:shd w:val="clear" w:color="auto" w:fill="CFF0FC"/>
          </w:tcPr>
          <w:p>
            <w:pPr>
              <w:spacing w:after="0" w:line="170" w:lineRule="exact"/>
              <w:rPr>
                <w:rFonts w:ascii="Arial" w:cs="Arial" w:eastAsia="Arial" w:hAnsi="Arial"/>
                <w:sz w:val="18"/>
                <w:szCs w:val="18"/>
                <w:color w:val="0000EE"/>
              </w:rPr>
            </w:pPr>
            <w:hyperlink r:id="rId86">
              <w:r>
                <w:rPr>
                  <w:rFonts w:ascii="Arial" w:cs="Arial" w:eastAsia="Arial" w:hAnsi="Arial"/>
                  <w:sz w:val="18"/>
                  <w:szCs w:val="18"/>
                  <w:color w:val="0000EE"/>
                </w:rPr>
                <w:t>Officer’s Certificate</w:t>
              </w:r>
            </w:hyperlink>
          </w:p>
        </w:tc>
        <w:tc>
          <w:tcPr>
            <w:tcW w:w="1020" w:type="dxa"/>
            <w:vAlign w:val="bottom"/>
            <w:tcBorders>
              <w:bottom w:val="single" w:sz="8" w:color="auto"/>
            </w:tcBorders>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Borders>
              <w:bottom w:val="single" w:sz="8" w:color="auto"/>
            </w:tcBorders>
            <w:shd w:val="clear" w:color="auto" w:fill="CFF0FC"/>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Borders>
              <w:bottom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2"/>
              </w:rPr>
              <w:t>May 4, 2017</w:t>
            </w:r>
          </w:p>
        </w:tc>
        <w:tc>
          <w:tcPr>
            <w:tcW w:w="1440" w:type="dxa"/>
            <w:vAlign w:val="bottom"/>
            <w:tcBorders>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4.1</w:t>
            </w:r>
          </w:p>
        </w:tc>
        <w:tc>
          <w:tcPr>
            <w:tcW w:w="1360" w:type="dxa"/>
            <w:vAlign w:val="bottom"/>
            <w:tcBorders>
              <w:bottom w:val="single" w:sz="8" w:color="auto"/>
              <w:right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6"/>
              </w:rPr>
              <w:t>4(h)</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87">
              <w:r>
                <w:rPr>
                  <w:rFonts w:ascii="Arial" w:cs="Arial" w:eastAsia="Arial" w:hAnsi="Arial"/>
                  <w:sz w:val="18"/>
                  <w:szCs w:val="18"/>
                  <w:color w:val="0000EE"/>
                </w:rPr>
                <w:t>Officer’s Certificate</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9"/>
              </w:rPr>
              <w:t>8-K</w:t>
            </w:r>
          </w:p>
        </w:tc>
        <w:tc>
          <w:tcPr>
            <w:tcW w:w="1460" w:type="dxa"/>
            <w:vAlign w:val="bottom"/>
          </w:tcPr>
          <w:p>
            <w:pPr>
              <w:jc w:val="center"/>
              <w:ind w:left="51"/>
              <w:spacing w:after="0" w:line="170" w:lineRule="exact"/>
              <w:rPr>
                <w:sz w:val="20"/>
                <w:szCs w:val="20"/>
                <w:color w:val="auto"/>
              </w:rPr>
            </w:pPr>
            <w:r>
              <w:rPr>
                <w:rFonts w:ascii="Arial" w:cs="Arial" w:eastAsia="Arial" w:hAnsi="Arial"/>
                <w:sz w:val="18"/>
                <w:szCs w:val="18"/>
                <w:color w:val="auto"/>
                <w:w w:val="89"/>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90"/>
              </w:rPr>
              <w:t>November 3, 2017</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4.1</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140" w:type="dxa"/>
            <w:vAlign w:val="bottom"/>
            <w:tcBorders>
              <w:left w:val="single" w:sz="8" w:color="auto"/>
              <w:right w:val="single" w:sz="8" w:color="auto"/>
            </w:tcBorders>
            <w:shd w:val="clear" w:color="auto" w:fill="CFF0FC"/>
          </w:tcPr>
          <w:p>
            <w:pPr>
              <w:jc w:val="center"/>
              <w:spacing w:after="0" w:line="195" w:lineRule="exact"/>
              <w:rPr>
                <w:sz w:val="20"/>
                <w:szCs w:val="20"/>
                <w:color w:val="auto"/>
              </w:rPr>
            </w:pPr>
            <w:r>
              <w:rPr>
                <w:rFonts w:ascii="Arial" w:cs="Arial" w:eastAsia="Arial" w:hAnsi="Arial"/>
                <w:sz w:val="18"/>
                <w:szCs w:val="18"/>
                <w:b w:val="1"/>
                <w:bCs w:val="1"/>
                <w:color w:val="auto"/>
                <w:w w:val="96"/>
              </w:rPr>
              <w:t>4(i)</w:t>
            </w:r>
          </w:p>
        </w:tc>
        <w:tc>
          <w:tcPr>
            <w:tcW w:w="160" w:type="dxa"/>
            <w:vAlign w:val="bottom"/>
            <w:shd w:val="clear" w:color="auto" w:fill="CFF0FC"/>
          </w:tcPr>
          <w:p>
            <w:pPr>
              <w:spacing w:after="0"/>
              <w:rPr>
                <w:sz w:val="16"/>
                <w:szCs w:val="16"/>
                <w:color w:val="auto"/>
              </w:rPr>
            </w:pPr>
          </w:p>
        </w:tc>
        <w:tc>
          <w:tcPr>
            <w:tcW w:w="10140" w:type="dxa"/>
            <w:vAlign w:val="bottom"/>
            <w:tcBorders>
              <w:right w:val="single" w:sz="8" w:color="auto"/>
            </w:tcBorders>
            <w:gridSpan w:val="31"/>
            <w:shd w:val="clear" w:color="auto" w:fill="CFF0FC"/>
          </w:tcPr>
          <w:p>
            <w:pPr>
              <w:spacing w:after="0" w:line="195" w:lineRule="exact"/>
              <w:rPr>
                <w:sz w:val="20"/>
                <w:szCs w:val="20"/>
                <w:color w:val="auto"/>
              </w:rPr>
            </w:pPr>
            <w:r>
              <w:rPr>
                <w:rFonts w:ascii="Arial" w:cs="Arial" w:eastAsia="Arial" w:hAnsi="Arial"/>
                <w:sz w:val="18"/>
                <w:szCs w:val="18"/>
                <w:color w:val="auto"/>
                <w:w w:val="97"/>
              </w:rPr>
              <w:t>The Registrant has omitted certain instruments defining the rights of holders of long-term debt of the Registrant and its subsidiaries</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140" w:type="dxa"/>
            <w:vAlign w:val="bottom"/>
            <w:tcBorders>
              <w:right w:val="single" w:sz="8" w:color="auto"/>
            </w:tcBorders>
            <w:gridSpan w:val="31"/>
            <w:shd w:val="clear" w:color="auto" w:fill="CFF0FC"/>
          </w:tcPr>
          <w:p>
            <w:pPr>
              <w:spacing w:after="0"/>
              <w:rPr>
                <w:sz w:val="20"/>
                <w:szCs w:val="20"/>
                <w:color w:val="auto"/>
              </w:rPr>
            </w:pPr>
            <w:r>
              <w:rPr>
                <w:rFonts w:ascii="Arial" w:cs="Arial" w:eastAsia="Arial" w:hAnsi="Arial"/>
                <w:sz w:val="18"/>
                <w:szCs w:val="18"/>
                <w:color w:val="auto"/>
                <w:w w:val="93"/>
              </w:rPr>
              <w:t>pursuant to Regulation S-K, Item 601(b)(4)(iii)(A). The Registrant undertakes to furnish a copy of such instruments to the Securities and</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060" w:type="dxa"/>
            <w:vAlign w:val="bottom"/>
            <w:tcBorders>
              <w:bottom w:val="single" w:sz="8" w:color="auto"/>
              <w:right w:val="single" w:sz="8" w:color="CFF0FC"/>
            </w:tcBorders>
            <w:gridSpan w:val="26"/>
            <w:shd w:val="clear" w:color="auto" w:fill="CFF0FC"/>
          </w:tcPr>
          <w:p>
            <w:pPr>
              <w:spacing w:after="0"/>
              <w:rPr>
                <w:sz w:val="20"/>
                <w:szCs w:val="20"/>
                <w:color w:val="auto"/>
              </w:rPr>
            </w:pPr>
            <w:r>
              <w:rPr>
                <w:rFonts w:ascii="Arial" w:cs="Arial" w:eastAsia="Arial" w:hAnsi="Arial"/>
                <w:sz w:val="18"/>
                <w:szCs w:val="18"/>
                <w:color w:val="auto"/>
              </w:rPr>
              <w:t>Exchange Commission upon request.</w:t>
            </w:r>
          </w:p>
        </w:tc>
        <w:tc>
          <w:tcPr>
            <w:tcW w:w="10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CFF0FC"/>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5"/>
              </w:rPr>
              <w:t>10(a)</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88">
              <w:r>
                <w:rPr>
                  <w:rFonts w:ascii="Arial" w:cs="Arial" w:eastAsia="Arial" w:hAnsi="Arial"/>
                  <w:sz w:val="18"/>
                  <w:szCs w:val="18"/>
                  <w:color w:val="0000EE"/>
                </w:rPr>
                <w:t>TI Deferred Compensation Plan, as</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89"/>
              </w:rPr>
              <w:t>February 24, 2016</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10(a)</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amended*</w:t>
              </w:r>
            </w:hyperlink>
          </w:p>
        </w:tc>
        <w:tc>
          <w:tcPr>
            <w:tcW w:w="520" w:type="dxa"/>
            <w:vAlign w:val="bottom"/>
            <w:tcBorders>
              <w:right w:val="single" w:sz="8" w:color="auto"/>
            </w:tcBorders>
            <w:gridSpan w:val="11"/>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2"/>
              </w:rPr>
              <w:t>10(b)</w:t>
            </w:r>
          </w:p>
        </w:tc>
        <w:tc>
          <w:tcPr>
            <w:tcW w:w="160" w:type="dxa"/>
            <w:vAlign w:val="bottom"/>
            <w:shd w:val="clear" w:color="auto" w:fill="CFF0FC"/>
          </w:tcPr>
          <w:p>
            <w:pPr>
              <w:spacing w:after="0"/>
              <w:rPr>
                <w:sz w:val="14"/>
                <w:szCs w:val="14"/>
                <w:color w:val="auto"/>
              </w:rPr>
            </w:pPr>
          </w:p>
        </w:tc>
        <w:tc>
          <w:tcPr>
            <w:tcW w:w="3060" w:type="dxa"/>
            <w:vAlign w:val="bottom"/>
            <w:tcBorders>
              <w:right w:val="single" w:sz="8" w:color="auto"/>
            </w:tcBorders>
            <w:gridSpan w:val="26"/>
            <w:shd w:val="clear" w:color="auto" w:fill="CFF0FC"/>
          </w:tcPr>
          <w:p>
            <w:pPr>
              <w:spacing w:after="0" w:line="170" w:lineRule="exact"/>
              <w:rPr>
                <w:rFonts w:ascii="Arial" w:cs="Arial" w:eastAsia="Arial" w:hAnsi="Arial"/>
                <w:sz w:val="18"/>
                <w:szCs w:val="18"/>
                <w:color w:val="0000EE"/>
              </w:rPr>
            </w:pPr>
            <w:hyperlink r:id="rId89">
              <w:r>
                <w:rPr>
                  <w:rFonts w:ascii="Arial" w:cs="Arial" w:eastAsia="Arial" w:hAnsi="Arial"/>
                  <w:sz w:val="18"/>
                  <w:szCs w:val="18"/>
                  <w:color w:val="0000EE"/>
                </w:rPr>
                <w:t>TI Employees Non-Qualified Pension</w:t>
              </w:r>
            </w:hyperlink>
          </w:p>
        </w:tc>
        <w:tc>
          <w:tcPr>
            <w:tcW w:w="1020" w:type="dxa"/>
            <w:vAlign w:val="bottom"/>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shd w:val="clear" w:color="auto" w:fill="CFF0FC"/>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24, 2016</w:t>
            </w:r>
          </w:p>
        </w:tc>
        <w:tc>
          <w:tcPr>
            <w:tcW w:w="1440" w:type="dxa"/>
            <w:vAlign w:val="bottom"/>
            <w:tcBorders>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10(b)</w:t>
            </w:r>
          </w:p>
        </w:tc>
        <w:tc>
          <w:tcPr>
            <w:tcW w:w="1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FF0FC"/>
              <w:left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720" w:type="dxa"/>
            <w:vAlign w:val="bottom"/>
            <w:tcBorders>
              <w:top w:val="single" w:sz="8" w:color="0000EE"/>
            </w:tcBorders>
            <w:gridSpan w:val="19"/>
            <w:shd w:val="clear" w:color="auto" w:fill="CFF0FC"/>
          </w:tcPr>
          <w:p>
            <w:pPr>
              <w:spacing w:after="0" w:line="196" w:lineRule="exact"/>
              <w:rPr>
                <w:rFonts w:ascii="Arial" w:cs="Arial" w:eastAsia="Arial" w:hAnsi="Arial"/>
                <w:sz w:val="18"/>
                <w:szCs w:val="18"/>
                <w:color w:val="0000EE"/>
                <w:w w:val="97"/>
              </w:rPr>
            </w:pPr>
            <w:hyperlink r:id="rId89">
              <w:r>
                <w:rPr>
                  <w:rFonts w:ascii="Arial" w:cs="Arial" w:eastAsia="Arial" w:hAnsi="Arial"/>
                  <w:sz w:val="18"/>
                  <w:szCs w:val="18"/>
                  <w:color w:val="0000EE"/>
                  <w:w w:val="97"/>
                </w:rPr>
                <w:t>Plan, effective January 1, 2009, as</w:t>
              </w:r>
            </w:hyperlink>
          </w:p>
        </w:tc>
        <w:tc>
          <w:tcPr>
            <w:tcW w:w="340" w:type="dxa"/>
            <w:vAlign w:val="bottom"/>
            <w:tcBorders>
              <w:top w:val="single" w:sz="8" w:color="CFF0FC"/>
              <w:right w:val="single" w:sz="8" w:color="auto"/>
            </w:tcBorders>
            <w:gridSpan w:val="7"/>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CFF0FC"/>
              <w:right w:val="single" w:sz="8" w:color="auto"/>
            </w:tcBorders>
            <w:shd w:val="clear" w:color="auto" w:fill="CFF0FC"/>
          </w:tcPr>
          <w:p>
            <w:pPr>
              <w:spacing w:after="0"/>
              <w:rPr>
                <w:sz w:val="17"/>
                <w:szCs w:val="17"/>
                <w:color w:val="auto"/>
              </w:rPr>
            </w:pPr>
          </w:p>
        </w:tc>
        <w:tc>
          <w:tcPr>
            <w:tcW w:w="1360" w:type="dxa"/>
            <w:vAlign w:val="bottom"/>
            <w:tcBorders>
              <w:top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top w:val="single" w:sz="8" w:color="CFF0FC"/>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top w:val="single" w:sz="8" w:color="CFF0FC"/>
              <w:bottom w:val="single" w:sz="8" w:color="auto"/>
            </w:tcBorders>
            <w:shd w:val="clear" w:color="auto" w:fill="CFF0FC"/>
          </w:tcPr>
          <w:p>
            <w:pPr>
              <w:spacing w:after="0"/>
              <w:rPr>
                <w:sz w:val="20"/>
                <w:szCs w:val="20"/>
                <w:color w:val="auto"/>
              </w:rPr>
            </w:pPr>
          </w:p>
        </w:tc>
        <w:tc>
          <w:tcPr>
            <w:tcW w:w="2460" w:type="dxa"/>
            <w:vAlign w:val="bottom"/>
            <w:tcBorders>
              <w:top w:val="single" w:sz="8" w:color="0000EE"/>
              <w:bottom w:val="single" w:sz="8" w:color="auto"/>
            </w:tcBorders>
            <w:gridSpan w:val="14"/>
            <w:shd w:val="clear" w:color="auto" w:fill="CFF0FC"/>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amended*</w:t>
              </w:r>
            </w:hyperlink>
          </w:p>
        </w:tc>
        <w:tc>
          <w:tcPr>
            <w:tcW w:w="600" w:type="dxa"/>
            <w:vAlign w:val="bottom"/>
            <w:tcBorders>
              <w:top w:val="single" w:sz="8" w:color="CFF0FC"/>
              <w:bottom w:val="single" w:sz="8" w:color="auto"/>
              <w:right w:val="single" w:sz="8" w:color="auto"/>
            </w:tcBorders>
            <w:gridSpan w:val="12"/>
            <w:shd w:val="clear" w:color="auto" w:fill="CFF0FC"/>
          </w:tcPr>
          <w:p>
            <w:pPr>
              <w:spacing w:after="0"/>
              <w:rPr>
                <w:sz w:val="20"/>
                <w:szCs w:val="20"/>
                <w:color w:val="auto"/>
              </w:rPr>
            </w:pPr>
          </w:p>
        </w:tc>
        <w:tc>
          <w:tcPr>
            <w:tcW w:w="1020" w:type="dxa"/>
            <w:vAlign w:val="bottom"/>
            <w:tcBorders>
              <w:top w:val="single" w:sz="8" w:color="CFF0FC"/>
              <w:bottom w:val="single" w:sz="8" w:color="auto"/>
            </w:tcBorders>
            <w:shd w:val="clear" w:color="auto" w:fill="CFF0FC"/>
          </w:tcPr>
          <w:p>
            <w:pPr>
              <w:spacing w:after="0"/>
              <w:rPr>
                <w:sz w:val="20"/>
                <w:szCs w:val="20"/>
                <w:color w:val="auto"/>
              </w:rPr>
            </w:pPr>
          </w:p>
        </w:tc>
        <w:tc>
          <w:tcPr>
            <w:tcW w:w="1460" w:type="dxa"/>
            <w:vAlign w:val="bottom"/>
            <w:tcBorders>
              <w:top w:val="single" w:sz="8" w:color="CFF0FC"/>
              <w:bottom w:val="single" w:sz="8" w:color="auto"/>
            </w:tcBorders>
            <w:shd w:val="clear" w:color="auto" w:fill="CFF0FC"/>
          </w:tcPr>
          <w:p>
            <w:pPr>
              <w:spacing w:after="0"/>
              <w:rPr>
                <w:sz w:val="20"/>
                <w:szCs w:val="20"/>
                <w:color w:val="auto"/>
              </w:rPr>
            </w:pPr>
          </w:p>
        </w:tc>
        <w:tc>
          <w:tcPr>
            <w:tcW w:w="1800" w:type="dxa"/>
            <w:vAlign w:val="bottom"/>
            <w:tcBorders>
              <w:top w:val="single" w:sz="8" w:color="CFF0FC"/>
              <w:bottom w:val="single" w:sz="8" w:color="auto"/>
            </w:tcBorders>
            <w:shd w:val="clear" w:color="auto" w:fill="CFF0FC"/>
          </w:tcPr>
          <w:p>
            <w:pPr>
              <w:spacing w:after="0"/>
              <w:rPr>
                <w:sz w:val="20"/>
                <w:szCs w:val="20"/>
                <w:color w:val="auto"/>
              </w:rPr>
            </w:pPr>
          </w:p>
        </w:tc>
        <w:tc>
          <w:tcPr>
            <w:tcW w:w="144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136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0"/>
              </w:rPr>
              <w:t>10(c)</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90">
              <w:r>
                <w:rPr>
                  <w:rFonts w:ascii="Arial" w:cs="Arial" w:eastAsia="Arial" w:hAnsi="Arial"/>
                  <w:sz w:val="18"/>
                  <w:szCs w:val="18"/>
                  <w:color w:val="0000EE"/>
                </w:rPr>
                <w:t>TI Employees Non-Qualified Pension</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89"/>
              </w:rPr>
              <w:t>February 24, 2016</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2"/>
              </w:rPr>
              <w:t>10(c)</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Plan II*</w:t>
              </w:r>
            </w:hyperlink>
          </w:p>
        </w:tc>
        <w:tc>
          <w:tcPr>
            <w:tcW w:w="340" w:type="dxa"/>
            <w:vAlign w:val="bottom"/>
            <w:tcBorders>
              <w:right w:val="single" w:sz="8" w:color="auto"/>
            </w:tcBorders>
            <w:gridSpan w:val="7"/>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2"/>
              </w:rPr>
              <w:t>10(d)</w:t>
            </w:r>
          </w:p>
        </w:tc>
        <w:tc>
          <w:tcPr>
            <w:tcW w:w="160" w:type="dxa"/>
            <w:vAlign w:val="bottom"/>
            <w:shd w:val="clear" w:color="auto" w:fill="CFF0FC"/>
          </w:tcPr>
          <w:p>
            <w:pPr>
              <w:spacing w:after="0"/>
              <w:rPr>
                <w:sz w:val="14"/>
                <w:szCs w:val="14"/>
                <w:color w:val="auto"/>
              </w:rPr>
            </w:pPr>
          </w:p>
        </w:tc>
        <w:tc>
          <w:tcPr>
            <w:tcW w:w="3060" w:type="dxa"/>
            <w:vAlign w:val="bottom"/>
            <w:tcBorders>
              <w:right w:val="single" w:sz="8" w:color="auto"/>
            </w:tcBorders>
            <w:gridSpan w:val="26"/>
            <w:shd w:val="clear" w:color="auto" w:fill="CFF0FC"/>
          </w:tcPr>
          <w:p>
            <w:pPr>
              <w:spacing w:after="0" w:line="170" w:lineRule="exact"/>
              <w:rPr>
                <w:rFonts w:ascii="Arial" w:cs="Arial" w:eastAsia="Arial" w:hAnsi="Arial"/>
                <w:sz w:val="18"/>
                <w:szCs w:val="18"/>
                <w:color w:val="0000EE"/>
                <w:w w:val="94"/>
              </w:rPr>
            </w:pPr>
            <w:hyperlink r:id="rId91">
              <w:r>
                <w:rPr>
                  <w:rFonts w:ascii="Arial" w:cs="Arial" w:eastAsia="Arial" w:hAnsi="Arial"/>
                  <w:sz w:val="18"/>
                  <w:szCs w:val="18"/>
                  <w:color w:val="0000EE"/>
                  <w:w w:val="94"/>
                </w:rPr>
                <w:t>Texas Instruments Long-Term Incentive</w:t>
              </w:r>
            </w:hyperlink>
          </w:p>
        </w:tc>
        <w:tc>
          <w:tcPr>
            <w:tcW w:w="1020" w:type="dxa"/>
            <w:vAlign w:val="bottom"/>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shd w:val="clear" w:color="auto" w:fill="CFF0FC"/>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24, 2012</w:t>
            </w:r>
          </w:p>
        </w:tc>
        <w:tc>
          <w:tcPr>
            <w:tcW w:w="1440" w:type="dxa"/>
            <w:vAlign w:val="bottom"/>
            <w:tcBorders>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2"/>
              </w:rPr>
              <w:t>10(c)</w:t>
            </w:r>
          </w:p>
        </w:tc>
        <w:tc>
          <w:tcPr>
            <w:tcW w:w="1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tcBorders>
              <w:top w:val="single" w:sz="8" w:color="CFF0FC"/>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top w:val="single" w:sz="8" w:color="CFF0FC"/>
              <w:bottom w:val="single" w:sz="8" w:color="auto"/>
            </w:tcBorders>
            <w:shd w:val="clear" w:color="auto" w:fill="CFF0FC"/>
          </w:tcPr>
          <w:p>
            <w:pPr>
              <w:spacing w:after="0"/>
              <w:rPr>
                <w:sz w:val="20"/>
                <w:szCs w:val="20"/>
                <w:color w:val="auto"/>
              </w:rPr>
            </w:pPr>
          </w:p>
        </w:tc>
        <w:tc>
          <w:tcPr>
            <w:tcW w:w="2880" w:type="dxa"/>
            <w:vAlign w:val="bottom"/>
            <w:tcBorders>
              <w:top w:val="single" w:sz="8" w:color="0000EE"/>
              <w:bottom w:val="single" w:sz="8" w:color="auto"/>
            </w:tcBorders>
            <w:gridSpan w:val="23"/>
            <w:shd w:val="clear" w:color="auto" w:fill="CFF0FC"/>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Plan, adopted April 15, 1993*</w:t>
              </w:r>
            </w:hyperlink>
          </w:p>
        </w:tc>
        <w:tc>
          <w:tcPr>
            <w:tcW w:w="180" w:type="dxa"/>
            <w:vAlign w:val="bottom"/>
            <w:tcBorders>
              <w:top w:val="single" w:sz="8" w:color="CFF0FC"/>
              <w:bottom w:val="single" w:sz="8" w:color="auto"/>
              <w:right w:val="single" w:sz="8" w:color="auto"/>
            </w:tcBorders>
            <w:gridSpan w:val="3"/>
            <w:shd w:val="clear" w:color="auto" w:fill="CFF0FC"/>
          </w:tcPr>
          <w:p>
            <w:pPr>
              <w:spacing w:after="0"/>
              <w:rPr>
                <w:sz w:val="20"/>
                <w:szCs w:val="20"/>
                <w:color w:val="auto"/>
              </w:rPr>
            </w:pPr>
          </w:p>
        </w:tc>
        <w:tc>
          <w:tcPr>
            <w:tcW w:w="1020" w:type="dxa"/>
            <w:vAlign w:val="bottom"/>
            <w:tcBorders>
              <w:top w:val="single" w:sz="8" w:color="CFF0FC"/>
              <w:bottom w:val="single" w:sz="8" w:color="auto"/>
            </w:tcBorders>
            <w:shd w:val="clear" w:color="auto" w:fill="CFF0FC"/>
          </w:tcPr>
          <w:p>
            <w:pPr>
              <w:spacing w:after="0"/>
              <w:rPr>
                <w:sz w:val="20"/>
                <w:szCs w:val="20"/>
                <w:color w:val="auto"/>
              </w:rPr>
            </w:pPr>
          </w:p>
        </w:tc>
        <w:tc>
          <w:tcPr>
            <w:tcW w:w="1460" w:type="dxa"/>
            <w:vAlign w:val="bottom"/>
            <w:tcBorders>
              <w:top w:val="single" w:sz="8" w:color="CFF0FC"/>
              <w:bottom w:val="single" w:sz="8" w:color="auto"/>
            </w:tcBorders>
            <w:shd w:val="clear" w:color="auto" w:fill="CFF0FC"/>
          </w:tcPr>
          <w:p>
            <w:pPr>
              <w:spacing w:after="0"/>
              <w:rPr>
                <w:sz w:val="20"/>
                <w:szCs w:val="20"/>
                <w:color w:val="auto"/>
              </w:rPr>
            </w:pPr>
          </w:p>
        </w:tc>
        <w:tc>
          <w:tcPr>
            <w:tcW w:w="1800" w:type="dxa"/>
            <w:vAlign w:val="bottom"/>
            <w:tcBorders>
              <w:top w:val="single" w:sz="8" w:color="CFF0FC"/>
              <w:bottom w:val="single" w:sz="8" w:color="auto"/>
            </w:tcBorders>
            <w:shd w:val="clear" w:color="auto" w:fill="CFF0FC"/>
          </w:tcPr>
          <w:p>
            <w:pPr>
              <w:spacing w:after="0"/>
              <w:rPr>
                <w:sz w:val="20"/>
                <w:szCs w:val="20"/>
                <w:color w:val="auto"/>
              </w:rPr>
            </w:pPr>
          </w:p>
        </w:tc>
        <w:tc>
          <w:tcPr>
            <w:tcW w:w="144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136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0"/>
              </w:rPr>
              <w:t>10(e)</w:t>
            </w:r>
          </w:p>
        </w:tc>
        <w:tc>
          <w:tcPr>
            <w:tcW w:w="160" w:type="dxa"/>
            <w:vAlign w:val="bottom"/>
          </w:tcPr>
          <w:p>
            <w:pPr>
              <w:spacing w:after="0"/>
              <w:rPr>
                <w:sz w:val="14"/>
                <w:szCs w:val="14"/>
                <w:color w:val="auto"/>
              </w:rPr>
            </w:pPr>
          </w:p>
        </w:tc>
        <w:tc>
          <w:tcPr>
            <w:tcW w:w="2580" w:type="dxa"/>
            <w:vAlign w:val="bottom"/>
            <w:tcBorders>
              <w:bottom w:val="single" w:sz="8" w:color="0000EE"/>
            </w:tcBorders>
            <w:gridSpan w:val="16"/>
          </w:tcPr>
          <w:p>
            <w:pPr>
              <w:spacing w:after="0" w:line="170" w:lineRule="exact"/>
              <w:rPr>
                <w:rFonts w:ascii="Arial" w:cs="Arial" w:eastAsia="Arial" w:hAnsi="Arial"/>
                <w:sz w:val="18"/>
                <w:szCs w:val="18"/>
                <w:color w:val="0000EE"/>
                <w:w w:val="89"/>
              </w:rPr>
            </w:pPr>
            <w:hyperlink r:id="rId92">
              <w:r>
                <w:rPr>
                  <w:rFonts w:ascii="Arial" w:cs="Arial" w:eastAsia="Arial" w:hAnsi="Arial"/>
                  <w:sz w:val="18"/>
                  <w:szCs w:val="18"/>
                  <w:color w:val="0000EE"/>
                  <w:w w:val="89"/>
                </w:rPr>
                <w:t>Texas Instruments 2000 Long-Term</w:t>
              </w:r>
            </w:hyperlink>
          </w:p>
        </w:tc>
        <w:tc>
          <w:tcPr>
            <w:tcW w:w="480" w:type="dxa"/>
            <w:vAlign w:val="bottom"/>
            <w:tcBorders>
              <w:right w:val="single" w:sz="8" w:color="auto"/>
            </w:tcBorders>
            <w:gridSpan w:val="10"/>
          </w:tcPr>
          <w:p>
            <w:pPr>
              <w:spacing w:after="0"/>
              <w:rPr>
                <w:sz w:val="14"/>
                <w:szCs w:val="14"/>
                <w:color w:val="auto"/>
              </w:rPr>
            </w:pPr>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89"/>
              </w:rPr>
              <w:t>February 24, 2015</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10(e)</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r:id="rId92">
              <w:r>
                <w:rPr>
                  <w:rFonts w:ascii="Arial" w:cs="Arial" w:eastAsia="Arial" w:hAnsi="Arial"/>
                  <w:sz w:val="18"/>
                  <w:szCs w:val="18"/>
                  <w:color w:val="0000EE"/>
                  <w:w w:val="88"/>
                </w:rPr>
                <w:t>Incentive Plan as amended October 16,</w:t>
              </w:r>
            </w:hyperlink>
          </w:p>
        </w:tc>
        <w:tc>
          <w:tcPr>
            <w:tcW w:w="240" w:type="dxa"/>
            <w:vAlign w:val="bottom"/>
            <w:tcBorders>
              <w:right w:val="single" w:sz="8" w:color="auto"/>
            </w:tcBorders>
            <w:gridSpan w:val="6"/>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740" w:type="dxa"/>
            <w:vAlign w:val="bottom"/>
            <w:gridSpan w:val="4"/>
          </w:tcPr>
          <w:p>
            <w:pPr>
              <w:ind w:left="160"/>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2008*</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4"/>
              </w:rPr>
              <w:t>10(f)</w:t>
            </w:r>
          </w:p>
        </w:tc>
        <w:tc>
          <w:tcPr>
            <w:tcW w:w="160" w:type="dxa"/>
            <w:vAlign w:val="bottom"/>
            <w:tcBorders>
              <w:bottom w:val="single" w:sz="8" w:color="CFF0FC"/>
            </w:tcBorders>
            <w:shd w:val="clear" w:color="auto" w:fill="CFF0FC"/>
          </w:tcPr>
          <w:p>
            <w:pPr>
              <w:spacing w:after="0"/>
              <w:rPr>
                <w:sz w:val="14"/>
                <w:szCs w:val="14"/>
                <w:color w:val="auto"/>
              </w:rPr>
            </w:pPr>
          </w:p>
        </w:tc>
        <w:tc>
          <w:tcPr>
            <w:tcW w:w="2580" w:type="dxa"/>
            <w:vAlign w:val="bottom"/>
            <w:tcBorders>
              <w:bottom w:val="single" w:sz="8" w:color="0000EE"/>
            </w:tcBorders>
            <w:gridSpan w:val="16"/>
            <w:shd w:val="clear" w:color="auto" w:fill="CFF0FC"/>
          </w:tcPr>
          <w:p>
            <w:pPr>
              <w:spacing w:after="0" w:line="170" w:lineRule="exact"/>
              <w:rPr>
                <w:rFonts w:ascii="Arial" w:cs="Arial" w:eastAsia="Arial" w:hAnsi="Arial"/>
                <w:sz w:val="18"/>
                <w:szCs w:val="18"/>
                <w:color w:val="0000EE"/>
                <w:w w:val="89"/>
              </w:rPr>
            </w:pPr>
            <w:hyperlink r:id="rId93">
              <w:r>
                <w:rPr>
                  <w:rFonts w:ascii="Arial" w:cs="Arial" w:eastAsia="Arial" w:hAnsi="Arial"/>
                  <w:sz w:val="18"/>
                  <w:szCs w:val="18"/>
                  <w:color w:val="0000EE"/>
                  <w:w w:val="89"/>
                </w:rPr>
                <w:t>Texas Instruments 2003 Long-Term</w:t>
              </w:r>
            </w:hyperlink>
          </w:p>
        </w:tc>
        <w:tc>
          <w:tcPr>
            <w:tcW w:w="480" w:type="dxa"/>
            <w:vAlign w:val="bottom"/>
            <w:tcBorders>
              <w:bottom w:val="single" w:sz="8" w:color="CFF0FC"/>
              <w:right w:val="single" w:sz="8" w:color="auto"/>
            </w:tcBorders>
            <w:gridSpan w:val="10"/>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Borders>
              <w:bottom w:val="single" w:sz="8" w:color="CFF0FC"/>
            </w:tcBorders>
            <w:shd w:val="clear" w:color="auto" w:fill="CFF0FC"/>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24, 2015</w:t>
            </w:r>
          </w:p>
        </w:tc>
        <w:tc>
          <w:tcPr>
            <w:tcW w:w="1440" w:type="dxa"/>
            <w:vAlign w:val="bottom"/>
            <w:tcBorders>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7"/>
              </w:rPr>
              <w:t>10(f)</w:t>
            </w:r>
          </w:p>
        </w:tc>
        <w:tc>
          <w:tcPr>
            <w:tcW w:w="1360" w:type="dxa"/>
            <w:vAlign w:val="bottom"/>
            <w:tcBorders>
              <w:bottom w:val="single" w:sz="8" w:color="CFF0FC"/>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CFF0FC"/>
              <w:right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20" w:type="dxa"/>
            <w:vAlign w:val="bottom"/>
            <w:tcBorders>
              <w:bottom w:val="single" w:sz="8" w:color="0000EE"/>
            </w:tcBorders>
            <w:gridSpan w:val="20"/>
            <w:shd w:val="clear" w:color="auto" w:fill="CFF0FC"/>
          </w:tcPr>
          <w:p>
            <w:pPr>
              <w:spacing w:after="0" w:line="196" w:lineRule="exact"/>
              <w:rPr>
                <w:rFonts w:ascii="Arial" w:cs="Arial" w:eastAsia="Arial" w:hAnsi="Arial"/>
                <w:sz w:val="18"/>
                <w:szCs w:val="18"/>
                <w:color w:val="0000EE"/>
                <w:w w:val="88"/>
              </w:rPr>
            </w:pPr>
            <w:hyperlink r:id="rId93">
              <w:r>
                <w:rPr>
                  <w:rFonts w:ascii="Arial" w:cs="Arial" w:eastAsia="Arial" w:hAnsi="Arial"/>
                  <w:sz w:val="18"/>
                  <w:szCs w:val="18"/>
                  <w:color w:val="0000EE"/>
                  <w:w w:val="88"/>
                </w:rPr>
                <w:t>Incentive Plan as amended October 16,</w:t>
              </w:r>
            </w:hyperlink>
          </w:p>
        </w:tc>
        <w:tc>
          <w:tcPr>
            <w:tcW w:w="240" w:type="dxa"/>
            <w:vAlign w:val="bottom"/>
            <w:tcBorders>
              <w:bottom w:val="single" w:sz="8" w:color="CFF0FC"/>
              <w:right w:val="single" w:sz="8" w:color="auto"/>
            </w:tcBorders>
            <w:gridSpan w:val="6"/>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3"/>
            <w:shd w:val="clear" w:color="auto" w:fill="CFF0FC"/>
          </w:tcPr>
          <w:p>
            <w:pPr>
              <w:ind w:left="160"/>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2008</w:t>
              </w:r>
            </w:hyperlink>
          </w:p>
        </w:tc>
        <w:tc>
          <w:tcPr>
            <w:tcW w:w="1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right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2"/>
              </w:rPr>
              <w:t>10(g)</w:t>
            </w:r>
          </w:p>
        </w:tc>
        <w:tc>
          <w:tcPr>
            <w:tcW w:w="160" w:type="dxa"/>
            <w:vAlign w:val="bottom"/>
          </w:tcPr>
          <w:p>
            <w:pPr>
              <w:spacing w:after="0"/>
              <w:rPr>
                <w:sz w:val="14"/>
                <w:szCs w:val="14"/>
                <w:color w:val="auto"/>
              </w:rPr>
            </w:pPr>
          </w:p>
        </w:tc>
        <w:tc>
          <w:tcPr>
            <w:tcW w:w="2640" w:type="dxa"/>
            <w:vAlign w:val="bottom"/>
            <w:tcBorders>
              <w:bottom w:val="single" w:sz="8" w:color="0000EE"/>
            </w:tcBorders>
            <w:gridSpan w:val="17"/>
          </w:tcPr>
          <w:p>
            <w:pPr>
              <w:spacing w:after="0" w:line="170" w:lineRule="exact"/>
              <w:rPr>
                <w:rFonts w:ascii="Arial" w:cs="Arial" w:eastAsia="Arial" w:hAnsi="Arial"/>
                <w:sz w:val="18"/>
                <w:szCs w:val="18"/>
                <w:color w:val="0000EE"/>
                <w:w w:val="90"/>
              </w:rPr>
            </w:pPr>
            <w:hyperlink r:id="rId94">
              <w:r>
                <w:rPr>
                  <w:rFonts w:ascii="Arial" w:cs="Arial" w:eastAsia="Arial" w:hAnsi="Arial"/>
                  <w:sz w:val="18"/>
                  <w:szCs w:val="18"/>
                  <w:color w:val="0000EE"/>
                  <w:w w:val="90"/>
                </w:rPr>
                <w:t>Texas Instruments Executive Officer</w:t>
              </w:r>
            </w:hyperlink>
          </w:p>
        </w:tc>
        <w:tc>
          <w:tcPr>
            <w:tcW w:w="420" w:type="dxa"/>
            <w:vAlign w:val="bottom"/>
            <w:tcBorders>
              <w:right w:val="single" w:sz="8" w:color="auto"/>
            </w:tcBorders>
            <w:gridSpan w:val="9"/>
          </w:tcPr>
          <w:p>
            <w:pPr>
              <w:spacing w:after="0"/>
              <w:rPr>
                <w:sz w:val="14"/>
                <w:szCs w:val="14"/>
                <w:color w:val="auto"/>
              </w:rPr>
            </w:pPr>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89"/>
              </w:rPr>
              <w:t>February 24, 2015</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10(g)</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right w:val="single" w:sz="8" w:color="auto"/>
            </w:tcBorders>
            <w:gridSpan w:val="26"/>
          </w:tcPr>
          <w:p>
            <w:pPr>
              <w:spacing w:after="0" w:line="196" w:lineRule="exact"/>
              <w:rPr>
                <w:rFonts w:ascii="Arial" w:cs="Arial" w:eastAsia="Arial" w:hAnsi="Arial"/>
                <w:sz w:val="18"/>
                <w:szCs w:val="18"/>
                <w:color w:val="0000EE"/>
                <w:w w:val="88"/>
              </w:rPr>
            </w:pPr>
            <w:hyperlink r:id="rId94">
              <w:r>
                <w:rPr>
                  <w:rFonts w:ascii="Arial" w:cs="Arial" w:eastAsia="Arial" w:hAnsi="Arial"/>
                  <w:sz w:val="18"/>
                  <w:szCs w:val="18"/>
                  <w:color w:val="0000EE"/>
                  <w:w w:val="88"/>
                </w:rPr>
                <w:t>Performance Plan as amended September</w:t>
              </w:r>
            </w:hyperlink>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900" w:type="dxa"/>
            <w:vAlign w:val="bottom"/>
            <w:gridSpan w:val="9"/>
          </w:tcPr>
          <w:p>
            <w:pPr>
              <w:ind w:left="160"/>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17, 2009*</w:t>
              </w:r>
            </w:hyperlink>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2"/>
              </w:rPr>
              <w:t>10(h)</w:t>
            </w:r>
          </w:p>
        </w:tc>
        <w:tc>
          <w:tcPr>
            <w:tcW w:w="160" w:type="dxa"/>
            <w:vAlign w:val="bottom"/>
            <w:shd w:val="clear" w:color="auto" w:fill="CFF0FC"/>
          </w:tcPr>
          <w:p>
            <w:pPr>
              <w:spacing w:after="0"/>
              <w:rPr>
                <w:sz w:val="14"/>
                <w:szCs w:val="14"/>
                <w:color w:val="auto"/>
              </w:rPr>
            </w:pPr>
          </w:p>
        </w:tc>
        <w:tc>
          <w:tcPr>
            <w:tcW w:w="3060" w:type="dxa"/>
            <w:vAlign w:val="bottom"/>
            <w:tcBorders>
              <w:right w:val="single" w:sz="8" w:color="auto"/>
            </w:tcBorders>
            <w:gridSpan w:val="26"/>
            <w:shd w:val="clear" w:color="auto" w:fill="CFF0FC"/>
          </w:tcPr>
          <w:p>
            <w:pPr>
              <w:spacing w:after="0" w:line="170"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Texas Instruments Restricted Stock Unit</w:t>
              </w:r>
            </w:hyperlink>
          </w:p>
        </w:tc>
        <w:tc>
          <w:tcPr>
            <w:tcW w:w="1020" w:type="dxa"/>
            <w:vAlign w:val="bottom"/>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shd w:val="clear" w:color="auto" w:fill="CFF0FC"/>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24, 2012</w:t>
            </w:r>
          </w:p>
        </w:tc>
        <w:tc>
          <w:tcPr>
            <w:tcW w:w="1440" w:type="dxa"/>
            <w:vAlign w:val="bottom"/>
            <w:tcBorders>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10(h)</w:t>
            </w:r>
          </w:p>
        </w:tc>
        <w:tc>
          <w:tcPr>
            <w:tcW w:w="1360" w:type="dxa"/>
            <w:vAlign w:val="bottom"/>
            <w:tcBorders>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FF0FC"/>
              <w:left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900" w:type="dxa"/>
            <w:vAlign w:val="bottom"/>
            <w:tcBorders>
              <w:top w:val="single" w:sz="8" w:color="0000EE"/>
            </w:tcBorders>
            <w:gridSpan w:val="24"/>
            <w:shd w:val="clear" w:color="auto" w:fill="CFF0FC"/>
          </w:tcPr>
          <w:p>
            <w:pPr>
              <w:spacing w:after="0" w:line="196" w:lineRule="exact"/>
              <w:rPr>
                <w:rFonts w:ascii="Arial" w:cs="Arial" w:eastAsia="Arial" w:hAnsi="Arial"/>
                <w:sz w:val="18"/>
                <w:szCs w:val="18"/>
                <w:color w:val="0000EE"/>
                <w:w w:val="94"/>
              </w:rPr>
            </w:pPr>
            <w:hyperlink r:id="rId95">
              <w:r>
                <w:rPr>
                  <w:rFonts w:ascii="Arial" w:cs="Arial" w:eastAsia="Arial" w:hAnsi="Arial"/>
                  <w:sz w:val="18"/>
                  <w:szCs w:val="18"/>
                  <w:color w:val="0000EE"/>
                  <w:w w:val="94"/>
                </w:rPr>
                <w:t>Plan for Directors, as amended, dated</w:t>
              </w:r>
            </w:hyperlink>
          </w:p>
        </w:tc>
        <w:tc>
          <w:tcPr>
            <w:tcW w:w="160" w:type="dxa"/>
            <w:vAlign w:val="bottom"/>
            <w:tcBorders>
              <w:top w:val="single" w:sz="8" w:color="CFF0FC"/>
              <w:right w:val="single" w:sz="8" w:color="auto"/>
            </w:tcBorders>
            <w:gridSpan w:val="2"/>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CFF0FC"/>
            </w:tcBorders>
            <w:shd w:val="clear" w:color="auto" w:fill="CFF0FC"/>
          </w:tcPr>
          <w:p>
            <w:pPr>
              <w:spacing w:after="0"/>
              <w:rPr>
                <w:sz w:val="17"/>
                <w:szCs w:val="17"/>
                <w:color w:val="auto"/>
              </w:rPr>
            </w:pPr>
          </w:p>
        </w:tc>
        <w:tc>
          <w:tcPr>
            <w:tcW w:w="1800" w:type="dxa"/>
            <w:vAlign w:val="bottom"/>
            <w:tcBorders>
              <w:top w:val="single" w:sz="8" w:color="CFF0FC"/>
            </w:tcBorders>
            <w:shd w:val="clear" w:color="auto" w:fill="CFF0FC"/>
          </w:tcPr>
          <w:p>
            <w:pPr>
              <w:spacing w:after="0"/>
              <w:rPr>
                <w:sz w:val="17"/>
                <w:szCs w:val="17"/>
                <w:color w:val="auto"/>
              </w:rPr>
            </w:pPr>
          </w:p>
        </w:tc>
        <w:tc>
          <w:tcPr>
            <w:tcW w:w="1440" w:type="dxa"/>
            <w:vAlign w:val="bottom"/>
            <w:tcBorders>
              <w:top w:val="single" w:sz="8" w:color="CFF0FC"/>
              <w:right w:val="single" w:sz="8" w:color="auto"/>
            </w:tcBorders>
            <w:shd w:val="clear" w:color="auto" w:fill="CFF0FC"/>
          </w:tcPr>
          <w:p>
            <w:pPr>
              <w:spacing w:after="0"/>
              <w:rPr>
                <w:sz w:val="17"/>
                <w:szCs w:val="17"/>
                <w:color w:val="auto"/>
              </w:rPr>
            </w:pPr>
          </w:p>
        </w:tc>
        <w:tc>
          <w:tcPr>
            <w:tcW w:w="1360" w:type="dxa"/>
            <w:vAlign w:val="bottom"/>
            <w:tcBorders>
              <w:top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top w:val="single" w:sz="8" w:color="CFF0FC"/>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top w:val="single" w:sz="8" w:color="CFF0FC"/>
              <w:bottom w:val="single" w:sz="8" w:color="auto"/>
            </w:tcBorders>
            <w:shd w:val="clear" w:color="auto" w:fill="CFF0FC"/>
          </w:tcPr>
          <w:p>
            <w:pPr>
              <w:spacing w:after="0"/>
              <w:rPr>
                <w:sz w:val="20"/>
                <w:szCs w:val="20"/>
                <w:color w:val="auto"/>
              </w:rPr>
            </w:pPr>
          </w:p>
        </w:tc>
        <w:tc>
          <w:tcPr>
            <w:tcW w:w="2700" w:type="dxa"/>
            <w:vAlign w:val="bottom"/>
            <w:tcBorders>
              <w:top w:val="single" w:sz="8" w:color="0000EE"/>
              <w:bottom w:val="single" w:sz="8" w:color="auto"/>
            </w:tcBorders>
            <w:gridSpan w:val="18"/>
            <w:shd w:val="clear" w:color="auto" w:fill="CFF0FC"/>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April 16, 1998</w:t>
              </w:r>
            </w:hyperlink>
          </w:p>
        </w:tc>
        <w:tc>
          <w:tcPr>
            <w:tcW w:w="360" w:type="dxa"/>
            <w:vAlign w:val="bottom"/>
            <w:tcBorders>
              <w:top w:val="single" w:sz="8" w:color="CFF0FC"/>
              <w:bottom w:val="single" w:sz="8" w:color="auto"/>
              <w:right w:val="single" w:sz="8" w:color="auto"/>
            </w:tcBorders>
            <w:gridSpan w:val="8"/>
            <w:shd w:val="clear" w:color="auto" w:fill="CFF0FC"/>
          </w:tcPr>
          <w:p>
            <w:pPr>
              <w:spacing w:after="0"/>
              <w:rPr>
                <w:sz w:val="20"/>
                <w:szCs w:val="20"/>
                <w:color w:val="auto"/>
              </w:rPr>
            </w:pPr>
          </w:p>
        </w:tc>
        <w:tc>
          <w:tcPr>
            <w:tcW w:w="1020" w:type="dxa"/>
            <w:vAlign w:val="bottom"/>
            <w:tcBorders>
              <w:top w:val="single" w:sz="8" w:color="CFF0FC"/>
              <w:bottom w:val="single" w:sz="8" w:color="auto"/>
            </w:tcBorders>
            <w:shd w:val="clear" w:color="auto" w:fill="CFF0FC"/>
          </w:tcPr>
          <w:p>
            <w:pPr>
              <w:spacing w:after="0"/>
              <w:rPr>
                <w:sz w:val="20"/>
                <w:szCs w:val="20"/>
                <w:color w:val="auto"/>
              </w:rPr>
            </w:pPr>
          </w:p>
        </w:tc>
        <w:tc>
          <w:tcPr>
            <w:tcW w:w="1460" w:type="dxa"/>
            <w:vAlign w:val="bottom"/>
            <w:tcBorders>
              <w:top w:val="single" w:sz="8" w:color="CFF0FC"/>
              <w:bottom w:val="single" w:sz="8" w:color="auto"/>
            </w:tcBorders>
            <w:shd w:val="clear" w:color="auto" w:fill="CFF0FC"/>
          </w:tcPr>
          <w:p>
            <w:pPr>
              <w:spacing w:after="0"/>
              <w:rPr>
                <w:sz w:val="20"/>
                <w:szCs w:val="20"/>
                <w:color w:val="auto"/>
              </w:rPr>
            </w:pPr>
          </w:p>
        </w:tc>
        <w:tc>
          <w:tcPr>
            <w:tcW w:w="1800" w:type="dxa"/>
            <w:vAlign w:val="bottom"/>
            <w:tcBorders>
              <w:top w:val="single" w:sz="8" w:color="CFF0FC"/>
              <w:bottom w:val="single" w:sz="8" w:color="auto"/>
            </w:tcBorders>
            <w:shd w:val="clear" w:color="auto" w:fill="CFF0FC"/>
          </w:tcPr>
          <w:p>
            <w:pPr>
              <w:spacing w:after="0"/>
              <w:rPr>
                <w:sz w:val="20"/>
                <w:szCs w:val="20"/>
                <w:color w:val="auto"/>
              </w:rPr>
            </w:pPr>
          </w:p>
        </w:tc>
        <w:tc>
          <w:tcPr>
            <w:tcW w:w="144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136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7"/>
              </w:rPr>
              <w:t>10(i)</w:t>
            </w:r>
          </w:p>
        </w:tc>
        <w:tc>
          <w:tcPr>
            <w:tcW w:w="160" w:type="dxa"/>
            <w:vAlign w:val="bottom"/>
          </w:tcPr>
          <w:p>
            <w:pPr>
              <w:spacing w:after="0"/>
              <w:rPr>
                <w:sz w:val="14"/>
                <w:szCs w:val="14"/>
                <w:color w:val="auto"/>
              </w:rPr>
            </w:pPr>
          </w:p>
        </w:tc>
        <w:tc>
          <w:tcPr>
            <w:tcW w:w="3060" w:type="dxa"/>
            <w:vAlign w:val="bottom"/>
            <w:tcBorders>
              <w:right w:val="single" w:sz="8" w:color="auto"/>
            </w:tcBorders>
            <w:gridSpan w:val="26"/>
          </w:tcPr>
          <w:p>
            <w:pPr>
              <w:spacing w:after="0" w:line="170" w:lineRule="exact"/>
              <w:rPr>
                <w:rFonts w:ascii="Arial" w:cs="Arial" w:eastAsia="Arial" w:hAnsi="Arial"/>
                <w:sz w:val="18"/>
                <w:szCs w:val="18"/>
                <w:color w:val="0000EE"/>
              </w:rPr>
            </w:pPr>
            <w:hyperlink r:id="rId96">
              <w:r>
                <w:rPr>
                  <w:rFonts w:ascii="Arial" w:cs="Arial" w:eastAsia="Arial" w:hAnsi="Arial"/>
                  <w:sz w:val="18"/>
                  <w:szCs w:val="18"/>
                  <w:color w:val="0000EE"/>
                </w:rPr>
                <w:t>Texas Instruments Directors Deferred</w:t>
              </w:r>
            </w:hyperlink>
          </w:p>
        </w:tc>
        <w:tc>
          <w:tcPr>
            <w:tcW w:w="1020" w:type="dxa"/>
            <w:vAlign w:val="bottom"/>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Pr>
          <w:p>
            <w:pPr>
              <w:jc w:val="center"/>
              <w:spacing w:after="0" w:line="170" w:lineRule="exact"/>
              <w:rPr>
                <w:sz w:val="20"/>
                <w:szCs w:val="20"/>
                <w:color w:val="auto"/>
              </w:rPr>
            </w:pPr>
            <w:r>
              <w:rPr>
                <w:rFonts w:ascii="Arial" w:cs="Arial" w:eastAsia="Arial" w:hAnsi="Arial"/>
                <w:sz w:val="18"/>
                <w:szCs w:val="18"/>
                <w:color w:val="auto"/>
                <w:w w:val="89"/>
              </w:rPr>
              <w:t>February 24, 2012</w:t>
            </w:r>
          </w:p>
        </w:tc>
        <w:tc>
          <w:tcPr>
            <w:tcW w:w="14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10(i)</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r:id="rId96">
              <w:r>
                <w:rPr>
                  <w:rFonts w:ascii="Arial" w:cs="Arial" w:eastAsia="Arial" w:hAnsi="Arial"/>
                  <w:sz w:val="18"/>
                  <w:szCs w:val="18"/>
                  <w:color w:val="0000EE"/>
                  <w:w w:val="87"/>
                </w:rPr>
                <w:t>Compensation Plan, as amended, dated</w:t>
              </w:r>
            </w:hyperlink>
          </w:p>
        </w:tc>
        <w:tc>
          <w:tcPr>
            <w:tcW w:w="240" w:type="dxa"/>
            <w:vAlign w:val="bottom"/>
            <w:tcBorders>
              <w:right w:val="single" w:sz="8" w:color="auto"/>
            </w:tcBorders>
            <w:gridSpan w:val="6"/>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right w:val="single" w:sz="8" w:color="auto"/>
            </w:tcBorders>
            <w:gridSpan w:val="2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April 16, 1998</w:t>
              </w:r>
            </w:hyperlink>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7"/>
              </w:rPr>
              <w:t>10(j)</w:t>
            </w:r>
          </w:p>
        </w:tc>
        <w:tc>
          <w:tcPr>
            <w:tcW w:w="160" w:type="dxa"/>
            <w:vAlign w:val="bottom"/>
            <w:tcBorders>
              <w:bottom w:val="single" w:sz="8" w:color="CFF0FC"/>
            </w:tcBorders>
            <w:shd w:val="clear" w:color="auto" w:fill="CFF0FC"/>
          </w:tcPr>
          <w:p>
            <w:pPr>
              <w:spacing w:after="0"/>
              <w:rPr>
                <w:sz w:val="14"/>
                <w:szCs w:val="14"/>
                <w:color w:val="auto"/>
              </w:rPr>
            </w:pPr>
          </w:p>
        </w:tc>
        <w:tc>
          <w:tcPr>
            <w:tcW w:w="2360" w:type="dxa"/>
            <w:vAlign w:val="bottom"/>
            <w:tcBorders>
              <w:bottom w:val="single" w:sz="8" w:color="0000EE"/>
            </w:tcBorders>
            <w:gridSpan w:val="13"/>
            <w:shd w:val="clear" w:color="auto" w:fill="CFF0FC"/>
          </w:tcPr>
          <w:p>
            <w:pPr>
              <w:spacing w:after="0" w:line="170"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Texas Instruments 2003 Director</w:t>
              </w:r>
            </w:hyperlink>
          </w:p>
        </w:tc>
        <w:tc>
          <w:tcPr>
            <w:tcW w:w="700" w:type="dxa"/>
            <w:vAlign w:val="bottom"/>
            <w:tcBorders>
              <w:bottom w:val="single" w:sz="8" w:color="CFF0FC"/>
              <w:right w:val="single" w:sz="8" w:color="auto"/>
            </w:tcBorders>
            <w:gridSpan w:val="13"/>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jc w:val="center"/>
              <w:ind w:left="50"/>
              <w:spacing w:after="0" w:line="170" w:lineRule="exact"/>
              <w:rPr>
                <w:sz w:val="20"/>
                <w:szCs w:val="20"/>
                <w:color w:val="auto"/>
              </w:rPr>
            </w:pPr>
            <w:r>
              <w:rPr>
                <w:rFonts w:ascii="Arial" w:cs="Arial" w:eastAsia="Arial" w:hAnsi="Arial"/>
                <w:sz w:val="18"/>
                <w:szCs w:val="18"/>
                <w:color w:val="auto"/>
                <w:w w:val="94"/>
              </w:rPr>
              <w:t>10-K</w:t>
            </w:r>
          </w:p>
        </w:tc>
        <w:tc>
          <w:tcPr>
            <w:tcW w:w="1460" w:type="dxa"/>
            <w:vAlign w:val="bottom"/>
            <w:tcBorders>
              <w:bottom w:val="single" w:sz="8" w:color="CFF0FC"/>
            </w:tcBorders>
            <w:shd w:val="clear" w:color="auto" w:fill="CFF0FC"/>
          </w:tcPr>
          <w:p>
            <w:pPr>
              <w:jc w:val="center"/>
              <w:ind w:left="71"/>
              <w:spacing w:after="0" w:line="170" w:lineRule="exact"/>
              <w:rPr>
                <w:sz w:val="20"/>
                <w:szCs w:val="20"/>
                <w:color w:val="auto"/>
              </w:rPr>
            </w:pPr>
            <w:r>
              <w:rPr>
                <w:rFonts w:ascii="Arial" w:cs="Arial" w:eastAsia="Arial" w:hAnsi="Arial"/>
                <w:sz w:val="18"/>
                <w:szCs w:val="18"/>
                <w:color w:val="auto"/>
                <w:w w:val="91"/>
              </w:rPr>
              <w:t>001-3761</w:t>
            </w:r>
          </w:p>
        </w:tc>
        <w:tc>
          <w:tcPr>
            <w:tcW w:w="180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24, 2015</w:t>
            </w:r>
          </w:p>
        </w:tc>
        <w:tc>
          <w:tcPr>
            <w:tcW w:w="1440" w:type="dxa"/>
            <w:vAlign w:val="bottom"/>
            <w:tcBorders>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9"/>
              </w:rPr>
              <w:t>10(j)</w:t>
            </w:r>
          </w:p>
        </w:tc>
        <w:tc>
          <w:tcPr>
            <w:tcW w:w="1360" w:type="dxa"/>
            <w:vAlign w:val="bottom"/>
            <w:tcBorders>
              <w:bottom w:val="single" w:sz="8" w:color="CFF0FC"/>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CFF0FC"/>
              <w:right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900" w:type="dxa"/>
            <w:vAlign w:val="bottom"/>
            <w:tcBorders>
              <w:bottom w:val="single" w:sz="8" w:color="0000EE"/>
            </w:tcBorders>
            <w:gridSpan w:val="24"/>
            <w:shd w:val="clear" w:color="auto" w:fill="CFF0FC"/>
          </w:tcPr>
          <w:p>
            <w:pPr>
              <w:spacing w:after="0" w:line="196" w:lineRule="exact"/>
              <w:rPr>
                <w:rFonts w:ascii="Arial" w:cs="Arial" w:eastAsia="Arial" w:hAnsi="Arial"/>
                <w:sz w:val="18"/>
                <w:szCs w:val="18"/>
                <w:color w:val="0000EE"/>
                <w:w w:val="87"/>
              </w:rPr>
            </w:pPr>
            <w:hyperlink r:id="rId97">
              <w:r>
                <w:rPr>
                  <w:rFonts w:ascii="Arial" w:cs="Arial" w:eastAsia="Arial" w:hAnsi="Arial"/>
                  <w:sz w:val="18"/>
                  <w:szCs w:val="18"/>
                  <w:color w:val="0000EE"/>
                  <w:w w:val="87"/>
                </w:rPr>
                <w:t>Compensation Plan as amended January</w:t>
              </w:r>
            </w:hyperlink>
          </w:p>
        </w:tc>
        <w:tc>
          <w:tcPr>
            <w:tcW w:w="160" w:type="dxa"/>
            <w:vAlign w:val="bottom"/>
            <w:tcBorders>
              <w:bottom w:val="single" w:sz="8" w:color="CFF0FC"/>
              <w:right w:val="single" w:sz="8" w:color="auto"/>
            </w:tcBorders>
            <w:gridSpan w:val="2"/>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800" w:type="dxa"/>
            <w:vAlign w:val="bottom"/>
            <w:tcBorders>
              <w:bottom w:val="single" w:sz="8" w:color="auto"/>
            </w:tcBorders>
            <w:gridSpan w:val="6"/>
            <w:shd w:val="clear" w:color="auto" w:fill="CFF0FC"/>
          </w:tcPr>
          <w:p>
            <w:pPr>
              <w:ind w:left="160"/>
              <w:spacing w:after="0" w:line="196" w:lineRule="exact"/>
              <w:rPr>
                <w:rFonts w:ascii="Arial" w:cs="Arial" w:eastAsia="Arial" w:hAnsi="Arial"/>
                <w:sz w:val="18"/>
                <w:szCs w:val="18"/>
                <w:color w:val="0000EE"/>
                <w:w w:val="88"/>
              </w:rPr>
            </w:pPr>
            <w:hyperlink r:id="rId97">
              <w:r>
                <w:rPr>
                  <w:rFonts w:ascii="Arial" w:cs="Arial" w:eastAsia="Arial" w:hAnsi="Arial"/>
                  <w:sz w:val="18"/>
                  <w:szCs w:val="18"/>
                  <w:color w:val="0000EE"/>
                  <w:w w:val="88"/>
                </w:rPr>
                <w:t>19, 2012</w:t>
              </w:r>
            </w:hyperlink>
          </w:p>
        </w:tc>
        <w:tc>
          <w:tcPr>
            <w:tcW w:w="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right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jc w:val="right"/>
              <w:ind w:right="951"/>
              <w:spacing w:after="0"/>
              <w:rPr>
                <w:sz w:val="20"/>
                <w:szCs w:val="20"/>
                <w:color w:val="auto"/>
              </w:rPr>
            </w:pPr>
            <w:r>
              <w:rPr>
                <w:rFonts w:ascii="Arial" w:cs="Arial" w:eastAsia="Arial" w:hAnsi="Arial"/>
                <w:sz w:val="18"/>
                <w:szCs w:val="18"/>
                <w:color w:val="auto"/>
              </w:rPr>
              <w:t>62</w:t>
            </w: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202"/>
        </w:trPr>
        <w:tc>
          <w:tcPr>
            <w:tcW w:w="1140" w:type="dxa"/>
            <w:vAlign w:val="bottom"/>
            <w:tcBorders>
              <w:top w:val="single" w:sz="8" w:color="auto"/>
              <w:left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vMerge w:val="restart"/>
          </w:tcPr>
          <w:p>
            <w:pPr>
              <w:ind w:left="760"/>
              <w:spacing w:after="0"/>
              <w:rPr>
                <w:sz w:val="20"/>
                <w:szCs w:val="20"/>
                <w:color w:val="auto"/>
              </w:rPr>
            </w:pPr>
            <w:r>
              <w:rPr>
                <w:rFonts w:ascii="Arial" w:cs="Arial" w:eastAsia="Arial" w:hAnsi="Arial"/>
                <w:sz w:val="16"/>
                <w:szCs w:val="16"/>
                <w:b w:val="1"/>
                <w:bCs w:val="1"/>
                <w:color w:val="auto"/>
              </w:rPr>
              <w:t>Incorporated by Reference</w:t>
            </w:r>
          </w:p>
        </w:tc>
        <w:tc>
          <w:tcPr>
            <w:tcW w:w="1460" w:type="dxa"/>
            <w:vAlign w:val="bottom"/>
            <w:tcBorders>
              <w:top w:val="single" w:sz="8" w:color="auto"/>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102"/>
        </w:trPr>
        <w:tc>
          <w:tcPr>
            <w:tcW w:w="11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Designation</w:t>
            </w: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100" w:type="dxa"/>
            <w:vAlign w:val="bottom"/>
            <w:tcBorders>
              <w:bottom w:val="single" w:sz="8" w:color="auto"/>
            </w:tcBorders>
            <w:gridSpan w:val="2"/>
            <w:vMerge w:val="continue"/>
          </w:tcPr>
          <w:p>
            <w:pPr>
              <w:spacing w:after="0"/>
              <w:rPr>
                <w:sz w:val="8"/>
                <w:szCs w:val="8"/>
                <w:color w:val="auto"/>
              </w:rPr>
            </w:pPr>
          </w:p>
        </w:tc>
        <w:tc>
          <w:tcPr>
            <w:tcW w:w="1460" w:type="dxa"/>
            <w:vAlign w:val="bottom"/>
            <w:tcBorders>
              <w:bottom w:val="single" w:sz="8" w:color="auto"/>
              <w:right w:val="single" w:sz="8" w:color="auto"/>
            </w:tcBorders>
          </w:tcPr>
          <w:p>
            <w:pPr>
              <w:spacing w:after="0"/>
              <w:rPr>
                <w:sz w:val="8"/>
                <w:szCs w:val="8"/>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80"/>
        </w:trPr>
        <w:tc>
          <w:tcPr>
            <w:tcW w:w="1140" w:type="dxa"/>
            <w:vAlign w:val="bottom"/>
            <w:tcBorders>
              <w:left w:val="single" w:sz="8" w:color="auto"/>
              <w:right w:val="single" w:sz="8" w:color="auto"/>
            </w:tcBorders>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460" w:type="dxa"/>
            <w:vAlign w:val="bottom"/>
            <w:tcBorders>
              <w:right w:val="single" w:sz="8" w:color="auto"/>
            </w:tcBorders>
          </w:tcPr>
          <w:p>
            <w:pPr>
              <w:spacing w:after="0"/>
              <w:rPr>
                <w:sz w:val="6"/>
                <w:szCs w:val="6"/>
                <w:color w:val="auto"/>
              </w:rPr>
            </w:pPr>
          </w:p>
        </w:tc>
        <w:tc>
          <w:tcPr>
            <w:tcW w:w="13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 Exhibit</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gridSpan w:val="18"/>
          </w:tcPr>
          <w:p>
            <w:pPr>
              <w:ind w:left="60"/>
              <w:spacing w:after="0"/>
              <w:rPr>
                <w:sz w:val="20"/>
                <w:szCs w:val="20"/>
                <w:color w:val="auto"/>
              </w:rPr>
            </w:pPr>
            <w:r>
              <w:rPr>
                <w:rFonts w:ascii="Arial" w:cs="Arial" w:eastAsia="Arial" w:hAnsi="Arial"/>
                <w:sz w:val="16"/>
                <w:szCs w:val="16"/>
                <w:b w:val="1"/>
                <w:bCs w:val="1"/>
                <w:color w:val="auto"/>
              </w:rPr>
              <w:t>Description of Exhibit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File Number</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 of Filing</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Exhibit Number</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Herewith</w:t>
            </w: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jc w:val="center"/>
              <w:spacing w:after="0" w:line="172" w:lineRule="exact"/>
              <w:rPr>
                <w:sz w:val="20"/>
                <w:szCs w:val="20"/>
                <w:color w:val="auto"/>
              </w:rPr>
            </w:pPr>
            <w:r>
              <w:rPr>
                <w:rFonts w:ascii="Arial" w:cs="Arial" w:eastAsia="Arial" w:hAnsi="Arial"/>
                <w:sz w:val="18"/>
                <w:szCs w:val="18"/>
                <w:b w:val="1"/>
                <w:bCs w:val="1"/>
                <w:color w:val="auto"/>
                <w:w w:val="95"/>
              </w:rPr>
              <w:t>10(k)</w:t>
            </w:r>
          </w:p>
        </w:tc>
        <w:tc>
          <w:tcPr>
            <w:tcW w:w="160" w:type="dxa"/>
            <w:vAlign w:val="bottom"/>
          </w:tcPr>
          <w:p>
            <w:pPr>
              <w:spacing w:after="0"/>
              <w:rPr>
                <w:sz w:val="14"/>
                <w:szCs w:val="14"/>
                <w:color w:val="auto"/>
              </w:rPr>
            </w:pPr>
          </w:p>
        </w:tc>
        <w:tc>
          <w:tcPr>
            <w:tcW w:w="2680" w:type="dxa"/>
            <w:vAlign w:val="bottom"/>
            <w:tcBorders>
              <w:bottom w:val="single" w:sz="8" w:color="0000EE"/>
            </w:tcBorders>
            <w:gridSpan w:val="15"/>
          </w:tcPr>
          <w:p>
            <w:pPr>
              <w:spacing w:after="0" w:line="172"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Form of Non-Qualified Stock Option</w:t>
              </w:r>
            </w:hyperlink>
          </w:p>
        </w:tc>
        <w:tc>
          <w:tcPr>
            <w:tcW w:w="380" w:type="dxa"/>
            <w:vAlign w:val="bottom"/>
            <w:tcBorders>
              <w:right w:val="single" w:sz="8" w:color="auto"/>
            </w:tcBorders>
            <w:gridSpan w:val="5"/>
          </w:tcPr>
          <w:p>
            <w:pPr>
              <w:spacing w:after="0"/>
              <w:rPr>
                <w:sz w:val="14"/>
                <w:szCs w:val="14"/>
                <w:color w:val="auto"/>
              </w:rPr>
            </w:pPr>
          </w:p>
        </w:tc>
        <w:tc>
          <w:tcPr>
            <w:tcW w:w="1160" w:type="dxa"/>
            <w:vAlign w:val="bottom"/>
          </w:tcPr>
          <w:p>
            <w:pPr>
              <w:jc w:val="center"/>
              <w:spacing w:after="0" w:line="172" w:lineRule="exact"/>
              <w:rPr>
                <w:sz w:val="20"/>
                <w:szCs w:val="20"/>
                <w:color w:val="auto"/>
              </w:rPr>
            </w:pPr>
            <w:r>
              <w:rPr>
                <w:rFonts w:ascii="Arial" w:cs="Arial" w:eastAsia="Arial" w:hAnsi="Arial"/>
                <w:sz w:val="18"/>
                <w:szCs w:val="18"/>
                <w:color w:val="auto"/>
                <w:w w:val="94"/>
              </w:rPr>
              <w:t>10-K</w:t>
            </w:r>
          </w:p>
        </w:tc>
        <w:tc>
          <w:tcPr>
            <w:tcW w:w="1340" w:type="dxa"/>
            <w:vAlign w:val="bottom"/>
          </w:tcPr>
          <w:p>
            <w:pPr>
              <w:jc w:val="center"/>
              <w:spacing w:after="0" w:line="172" w:lineRule="exact"/>
              <w:rPr>
                <w:sz w:val="20"/>
                <w:szCs w:val="20"/>
                <w:color w:val="auto"/>
              </w:rPr>
            </w:pPr>
            <w:r>
              <w:rPr>
                <w:rFonts w:ascii="Arial" w:cs="Arial" w:eastAsia="Arial" w:hAnsi="Arial"/>
                <w:sz w:val="18"/>
                <w:szCs w:val="18"/>
                <w:color w:val="auto"/>
                <w:w w:val="89"/>
              </w:rPr>
              <w:t>001-3761</w:t>
            </w:r>
          </w:p>
        </w:tc>
        <w:tc>
          <w:tcPr>
            <w:tcW w:w="1760" w:type="dxa"/>
            <w:vAlign w:val="bottom"/>
          </w:tcPr>
          <w:p>
            <w:pPr>
              <w:jc w:val="center"/>
              <w:spacing w:after="0" w:line="172" w:lineRule="exact"/>
              <w:rPr>
                <w:sz w:val="20"/>
                <w:szCs w:val="20"/>
                <w:color w:val="auto"/>
              </w:rPr>
            </w:pPr>
            <w:r>
              <w:rPr>
                <w:rFonts w:ascii="Arial" w:cs="Arial" w:eastAsia="Arial" w:hAnsi="Arial"/>
                <w:sz w:val="18"/>
                <w:szCs w:val="18"/>
                <w:color w:val="auto"/>
                <w:w w:val="89"/>
              </w:rPr>
              <w:t>February 23, 2017</w:t>
            </w:r>
          </w:p>
        </w:tc>
        <w:tc>
          <w:tcPr>
            <w:tcW w:w="1460" w:type="dxa"/>
            <w:vAlign w:val="bottom"/>
            <w:tcBorders>
              <w:right w:val="single" w:sz="8" w:color="auto"/>
            </w:tcBorders>
          </w:tcPr>
          <w:p>
            <w:pPr>
              <w:jc w:val="center"/>
              <w:spacing w:after="0" w:line="172" w:lineRule="exact"/>
              <w:rPr>
                <w:sz w:val="20"/>
                <w:szCs w:val="20"/>
                <w:color w:val="auto"/>
              </w:rPr>
            </w:pPr>
            <w:r>
              <w:rPr>
                <w:rFonts w:ascii="Arial" w:cs="Arial" w:eastAsia="Arial" w:hAnsi="Arial"/>
                <w:sz w:val="18"/>
                <w:szCs w:val="18"/>
                <w:color w:val="auto"/>
                <w:w w:val="97"/>
              </w:rPr>
              <w:t>10(k)</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right w:val="single" w:sz="8" w:color="auto"/>
            </w:tcBorders>
            <w:gridSpan w:val="20"/>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Agreement for Executive Officers under</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the Texas Instruments 2009 Long-Term</w:t>
              </w:r>
            </w:hyperlink>
          </w:p>
        </w:tc>
        <w:tc>
          <w:tcPr>
            <w:tcW w:w="160" w:type="dxa"/>
            <w:vAlign w:val="bottom"/>
            <w:tcBorders>
              <w:right w:val="single" w:sz="8" w:color="auto"/>
            </w:tcBorders>
            <w:gridSpan w:val="2"/>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Incentive Plan*</w:t>
              </w:r>
            </w:hyperlink>
          </w:p>
        </w:tc>
        <w:tc>
          <w:tcPr>
            <w:tcW w:w="220" w:type="dxa"/>
            <w:vAlign w:val="bottom"/>
            <w:tcBorders>
              <w:right w:val="single" w:sz="8" w:color="auto"/>
            </w:tcBorders>
            <w:gridSpan w:val="3"/>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7"/>
              </w:rPr>
              <w:t>10(l)</w:t>
            </w:r>
          </w:p>
        </w:tc>
        <w:tc>
          <w:tcPr>
            <w:tcW w:w="160" w:type="dxa"/>
            <w:vAlign w:val="bottom"/>
            <w:tcBorders>
              <w:bottom w:val="single" w:sz="8" w:color="CFF0FC"/>
            </w:tcBorders>
            <w:shd w:val="clear" w:color="auto" w:fill="CFF0FC"/>
          </w:tcPr>
          <w:p>
            <w:pPr>
              <w:spacing w:after="0"/>
              <w:rPr>
                <w:sz w:val="14"/>
                <w:szCs w:val="14"/>
                <w:color w:val="auto"/>
              </w:rPr>
            </w:pPr>
          </w:p>
        </w:tc>
        <w:tc>
          <w:tcPr>
            <w:tcW w:w="2700" w:type="dxa"/>
            <w:vAlign w:val="bottom"/>
            <w:tcBorders>
              <w:bottom w:val="single" w:sz="8" w:color="0000EE"/>
            </w:tcBorders>
            <w:gridSpan w:val="16"/>
            <w:shd w:val="clear" w:color="auto" w:fill="CFF0FC"/>
          </w:tcPr>
          <w:p>
            <w:pPr>
              <w:spacing w:after="0" w:line="170"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of Restricted Stock Unit Award</w:t>
              </w:r>
            </w:hyperlink>
          </w:p>
        </w:tc>
        <w:tc>
          <w:tcPr>
            <w:tcW w:w="360" w:type="dxa"/>
            <w:vAlign w:val="bottom"/>
            <w:tcBorders>
              <w:bottom w:val="single" w:sz="8" w:color="CFF0FC"/>
              <w:right w:val="single" w:sz="8" w:color="auto"/>
            </w:tcBorders>
            <w:gridSpan w:val="4"/>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4"/>
              </w:rPr>
              <w:t>10-K</w:t>
            </w:r>
          </w:p>
        </w:tc>
        <w:tc>
          <w:tcPr>
            <w:tcW w:w="134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001-3761</w:t>
            </w:r>
          </w:p>
        </w:tc>
        <w:tc>
          <w:tcPr>
            <w:tcW w:w="176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23, 2017</w:t>
            </w:r>
          </w:p>
        </w:tc>
        <w:tc>
          <w:tcPr>
            <w:tcW w:w="1460" w:type="dxa"/>
            <w:vAlign w:val="bottom"/>
            <w:tcBorders>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9"/>
              </w:rPr>
              <w:t>10(l)</w:t>
            </w:r>
          </w:p>
        </w:tc>
        <w:tc>
          <w:tcPr>
            <w:tcW w:w="1360" w:type="dxa"/>
            <w:vAlign w:val="bottom"/>
            <w:tcBorders>
              <w:bottom w:val="single" w:sz="8" w:color="CFF0FC"/>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60" w:type="dxa"/>
            <w:vAlign w:val="bottom"/>
            <w:tcBorders>
              <w:right w:val="single" w:sz="8" w:color="auto"/>
            </w:tcBorders>
            <w:gridSpan w:val="20"/>
            <w:shd w:val="clear" w:color="auto" w:fill="CFF0FC"/>
          </w:tcPr>
          <w:p>
            <w:pPr>
              <w:spacing w:after="0" w:line="196" w:lineRule="exact"/>
              <w:rPr>
                <w:rFonts w:ascii="Arial" w:cs="Arial" w:eastAsia="Arial" w:hAnsi="Arial"/>
                <w:sz w:val="18"/>
                <w:szCs w:val="18"/>
                <w:color w:val="0000EE"/>
                <w:w w:val="95"/>
              </w:rPr>
            </w:pPr>
            <w:hyperlink r:id="rId101">
              <w:r>
                <w:rPr>
                  <w:rFonts w:ascii="Arial" w:cs="Arial" w:eastAsia="Arial" w:hAnsi="Arial"/>
                  <w:sz w:val="18"/>
                  <w:szCs w:val="18"/>
                  <w:color w:val="0000EE"/>
                  <w:w w:val="95"/>
                </w:rPr>
                <w:t>Agreement for Executive Officers under</w:t>
              </w:r>
            </w:hyperlink>
          </w:p>
        </w:tc>
        <w:tc>
          <w:tcPr>
            <w:tcW w:w="1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1460" w:type="dxa"/>
            <w:vAlign w:val="bottom"/>
            <w:tcBorders>
              <w:right w:val="single" w:sz="8" w:color="auto"/>
            </w:tcBorders>
            <w:shd w:val="clear" w:color="auto" w:fill="CFF0FC"/>
          </w:tcPr>
          <w:p>
            <w:pPr>
              <w:spacing w:after="0"/>
              <w:rPr>
                <w:sz w:val="17"/>
                <w:szCs w:val="17"/>
                <w:color w:val="auto"/>
              </w:rPr>
            </w:pPr>
          </w:p>
        </w:tc>
        <w:tc>
          <w:tcPr>
            <w:tcW w:w="1360" w:type="dxa"/>
            <w:vAlign w:val="bottom"/>
            <w:tcBorders>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top w:val="single" w:sz="8" w:color="CFF0FC"/>
              <w:left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900" w:type="dxa"/>
            <w:vAlign w:val="bottom"/>
            <w:tcBorders>
              <w:top w:val="single" w:sz="8" w:color="0000EE"/>
            </w:tcBorders>
            <w:gridSpan w:val="18"/>
            <w:shd w:val="clear" w:color="auto" w:fill="CFF0FC"/>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the Texas Instruments 2009 Long-Term</w:t>
              </w:r>
            </w:hyperlink>
          </w:p>
        </w:tc>
        <w:tc>
          <w:tcPr>
            <w:tcW w:w="160" w:type="dxa"/>
            <w:vAlign w:val="bottom"/>
            <w:tcBorders>
              <w:top w:val="single" w:sz="8" w:color="CFF0FC"/>
              <w:right w:val="single" w:sz="8" w:color="auto"/>
            </w:tcBorders>
            <w:gridSpan w:val="2"/>
            <w:shd w:val="clear" w:color="auto" w:fill="CFF0FC"/>
          </w:tcPr>
          <w:p>
            <w:pPr>
              <w:spacing w:after="0"/>
              <w:rPr>
                <w:sz w:val="17"/>
                <w:szCs w:val="17"/>
                <w:color w:val="auto"/>
              </w:rPr>
            </w:pPr>
          </w:p>
        </w:tc>
        <w:tc>
          <w:tcPr>
            <w:tcW w:w="11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CFF0FC"/>
            </w:tcBorders>
            <w:shd w:val="clear" w:color="auto" w:fill="CFF0FC"/>
          </w:tcPr>
          <w:p>
            <w:pPr>
              <w:spacing w:after="0"/>
              <w:rPr>
                <w:sz w:val="17"/>
                <w:szCs w:val="17"/>
                <w:color w:val="auto"/>
              </w:rPr>
            </w:pPr>
          </w:p>
        </w:tc>
        <w:tc>
          <w:tcPr>
            <w:tcW w:w="17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CFF0FC"/>
              <w:right w:val="single" w:sz="8" w:color="auto"/>
            </w:tcBorders>
            <w:shd w:val="clear" w:color="auto" w:fill="CFF0FC"/>
          </w:tcPr>
          <w:p>
            <w:pPr>
              <w:spacing w:after="0"/>
              <w:rPr>
                <w:sz w:val="17"/>
                <w:szCs w:val="17"/>
                <w:color w:val="auto"/>
              </w:rPr>
            </w:pPr>
          </w:p>
        </w:tc>
        <w:tc>
          <w:tcPr>
            <w:tcW w:w="1360" w:type="dxa"/>
            <w:vAlign w:val="bottom"/>
            <w:tcBorders>
              <w:top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top w:val="single" w:sz="8" w:color="CFF0FC"/>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top w:val="single" w:sz="8" w:color="CFF0FC"/>
              <w:bottom w:val="single" w:sz="8" w:color="auto"/>
            </w:tcBorders>
            <w:shd w:val="clear" w:color="auto" w:fill="CFF0FC"/>
          </w:tcPr>
          <w:p>
            <w:pPr>
              <w:spacing w:after="0"/>
              <w:rPr>
                <w:sz w:val="20"/>
                <w:szCs w:val="20"/>
                <w:color w:val="auto"/>
              </w:rPr>
            </w:pPr>
          </w:p>
        </w:tc>
        <w:tc>
          <w:tcPr>
            <w:tcW w:w="2840" w:type="dxa"/>
            <w:vAlign w:val="bottom"/>
            <w:tcBorders>
              <w:top w:val="single" w:sz="8" w:color="0000EE"/>
              <w:bottom w:val="single" w:sz="8" w:color="auto"/>
            </w:tcBorders>
            <w:gridSpan w:val="17"/>
            <w:shd w:val="clear" w:color="auto" w:fill="CFF0FC"/>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Incentive Plan*</w:t>
              </w:r>
            </w:hyperlink>
          </w:p>
        </w:tc>
        <w:tc>
          <w:tcPr>
            <w:tcW w:w="220" w:type="dxa"/>
            <w:vAlign w:val="bottom"/>
            <w:tcBorders>
              <w:top w:val="single" w:sz="8" w:color="CFF0FC"/>
              <w:bottom w:val="single" w:sz="8" w:color="auto"/>
              <w:right w:val="single" w:sz="8" w:color="auto"/>
            </w:tcBorders>
            <w:gridSpan w:val="3"/>
            <w:shd w:val="clear" w:color="auto" w:fill="CFF0FC"/>
          </w:tcPr>
          <w:p>
            <w:pPr>
              <w:spacing w:after="0"/>
              <w:rPr>
                <w:sz w:val="20"/>
                <w:szCs w:val="20"/>
                <w:color w:val="auto"/>
              </w:rPr>
            </w:pPr>
          </w:p>
        </w:tc>
        <w:tc>
          <w:tcPr>
            <w:tcW w:w="1160" w:type="dxa"/>
            <w:vAlign w:val="bottom"/>
            <w:tcBorders>
              <w:top w:val="single" w:sz="8" w:color="CFF0FC"/>
              <w:bottom w:val="single" w:sz="8" w:color="auto"/>
            </w:tcBorders>
            <w:shd w:val="clear" w:color="auto" w:fill="CFF0FC"/>
          </w:tcPr>
          <w:p>
            <w:pPr>
              <w:spacing w:after="0"/>
              <w:rPr>
                <w:sz w:val="20"/>
                <w:szCs w:val="20"/>
                <w:color w:val="auto"/>
              </w:rPr>
            </w:pPr>
          </w:p>
        </w:tc>
        <w:tc>
          <w:tcPr>
            <w:tcW w:w="1340" w:type="dxa"/>
            <w:vAlign w:val="bottom"/>
            <w:tcBorders>
              <w:top w:val="single" w:sz="8" w:color="CFF0FC"/>
              <w:bottom w:val="single" w:sz="8" w:color="auto"/>
            </w:tcBorders>
            <w:shd w:val="clear" w:color="auto" w:fill="CFF0FC"/>
          </w:tcPr>
          <w:p>
            <w:pPr>
              <w:spacing w:after="0"/>
              <w:rPr>
                <w:sz w:val="20"/>
                <w:szCs w:val="20"/>
                <w:color w:val="auto"/>
              </w:rPr>
            </w:pPr>
          </w:p>
        </w:tc>
        <w:tc>
          <w:tcPr>
            <w:tcW w:w="1760" w:type="dxa"/>
            <w:vAlign w:val="bottom"/>
            <w:tcBorders>
              <w:top w:val="single" w:sz="8" w:color="CFF0FC"/>
              <w:bottom w:val="single" w:sz="8" w:color="auto"/>
            </w:tcBorders>
            <w:shd w:val="clear" w:color="auto" w:fill="CFF0FC"/>
          </w:tcPr>
          <w:p>
            <w:pPr>
              <w:spacing w:after="0"/>
              <w:rPr>
                <w:sz w:val="20"/>
                <w:szCs w:val="20"/>
                <w:color w:val="auto"/>
              </w:rPr>
            </w:pPr>
          </w:p>
        </w:tc>
        <w:tc>
          <w:tcPr>
            <w:tcW w:w="146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1360" w:type="dxa"/>
            <w:vAlign w:val="bottom"/>
            <w:tcBorders>
              <w:top w:val="single" w:sz="8" w:color="CFF0FC"/>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1"/>
              </w:rPr>
              <w:t>10(m)</w:t>
            </w:r>
          </w:p>
        </w:tc>
        <w:tc>
          <w:tcPr>
            <w:tcW w:w="160" w:type="dxa"/>
            <w:vAlign w:val="bottom"/>
          </w:tcPr>
          <w:p>
            <w:pPr>
              <w:spacing w:after="0"/>
              <w:rPr>
                <w:sz w:val="14"/>
                <w:szCs w:val="14"/>
                <w:color w:val="auto"/>
              </w:rPr>
            </w:pPr>
          </w:p>
        </w:tc>
        <w:tc>
          <w:tcPr>
            <w:tcW w:w="2580" w:type="dxa"/>
            <w:vAlign w:val="bottom"/>
            <w:tcBorders>
              <w:bottom w:val="single" w:sz="8" w:color="0000EE"/>
            </w:tcBorders>
            <w:gridSpan w:val="12"/>
          </w:tcPr>
          <w:p>
            <w:pPr>
              <w:spacing w:after="0" w:line="170"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Texas Instruments 2009 Long-Term</w:t>
              </w:r>
            </w:hyperlink>
          </w:p>
        </w:tc>
        <w:tc>
          <w:tcPr>
            <w:tcW w:w="480" w:type="dxa"/>
            <w:vAlign w:val="bottom"/>
            <w:tcBorders>
              <w:right w:val="single" w:sz="8" w:color="auto"/>
            </w:tcBorders>
            <w:gridSpan w:val="8"/>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color w:val="auto"/>
                <w:w w:val="93"/>
              </w:rPr>
              <w:t>DEF 14A</w:t>
            </w:r>
          </w:p>
        </w:tc>
        <w:tc>
          <w:tcPr>
            <w:tcW w:w="1340" w:type="dxa"/>
            <w:vAlign w:val="bottom"/>
          </w:tcPr>
          <w:p>
            <w:pPr>
              <w:jc w:val="center"/>
              <w:spacing w:after="0" w:line="170" w:lineRule="exact"/>
              <w:rPr>
                <w:sz w:val="20"/>
                <w:szCs w:val="20"/>
                <w:color w:val="auto"/>
              </w:rPr>
            </w:pPr>
            <w:r>
              <w:rPr>
                <w:rFonts w:ascii="Arial" w:cs="Arial" w:eastAsia="Arial" w:hAnsi="Arial"/>
                <w:sz w:val="18"/>
                <w:szCs w:val="18"/>
                <w:color w:val="auto"/>
                <w:w w:val="91"/>
              </w:rPr>
              <w:t>001-3761</w:t>
            </w:r>
          </w:p>
        </w:tc>
        <w:tc>
          <w:tcPr>
            <w:tcW w:w="1760" w:type="dxa"/>
            <w:vAlign w:val="bottom"/>
          </w:tcPr>
          <w:p>
            <w:pPr>
              <w:jc w:val="center"/>
              <w:spacing w:after="0" w:line="170" w:lineRule="exact"/>
              <w:rPr>
                <w:sz w:val="20"/>
                <w:szCs w:val="20"/>
                <w:color w:val="auto"/>
              </w:rPr>
            </w:pPr>
            <w:r>
              <w:rPr>
                <w:rFonts w:ascii="Arial" w:cs="Arial" w:eastAsia="Arial" w:hAnsi="Arial"/>
                <w:sz w:val="18"/>
                <w:szCs w:val="18"/>
                <w:color w:val="auto"/>
                <w:w w:val="92"/>
              </w:rPr>
              <w:t>March 9, 2016</w:t>
            </w:r>
          </w:p>
        </w:tc>
        <w:tc>
          <w:tcPr>
            <w:tcW w:w="14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Appendix B</w:t>
            </w: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Incentive Plan as amended April 21,</w:t>
              </w:r>
            </w:hyperlink>
          </w:p>
        </w:tc>
        <w:tc>
          <w:tcPr>
            <w:tcW w:w="440" w:type="dxa"/>
            <w:vAlign w:val="bottom"/>
            <w:tcBorders>
              <w:right w:val="single" w:sz="8" w:color="auto"/>
            </w:tcBorders>
            <w:gridSpan w:val="7"/>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780" w:type="dxa"/>
            <w:vAlign w:val="bottom"/>
            <w:gridSpan w:val="3"/>
          </w:tcPr>
          <w:p>
            <w:pPr>
              <w:ind w:left="160"/>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2016*</w:t>
              </w:r>
            </w:hyperlink>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2"/>
              </w:rPr>
              <w:t>10(n)</w:t>
            </w:r>
          </w:p>
        </w:tc>
        <w:tc>
          <w:tcPr>
            <w:tcW w:w="160" w:type="dxa"/>
            <w:vAlign w:val="bottom"/>
            <w:tcBorders>
              <w:bottom w:val="single" w:sz="8" w:color="CFF0FC"/>
            </w:tcBorders>
            <w:shd w:val="clear" w:color="auto" w:fill="CFF0FC"/>
          </w:tcPr>
          <w:p>
            <w:pPr>
              <w:spacing w:after="0"/>
              <w:rPr>
                <w:sz w:val="14"/>
                <w:szCs w:val="14"/>
                <w:color w:val="auto"/>
              </w:rPr>
            </w:pPr>
          </w:p>
        </w:tc>
        <w:tc>
          <w:tcPr>
            <w:tcW w:w="2360" w:type="dxa"/>
            <w:vAlign w:val="bottom"/>
            <w:tcBorders>
              <w:bottom w:val="single" w:sz="8" w:color="0000EE"/>
            </w:tcBorders>
            <w:gridSpan w:val="9"/>
            <w:shd w:val="clear" w:color="auto" w:fill="CFF0FC"/>
          </w:tcPr>
          <w:p>
            <w:pPr>
              <w:spacing w:after="0" w:line="170"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Texas Instruments 2009 Director</w:t>
              </w:r>
            </w:hyperlink>
          </w:p>
        </w:tc>
        <w:tc>
          <w:tcPr>
            <w:tcW w:w="700" w:type="dxa"/>
            <w:vAlign w:val="bottom"/>
            <w:tcBorders>
              <w:bottom w:val="single" w:sz="8" w:color="CFF0FC"/>
              <w:right w:val="single" w:sz="8" w:color="auto"/>
            </w:tcBorders>
            <w:gridSpan w:val="11"/>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4"/>
              </w:rPr>
              <w:t>10-K</w:t>
            </w:r>
          </w:p>
        </w:tc>
        <w:tc>
          <w:tcPr>
            <w:tcW w:w="134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001-3761</w:t>
            </w:r>
          </w:p>
        </w:tc>
        <w:tc>
          <w:tcPr>
            <w:tcW w:w="1760" w:type="dxa"/>
            <w:vAlign w:val="bottom"/>
            <w:tcBorders>
              <w:bottom w:val="single" w:sz="8" w:color="CFF0FC"/>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89"/>
              </w:rPr>
              <w:t>February 23, 2017</w:t>
            </w:r>
          </w:p>
        </w:tc>
        <w:tc>
          <w:tcPr>
            <w:tcW w:w="1460" w:type="dxa"/>
            <w:vAlign w:val="bottom"/>
            <w:tcBorders>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w w:val="95"/>
              </w:rPr>
              <w:t>10(n)</w:t>
            </w:r>
          </w:p>
        </w:tc>
        <w:tc>
          <w:tcPr>
            <w:tcW w:w="1360" w:type="dxa"/>
            <w:vAlign w:val="bottom"/>
            <w:tcBorders>
              <w:bottom w:val="single" w:sz="8" w:color="CFF0FC"/>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bottom w:val="single" w:sz="8" w:color="CFF0FC"/>
              <w:right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900" w:type="dxa"/>
            <w:vAlign w:val="bottom"/>
            <w:tcBorders>
              <w:bottom w:val="single" w:sz="8" w:color="0000EE"/>
            </w:tcBorders>
            <w:gridSpan w:val="18"/>
            <w:shd w:val="clear" w:color="auto" w:fill="CFF0FC"/>
          </w:tcPr>
          <w:p>
            <w:pPr>
              <w:spacing w:after="0" w:line="196" w:lineRule="exact"/>
              <w:rPr>
                <w:rFonts w:ascii="Arial" w:cs="Arial" w:eastAsia="Arial" w:hAnsi="Arial"/>
                <w:sz w:val="18"/>
                <w:szCs w:val="18"/>
                <w:color w:val="0000EE"/>
                <w:w w:val="87"/>
              </w:rPr>
            </w:pPr>
            <w:hyperlink r:id="rId103">
              <w:r>
                <w:rPr>
                  <w:rFonts w:ascii="Arial" w:cs="Arial" w:eastAsia="Arial" w:hAnsi="Arial"/>
                  <w:sz w:val="18"/>
                  <w:szCs w:val="18"/>
                  <w:color w:val="0000EE"/>
                  <w:w w:val="87"/>
                </w:rPr>
                <w:t>Compensation Plan as amended January</w:t>
              </w:r>
            </w:hyperlink>
          </w:p>
        </w:tc>
        <w:tc>
          <w:tcPr>
            <w:tcW w:w="160" w:type="dxa"/>
            <w:vAlign w:val="bottom"/>
            <w:tcBorders>
              <w:bottom w:val="single" w:sz="8" w:color="CFF0FC"/>
              <w:right w:val="single" w:sz="8" w:color="auto"/>
            </w:tcBorders>
            <w:gridSpan w:val="2"/>
            <w:shd w:val="clear" w:color="auto" w:fill="CFF0FC"/>
          </w:tcPr>
          <w:p>
            <w:pPr>
              <w:spacing w:after="0"/>
              <w:rPr>
                <w:sz w:val="17"/>
                <w:szCs w:val="17"/>
                <w:color w:val="auto"/>
              </w:rPr>
            </w:pPr>
          </w:p>
        </w:tc>
        <w:tc>
          <w:tcPr>
            <w:tcW w:w="116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c>
          <w:tcPr>
            <w:tcW w:w="1760" w:type="dxa"/>
            <w:vAlign w:val="bottom"/>
            <w:tcBorders>
              <w:bottom w:val="single" w:sz="8" w:color="CFF0FC"/>
            </w:tcBorders>
            <w:shd w:val="clear" w:color="auto" w:fill="CFF0FC"/>
          </w:tcPr>
          <w:p>
            <w:pPr>
              <w:spacing w:after="0"/>
              <w:rPr>
                <w:sz w:val="17"/>
                <w:szCs w:val="17"/>
                <w:color w:val="auto"/>
              </w:rPr>
            </w:pPr>
          </w:p>
        </w:tc>
        <w:tc>
          <w:tcPr>
            <w:tcW w:w="1460" w:type="dxa"/>
            <w:vAlign w:val="bottom"/>
            <w:tcBorders>
              <w:bottom w:val="single" w:sz="8" w:color="CFF0FC"/>
              <w:right w:val="single" w:sz="8" w:color="auto"/>
            </w:tcBorders>
            <w:shd w:val="clear" w:color="auto" w:fill="CFF0FC"/>
          </w:tcPr>
          <w:p>
            <w:pPr>
              <w:spacing w:after="0"/>
              <w:rPr>
                <w:sz w:val="17"/>
                <w:szCs w:val="17"/>
                <w:color w:val="auto"/>
              </w:rPr>
            </w:pPr>
          </w:p>
        </w:tc>
        <w:tc>
          <w:tcPr>
            <w:tcW w:w="1360" w:type="dxa"/>
            <w:vAlign w:val="bottom"/>
            <w:tcBorders>
              <w:bottom w:val="single" w:sz="8" w:color="CFF0FC"/>
              <w:right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1280" w:type="dxa"/>
            <w:vAlign w:val="bottom"/>
            <w:tcBorders>
              <w:bottom w:val="single" w:sz="8" w:color="auto"/>
            </w:tcBorders>
            <w:gridSpan w:val="4"/>
            <w:shd w:val="clear" w:color="auto" w:fill="CFF0FC"/>
          </w:tcPr>
          <w:p>
            <w:pPr>
              <w:ind w:left="160"/>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19, 2012</w:t>
              </w:r>
            </w:hyperlink>
          </w:p>
        </w:tc>
        <w:tc>
          <w:tcPr>
            <w:tcW w:w="10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right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89"/>
              </w:rPr>
              <w:t>12</w:t>
            </w:r>
          </w:p>
        </w:tc>
        <w:tc>
          <w:tcPr>
            <w:tcW w:w="160" w:type="dxa"/>
            <w:vAlign w:val="bottom"/>
          </w:tcPr>
          <w:p>
            <w:pPr>
              <w:spacing w:after="0"/>
              <w:rPr>
                <w:sz w:val="14"/>
                <w:szCs w:val="14"/>
                <w:color w:val="auto"/>
              </w:rPr>
            </w:pPr>
          </w:p>
        </w:tc>
        <w:tc>
          <w:tcPr>
            <w:tcW w:w="3060" w:type="dxa"/>
            <w:vAlign w:val="bottom"/>
            <w:tcBorders>
              <w:right w:val="single" w:sz="8" w:color="auto"/>
            </w:tcBorders>
            <w:gridSpan w:val="20"/>
          </w:tcPr>
          <w:p>
            <w:pPr>
              <w:spacing w:after="0" w:line="170" w:lineRule="exact"/>
              <w:rPr>
                <w:rFonts w:ascii="Arial" w:cs="Arial" w:eastAsia="Arial" w:hAnsi="Arial"/>
                <w:sz w:val="18"/>
                <w:szCs w:val="18"/>
                <w:color w:val="0000EE"/>
              </w:rPr>
            </w:pPr>
            <w:hyperlink w:anchor="page67">
              <w:r>
                <w:rPr>
                  <w:rFonts w:ascii="Arial" w:cs="Arial" w:eastAsia="Arial" w:hAnsi="Arial"/>
                  <w:sz w:val="18"/>
                  <w:szCs w:val="18"/>
                  <w:color w:val="0000EE"/>
                </w:rPr>
                <w:t>Ratio of Earnings to Fixed Charges</w:t>
              </w:r>
            </w:hyperlink>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89"/>
              </w:rPr>
              <w:t>21</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0"/>
            <w:shd w:val="clear" w:color="auto" w:fill="CFF0FC"/>
          </w:tcPr>
          <w:p>
            <w:pPr>
              <w:spacing w:after="0" w:line="170" w:lineRule="exact"/>
              <w:rPr>
                <w:rFonts w:ascii="Arial" w:cs="Arial" w:eastAsia="Arial" w:hAnsi="Arial"/>
                <w:sz w:val="18"/>
                <w:szCs w:val="18"/>
                <w:color w:val="0000EE"/>
              </w:rPr>
            </w:pPr>
            <w:hyperlink w:anchor="page68">
              <w:r>
                <w:rPr>
                  <w:rFonts w:ascii="Arial" w:cs="Arial" w:eastAsia="Arial" w:hAnsi="Arial"/>
                  <w:sz w:val="18"/>
                  <w:szCs w:val="18"/>
                  <w:color w:val="0000EE"/>
                </w:rPr>
                <w:t>List of Subsidiaries of the Registrant</w:t>
              </w:r>
            </w:hyperlink>
          </w:p>
        </w:tc>
        <w:tc>
          <w:tcPr>
            <w:tcW w:w="1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89"/>
              </w:rPr>
              <w:t>23</w:t>
            </w:r>
          </w:p>
        </w:tc>
        <w:tc>
          <w:tcPr>
            <w:tcW w:w="160" w:type="dxa"/>
            <w:vAlign w:val="bottom"/>
          </w:tcPr>
          <w:p>
            <w:pPr>
              <w:spacing w:after="0"/>
              <w:rPr>
                <w:sz w:val="14"/>
                <w:szCs w:val="14"/>
                <w:color w:val="auto"/>
              </w:rPr>
            </w:pPr>
          </w:p>
        </w:tc>
        <w:tc>
          <w:tcPr>
            <w:tcW w:w="3060" w:type="dxa"/>
            <w:vAlign w:val="bottom"/>
            <w:tcBorders>
              <w:bottom w:val="single" w:sz="8" w:color="0000EE"/>
              <w:right w:val="single" w:sz="8" w:color="auto"/>
            </w:tcBorders>
            <w:gridSpan w:val="20"/>
          </w:tcPr>
          <w:p>
            <w:pPr>
              <w:spacing w:after="0" w:line="170"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Consent of Independent Registered Public</w:t>
              </w:r>
            </w:hyperlink>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Accounting Firm</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5"/>
              </w:rPr>
              <w:t>31(a)</w:t>
            </w:r>
          </w:p>
        </w:tc>
        <w:tc>
          <w:tcPr>
            <w:tcW w:w="160" w:type="dxa"/>
            <w:vAlign w:val="bottom"/>
            <w:tcBorders>
              <w:bottom w:val="single" w:sz="8" w:color="CFF0FC"/>
            </w:tcBorders>
            <w:shd w:val="clear" w:color="auto" w:fill="CFF0FC"/>
          </w:tcPr>
          <w:p>
            <w:pPr>
              <w:spacing w:after="0"/>
              <w:rPr>
                <w:sz w:val="14"/>
                <w:szCs w:val="14"/>
                <w:color w:val="auto"/>
              </w:rPr>
            </w:pPr>
          </w:p>
        </w:tc>
        <w:tc>
          <w:tcPr>
            <w:tcW w:w="2920" w:type="dxa"/>
            <w:vAlign w:val="bottom"/>
            <w:tcBorders>
              <w:bottom w:val="single" w:sz="8" w:color="0000EE"/>
            </w:tcBorders>
            <w:gridSpan w:val="19"/>
            <w:shd w:val="clear" w:color="auto" w:fill="CFF0FC"/>
          </w:tcPr>
          <w:p>
            <w:pPr>
              <w:spacing w:after="0" w:line="170"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Rule 13a-14(a)/15(d)-14(a) Certification</w:t>
              </w:r>
            </w:hyperlink>
          </w:p>
        </w:tc>
        <w:tc>
          <w:tcPr>
            <w:tcW w:w="140" w:type="dxa"/>
            <w:vAlign w:val="bottom"/>
            <w:tcBorders>
              <w:bottom w:val="single" w:sz="8" w:color="CFF0FC"/>
              <w:right w:val="single" w:sz="8" w:color="auto"/>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right w:val="single" w:sz="8" w:color="auto"/>
            </w:tcBorders>
            <w:shd w:val="clear" w:color="auto" w:fill="CFF0FC"/>
          </w:tcPr>
          <w:p>
            <w:pPr>
              <w:spacing w:after="0"/>
              <w:rPr>
                <w:sz w:val="14"/>
                <w:szCs w:val="14"/>
                <w:color w:val="auto"/>
              </w:rPr>
            </w:pPr>
          </w:p>
        </w:tc>
        <w:tc>
          <w:tcPr>
            <w:tcW w:w="1360" w:type="dxa"/>
            <w:vAlign w:val="bottom"/>
            <w:tcBorders>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060" w:type="dxa"/>
            <w:vAlign w:val="bottom"/>
            <w:tcBorders>
              <w:bottom w:val="single" w:sz="8" w:color="auto"/>
              <w:right w:val="single" w:sz="8" w:color="auto"/>
            </w:tcBorders>
            <w:gridSpan w:val="20"/>
            <w:shd w:val="clear" w:color="auto" w:fill="CFF0FC"/>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of Chief Executive Officer</w:t>
              </w:r>
            </w:hyperlink>
          </w:p>
        </w:tc>
        <w:tc>
          <w:tcPr>
            <w:tcW w:w="1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2"/>
              </w:rPr>
              <w:t>31(b)</w:t>
            </w:r>
          </w:p>
        </w:tc>
        <w:tc>
          <w:tcPr>
            <w:tcW w:w="160" w:type="dxa"/>
            <w:vAlign w:val="bottom"/>
          </w:tcPr>
          <w:p>
            <w:pPr>
              <w:spacing w:after="0"/>
              <w:rPr>
                <w:sz w:val="14"/>
                <w:szCs w:val="14"/>
                <w:color w:val="auto"/>
              </w:rPr>
            </w:pPr>
          </w:p>
        </w:tc>
        <w:tc>
          <w:tcPr>
            <w:tcW w:w="2920" w:type="dxa"/>
            <w:vAlign w:val="bottom"/>
            <w:tcBorders>
              <w:bottom w:val="single" w:sz="8" w:color="0000EE"/>
            </w:tcBorders>
            <w:gridSpan w:val="19"/>
          </w:tcPr>
          <w:p>
            <w:pPr>
              <w:spacing w:after="0" w:line="170"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Rule 13a-14(a)/15(d)-14(a) Certification</w:t>
              </w:r>
            </w:hyperlink>
          </w:p>
        </w:tc>
        <w:tc>
          <w:tcPr>
            <w:tcW w:w="140" w:type="dxa"/>
            <w:vAlign w:val="bottom"/>
            <w:tcBorders>
              <w:right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of Chief Financial Officer</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b w:val="1"/>
                <w:bCs w:val="1"/>
                <w:color w:val="auto"/>
                <w:w w:val="95"/>
              </w:rPr>
              <w:t>32(a)</w:t>
            </w:r>
          </w:p>
        </w:tc>
        <w:tc>
          <w:tcPr>
            <w:tcW w:w="160" w:type="dxa"/>
            <w:vAlign w:val="bottom"/>
            <w:tcBorders>
              <w:bottom w:val="single" w:sz="8" w:color="CFF0FC"/>
            </w:tcBorders>
            <w:shd w:val="clear" w:color="auto" w:fill="CFF0FC"/>
          </w:tcPr>
          <w:p>
            <w:pPr>
              <w:spacing w:after="0"/>
              <w:rPr>
                <w:sz w:val="14"/>
                <w:szCs w:val="14"/>
                <w:color w:val="auto"/>
              </w:rPr>
            </w:pPr>
          </w:p>
        </w:tc>
        <w:tc>
          <w:tcPr>
            <w:tcW w:w="2540" w:type="dxa"/>
            <w:vAlign w:val="bottom"/>
            <w:tcBorders>
              <w:bottom w:val="single" w:sz="8" w:color="0000EE"/>
            </w:tcBorders>
            <w:gridSpan w:val="10"/>
            <w:shd w:val="clear" w:color="auto" w:fill="CFF0FC"/>
          </w:tcPr>
          <w:p>
            <w:pPr>
              <w:spacing w:after="0" w:line="170"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Section 1350 Certification of Chief</w:t>
              </w:r>
            </w:hyperlink>
          </w:p>
        </w:tc>
        <w:tc>
          <w:tcPr>
            <w:tcW w:w="520" w:type="dxa"/>
            <w:vAlign w:val="bottom"/>
            <w:tcBorders>
              <w:bottom w:val="single" w:sz="8" w:color="CFF0FC"/>
              <w:right w:val="single" w:sz="8" w:color="auto"/>
            </w:tcBorders>
            <w:gridSpan w:val="10"/>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right w:val="single" w:sz="8" w:color="auto"/>
            </w:tcBorders>
            <w:shd w:val="clear" w:color="auto" w:fill="CFF0FC"/>
          </w:tcPr>
          <w:p>
            <w:pPr>
              <w:spacing w:after="0"/>
              <w:rPr>
                <w:sz w:val="14"/>
                <w:szCs w:val="14"/>
                <w:color w:val="auto"/>
              </w:rPr>
            </w:pPr>
          </w:p>
        </w:tc>
        <w:tc>
          <w:tcPr>
            <w:tcW w:w="1360" w:type="dxa"/>
            <w:vAlign w:val="bottom"/>
            <w:tcBorders>
              <w:bottom w:val="single" w:sz="8" w:color="CFF0FC"/>
              <w:right w:val="single" w:sz="8" w:color="auto"/>
            </w:tcBorders>
            <w:shd w:val="clear" w:color="auto" w:fill="CFF0FC"/>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060" w:type="dxa"/>
            <w:vAlign w:val="bottom"/>
            <w:tcBorders>
              <w:bottom w:val="single" w:sz="8" w:color="auto"/>
              <w:right w:val="single" w:sz="8" w:color="auto"/>
            </w:tcBorders>
            <w:gridSpan w:val="20"/>
            <w:shd w:val="clear" w:color="auto" w:fill="CFF0FC"/>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Executive Officer</w:t>
              </w:r>
            </w:hyperlink>
          </w:p>
        </w:tc>
        <w:tc>
          <w:tcPr>
            <w:tcW w:w="11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right w:val="single" w:sz="8" w:color="auto"/>
            </w:tcBorders>
            <w:shd w:val="clear" w:color="auto" w:fill="CFF0FC"/>
          </w:tcPr>
          <w:p>
            <w:pPr>
              <w:spacing w:after="0"/>
              <w:rPr>
                <w:sz w:val="20"/>
                <w:szCs w:val="20"/>
                <w:color w:val="auto"/>
              </w:rPr>
            </w:pPr>
          </w:p>
        </w:tc>
        <w:tc>
          <w:tcPr>
            <w:tcW w:w="1360" w:type="dxa"/>
            <w:vAlign w:val="bottom"/>
            <w:tcBorders>
              <w:bottom w:val="single" w:sz="8" w:color="auto"/>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jc w:val="center"/>
              <w:spacing w:after="0" w:line="170" w:lineRule="exact"/>
              <w:rPr>
                <w:sz w:val="20"/>
                <w:szCs w:val="20"/>
                <w:color w:val="auto"/>
              </w:rPr>
            </w:pPr>
            <w:r>
              <w:rPr>
                <w:rFonts w:ascii="Arial" w:cs="Arial" w:eastAsia="Arial" w:hAnsi="Arial"/>
                <w:sz w:val="18"/>
                <w:szCs w:val="18"/>
                <w:b w:val="1"/>
                <w:bCs w:val="1"/>
                <w:color w:val="auto"/>
                <w:w w:val="92"/>
              </w:rPr>
              <w:t>32(b)</w:t>
            </w:r>
          </w:p>
        </w:tc>
        <w:tc>
          <w:tcPr>
            <w:tcW w:w="160" w:type="dxa"/>
            <w:vAlign w:val="bottom"/>
          </w:tcPr>
          <w:p>
            <w:pPr>
              <w:spacing w:after="0"/>
              <w:rPr>
                <w:sz w:val="14"/>
                <w:szCs w:val="14"/>
                <w:color w:val="auto"/>
              </w:rPr>
            </w:pPr>
          </w:p>
        </w:tc>
        <w:tc>
          <w:tcPr>
            <w:tcW w:w="2540" w:type="dxa"/>
            <w:vAlign w:val="bottom"/>
            <w:tcBorders>
              <w:bottom w:val="single" w:sz="8" w:color="0000EE"/>
            </w:tcBorders>
            <w:gridSpan w:val="10"/>
          </w:tcPr>
          <w:p>
            <w:pPr>
              <w:spacing w:after="0" w:line="170"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Section 1350 Certification of Chief</w:t>
              </w:r>
            </w:hyperlink>
          </w:p>
        </w:tc>
        <w:tc>
          <w:tcPr>
            <w:tcW w:w="520" w:type="dxa"/>
            <w:vAlign w:val="bottom"/>
            <w:tcBorders>
              <w:right w:val="single" w:sz="8" w:color="auto"/>
            </w:tcBorders>
            <w:gridSpan w:val="10"/>
          </w:tcPr>
          <w:p>
            <w:pPr>
              <w:spacing w:after="0"/>
              <w:rPr>
                <w:sz w:val="14"/>
                <w:szCs w:val="14"/>
                <w:color w:val="auto"/>
              </w:rPr>
            </w:pP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6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14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tcBorders>
              <w:right w:val="single" w:sz="8" w:color="auto"/>
            </w:tcBorders>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Financial Officer</w:t>
              </w:r>
            </w:hyperlink>
          </w:p>
        </w:tc>
        <w:tc>
          <w:tcPr>
            <w:tcW w:w="1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6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1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8"/>
              </w:rPr>
              <w:t>101.ins</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0"/>
            <w:shd w:val="clear" w:color="auto" w:fill="CFF0FC"/>
          </w:tcPr>
          <w:p>
            <w:pPr>
              <w:spacing w:after="0"/>
              <w:rPr>
                <w:sz w:val="20"/>
                <w:szCs w:val="20"/>
                <w:color w:val="auto"/>
              </w:rPr>
            </w:pPr>
            <w:r>
              <w:rPr>
                <w:rFonts w:ascii="Arial" w:cs="Arial" w:eastAsia="Arial" w:hAnsi="Arial"/>
                <w:sz w:val="18"/>
                <w:szCs w:val="18"/>
                <w:color w:val="auto"/>
              </w:rPr>
              <w:t>Instance Document</w:t>
            </w:r>
          </w:p>
        </w:tc>
        <w:tc>
          <w:tcPr>
            <w:tcW w:w="1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101.sch</w:t>
            </w: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0"/>
          </w:tcPr>
          <w:p>
            <w:pPr>
              <w:spacing w:after="0"/>
              <w:rPr>
                <w:sz w:val="20"/>
                <w:szCs w:val="20"/>
                <w:color w:val="auto"/>
              </w:rPr>
            </w:pPr>
            <w:r>
              <w:rPr>
                <w:rFonts w:ascii="Arial" w:cs="Arial" w:eastAsia="Arial" w:hAnsi="Arial"/>
                <w:sz w:val="18"/>
                <w:szCs w:val="18"/>
                <w:color w:val="auto"/>
              </w:rPr>
              <w:t>XBRL Taxonomy Schema</w:t>
            </w:r>
          </w:p>
        </w:tc>
        <w:tc>
          <w:tcPr>
            <w:tcW w:w="1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89"/>
              </w:rPr>
              <w:t>101.cal</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0"/>
            <w:shd w:val="clear" w:color="auto" w:fill="CFF0FC"/>
          </w:tcPr>
          <w:p>
            <w:pPr>
              <w:spacing w:after="0"/>
              <w:rPr>
                <w:sz w:val="20"/>
                <w:szCs w:val="20"/>
                <w:color w:val="auto"/>
              </w:rPr>
            </w:pPr>
            <w:r>
              <w:rPr>
                <w:rFonts w:ascii="Arial" w:cs="Arial" w:eastAsia="Arial" w:hAnsi="Arial"/>
                <w:sz w:val="18"/>
                <w:szCs w:val="18"/>
                <w:color w:val="auto"/>
                <w:w w:val="98"/>
              </w:rPr>
              <w:t>XBRL Taxonomy Calculation Linkbase</w:t>
            </w:r>
          </w:p>
        </w:tc>
        <w:tc>
          <w:tcPr>
            <w:tcW w:w="1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101.Def</w:t>
            </w: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0"/>
          </w:tcPr>
          <w:p>
            <w:pPr>
              <w:spacing w:after="0"/>
              <w:rPr>
                <w:sz w:val="20"/>
                <w:szCs w:val="20"/>
                <w:color w:val="auto"/>
              </w:rPr>
            </w:pPr>
            <w:r>
              <w:rPr>
                <w:rFonts w:ascii="Arial" w:cs="Arial" w:eastAsia="Arial" w:hAnsi="Arial"/>
                <w:sz w:val="18"/>
                <w:szCs w:val="18"/>
                <w:color w:val="auto"/>
                <w:w w:val="96"/>
              </w:rPr>
              <w:t>XBRL Taxonomy Definitions Document</w:t>
            </w:r>
          </w:p>
        </w:tc>
        <w:tc>
          <w:tcPr>
            <w:tcW w:w="1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b w:val="1"/>
                <w:bCs w:val="1"/>
                <w:color w:val="auto"/>
                <w:w w:val="91"/>
              </w:rPr>
              <w:t>101.lab</w:t>
            </w:r>
          </w:p>
        </w:tc>
        <w:tc>
          <w:tcPr>
            <w:tcW w:w="160" w:type="dxa"/>
            <w:vAlign w:val="bottom"/>
            <w:tcBorders>
              <w:bottom w:val="single" w:sz="8" w:color="auto"/>
            </w:tcBorders>
            <w:shd w:val="clear" w:color="auto" w:fill="CFF0FC"/>
          </w:tcPr>
          <w:p>
            <w:pPr>
              <w:spacing w:after="0"/>
              <w:rPr>
                <w:sz w:val="18"/>
                <w:szCs w:val="18"/>
                <w:color w:val="auto"/>
              </w:rPr>
            </w:pPr>
          </w:p>
        </w:tc>
        <w:tc>
          <w:tcPr>
            <w:tcW w:w="3060" w:type="dxa"/>
            <w:vAlign w:val="bottom"/>
            <w:tcBorders>
              <w:bottom w:val="single" w:sz="8" w:color="auto"/>
              <w:right w:val="single" w:sz="8" w:color="auto"/>
            </w:tcBorders>
            <w:gridSpan w:val="20"/>
            <w:shd w:val="clear" w:color="auto" w:fill="CFF0FC"/>
          </w:tcPr>
          <w:p>
            <w:pPr>
              <w:spacing w:after="0"/>
              <w:rPr>
                <w:sz w:val="20"/>
                <w:szCs w:val="20"/>
                <w:color w:val="auto"/>
              </w:rPr>
            </w:pPr>
            <w:r>
              <w:rPr>
                <w:rFonts w:ascii="Arial" w:cs="Arial" w:eastAsia="Arial" w:hAnsi="Arial"/>
                <w:sz w:val="18"/>
                <w:szCs w:val="18"/>
                <w:color w:val="auto"/>
              </w:rPr>
              <w:t>XBRL Taxonomy Labels Linkbase</w:t>
            </w:r>
          </w:p>
        </w:tc>
        <w:tc>
          <w:tcPr>
            <w:tcW w:w="1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right w:val="single" w:sz="8" w:color="auto"/>
            </w:tcBorders>
            <w:shd w:val="clear" w:color="auto" w:fill="CFF0FC"/>
          </w:tcPr>
          <w:p>
            <w:pPr>
              <w:spacing w:after="0"/>
              <w:rPr>
                <w:sz w:val="18"/>
                <w:szCs w:val="18"/>
                <w:color w:val="auto"/>
              </w:rPr>
            </w:pPr>
          </w:p>
        </w:tc>
        <w:tc>
          <w:tcPr>
            <w:tcW w:w="13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101.pre</w:t>
            </w: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20"/>
          </w:tcPr>
          <w:p>
            <w:pPr>
              <w:spacing w:after="0"/>
              <w:rPr>
                <w:sz w:val="20"/>
                <w:szCs w:val="20"/>
                <w:color w:val="auto"/>
              </w:rPr>
            </w:pPr>
            <w:r>
              <w:rPr>
                <w:rFonts w:ascii="Arial" w:cs="Arial" w:eastAsia="Arial" w:hAnsi="Arial"/>
                <w:sz w:val="18"/>
                <w:szCs w:val="18"/>
                <w:color w:val="auto"/>
                <w:w w:val="94"/>
              </w:rPr>
              <w:t>XBRL Taxonomy Presentation Linkbase</w:t>
            </w:r>
          </w:p>
        </w:tc>
        <w:tc>
          <w:tcPr>
            <w:tcW w:w="1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Management compensation plans and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3" w:name="page64"/>
    <w:bookmarkEnd w:id="63"/>
    <w:p>
      <w:pPr>
        <w:ind w:right="5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62" w:lineRule="exact"/>
        <w:rPr>
          <w:rFonts w:ascii="Arial" w:cs="Arial" w:eastAsia="Arial" w:hAnsi="Arial"/>
          <w:sz w:val="18"/>
          <w:szCs w:val="18"/>
          <w:color w:val="auto"/>
        </w:rPr>
      </w:pPr>
    </w:p>
    <w:p>
      <w:pPr>
        <w:ind w:left="1040" w:right="12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17" w:lineRule="exact"/>
        <w:rPr>
          <w:rFonts w:ascii="Arial" w:cs="Arial" w:eastAsia="Arial" w:hAnsi="Arial"/>
          <w:sz w:val="18"/>
          <w:szCs w:val="18"/>
          <w:color w:val="auto"/>
        </w:rPr>
      </w:pPr>
    </w:p>
    <w:p>
      <w:pPr>
        <w:ind w:left="1040" w:right="4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we, our customers or our suppliers operate;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240" w:hanging="519"/>
        <w:spacing w:after="0" w:line="264"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73"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104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40" w:hanging="519"/>
        <w:spacing w:after="0" w:line="308"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38" w:lineRule="exact"/>
        <w:rPr>
          <w:rFonts w:ascii="Arial" w:cs="Arial" w:eastAsia="Arial" w:hAnsi="Arial"/>
          <w:sz w:val="17"/>
          <w:szCs w:val="17"/>
          <w:color w:val="auto"/>
        </w:rPr>
      </w:pPr>
    </w:p>
    <w:p>
      <w:pPr>
        <w:ind w:left="1040" w:right="3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4" w:name="page65"/>
    <w:bookmarkEnd w:id="64"/>
    <w:p>
      <w:pPr>
        <w:jc w:val="center"/>
        <w:ind w:right="-3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TEXAS INSTRUMENTS INCORPORATED</w:t>
      </w:r>
    </w:p>
    <w:p>
      <w:pPr>
        <w:spacing w:after="0" w:line="252" w:lineRule="exact"/>
        <w:rPr>
          <w:sz w:val="20"/>
          <w:szCs w:val="20"/>
          <w:color w:val="auto"/>
        </w:rPr>
      </w:pPr>
    </w:p>
    <w:p>
      <w:pPr>
        <w:ind w:left="6580"/>
        <w:spacing w:after="0"/>
        <w:tabs>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b w:val="1"/>
          <w:bCs w:val="1"/>
          <w:color w:val="auto"/>
        </w:rPr>
        <w:t>and 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65" w:name="page66"/>
    <w:bookmarkEnd w:id="65"/>
    <w:p>
      <w:pPr>
        <w:ind w:right="20"/>
        <w:spacing w:after="0" w:line="254" w:lineRule="auto"/>
        <w:rPr>
          <w:sz w:val="20"/>
          <w:szCs w:val="20"/>
          <w:color w:val="auto"/>
        </w:rPr>
      </w:pPr>
      <w:r>
        <w:rPr>
          <w:rFonts w:ascii="Arial" w:cs="Arial" w:eastAsia="Arial" w:hAnsi="Arial"/>
          <w:sz w:val="18"/>
          <w:szCs w:val="18"/>
          <w:color w:val="auto"/>
        </w:rPr>
        <w:t>Each person whose signature appears below constitutes and appoints each of Richard K. Templeton, Rafael R. Lizardi,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2017,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22nd day of February 2018.</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6"/>
                <w:szCs w:val="16"/>
                <w:b w:val="1"/>
                <w:bCs w:val="1"/>
                <w:color w:val="auto"/>
                <w:w w:val="89"/>
              </w:rPr>
              <w:t>Signature</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c>
          <w:tcPr>
            <w:tcW w:w="0" w:type="dxa"/>
            <w:vAlign w:val="bottom"/>
          </w:tcPr>
          <w:p>
            <w:pPr>
              <w:spacing w:after="0"/>
              <w:rPr>
                <w:sz w:val="1"/>
                <w:szCs w:val="1"/>
                <w:color w:val="auto"/>
              </w:rPr>
            </w:pPr>
          </w:p>
        </w:tc>
      </w:tr>
      <w:tr>
        <w:trPr>
          <w:trHeight w:val="334"/>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0"/>
              </w:rPr>
              <w:t>/s/ Ralph W. Babb, Jr.</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1"/>
              </w:rPr>
              <w:t>Ralph W. Babb, Jr.</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6"/>
              </w:rPr>
              <w:t>/s/ Mark A. Blinn</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9"/>
              </w:rPr>
              <w:t>Mark A. Blinn</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2"/>
              </w:rPr>
              <w:t>/s/ Todd M. Bluedorn</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2"/>
              </w:rPr>
              <w:t>Todd M. Bluedorn</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2"/>
              </w:rPr>
              <w:t>/s/ Daniel A. Carp</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5"/>
              </w:rPr>
              <w:t>Daniel A. Carp</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89"/>
              </w:rPr>
              <w:t>/s/ Janet F. Clark</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3"/>
              </w:rPr>
              <w:t>Janet F. Clark</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31"/>
              <w:spacing w:after="0"/>
              <w:rPr>
                <w:sz w:val="20"/>
                <w:szCs w:val="20"/>
                <w:color w:val="auto"/>
              </w:rPr>
            </w:pPr>
            <w:r>
              <w:rPr>
                <w:rFonts w:ascii="Arial" w:cs="Arial" w:eastAsia="Arial" w:hAnsi="Arial"/>
                <w:sz w:val="18"/>
                <w:szCs w:val="18"/>
                <w:color w:val="auto"/>
                <w:w w:val="90"/>
              </w:rPr>
              <w:t>/s/ Carrie S. Cox</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3"/>
              </w:rPr>
              <w:t>Carrie S. Cox</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0"/>
              </w:rPr>
              <w:t>/s/ Brian T. Crutcher</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3"/>
              </w:rPr>
              <w:t>Brian T. Crutcher</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1"/>
              </w:rPr>
              <w:t>Director, Executive Vice President and Chief Operating Officer</w:t>
            </w:r>
          </w:p>
        </w:tc>
        <w:tc>
          <w:tcPr>
            <w:tcW w:w="0" w:type="dxa"/>
            <w:vAlign w:val="bottom"/>
          </w:tcPr>
          <w:p>
            <w:pPr>
              <w:spacing w:after="0"/>
              <w:rPr>
                <w:sz w:val="1"/>
                <w:szCs w:val="1"/>
                <w:color w:val="auto"/>
              </w:rPr>
            </w:pPr>
          </w:p>
        </w:tc>
      </w:tr>
      <w:tr>
        <w:trPr>
          <w:trHeight w:val="340"/>
        </w:trPr>
        <w:tc>
          <w:tcPr>
            <w:tcW w:w="4700" w:type="dxa"/>
            <w:vAlign w:val="bottom"/>
            <w:tcBorders>
              <w:bottom w:val="single" w:sz="8" w:color="auto"/>
            </w:tcBorders>
          </w:tcPr>
          <w:p>
            <w:pPr>
              <w:jc w:val="center"/>
              <w:ind w:left="931"/>
              <w:spacing w:after="0"/>
              <w:rPr>
                <w:sz w:val="20"/>
                <w:szCs w:val="20"/>
                <w:color w:val="auto"/>
              </w:rPr>
            </w:pPr>
            <w:r>
              <w:rPr>
                <w:rFonts w:ascii="Arial" w:cs="Arial" w:eastAsia="Arial" w:hAnsi="Arial"/>
                <w:sz w:val="18"/>
                <w:szCs w:val="18"/>
                <w:color w:val="auto"/>
                <w:w w:val="90"/>
              </w:rPr>
              <w:t>/s/ Jean M. Hobby</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2"/>
              </w:rPr>
              <w:t>Jean M. Hobby</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333"/>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3"/>
              </w:rPr>
              <w:t>/s/ Ronald Kirk</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6"/>
              </w:rPr>
              <w:t>Ronald Kirk</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89"/>
              </w:rPr>
              <w:t>/s/ Pamela H. Patsley</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Pamela H. Patsley</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87"/>
              </w:rPr>
              <w:t>/s/ Robert E. Sanchez</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89"/>
              </w:rPr>
              <w:t>Robert E. Sanchez</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87"/>
              </w:rPr>
              <w:t>/s/ Wayne R. Sanders</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4700" w:type="dxa"/>
            <w:vAlign w:val="bottom"/>
          </w:tcPr>
          <w:p>
            <w:pPr>
              <w:jc w:val="center"/>
              <w:ind w:left="911"/>
              <w:spacing w:after="0"/>
              <w:rPr>
                <w:sz w:val="20"/>
                <w:szCs w:val="20"/>
                <w:color w:val="auto"/>
              </w:rPr>
            </w:pPr>
            <w:r>
              <w:rPr>
                <w:rFonts w:ascii="Arial" w:cs="Arial" w:eastAsia="Arial" w:hAnsi="Arial"/>
                <w:sz w:val="18"/>
                <w:szCs w:val="18"/>
                <w:b w:val="1"/>
                <w:bCs w:val="1"/>
                <w:color w:val="auto"/>
                <w:w w:val="90"/>
              </w:rPr>
              <w:t>Wayne R. Sanders</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4700" w:type="dxa"/>
            <w:vAlign w:val="bottom"/>
            <w:tcBorders>
              <w:bottom w:val="single" w:sz="8" w:color="auto"/>
            </w:tcBorders>
          </w:tcPr>
          <w:p>
            <w:pPr>
              <w:jc w:val="center"/>
              <w:ind w:left="911"/>
              <w:spacing w:after="0"/>
              <w:rPr>
                <w:sz w:val="20"/>
                <w:szCs w:val="20"/>
                <w:color w:val="auto"/>
              </w:rPr>
            </w:pPr>
            <w:r>
              <w:rPr>
                <w:rFonts w:ascii="Arial" w:cs="Arial" w:eastAsia="Arial" w:hAnsi="Arial"/>
                <w:sz w:val="18"/>
                <w:szCs w:val="18"/>
                <w:color w:val="auto"/>
                <w:w w:val="91"/>
              </w:rPr>
              <w:t>/s/ Richard K. Templeton</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0"/>
              </w:rPr>
              <w:t>Director, Chairman of the Board, President and</w:t>
            </w:r>
          </w:p>
        </w:tc>
        <w:tc>
          <w:tcPr>
            <w:tcW w:w="0" w:type="dxa"/>
            <w:vAlign w:val="bottom"/>
          </w:tcPr>
          <w:p>
            <w:pPr>
              <w:spacing w:after="0"/>
              <w:rPr>
                <w:sz w:val="1"/>
                <w:szCs w:val="1"/>
                <w:color w:val="auto"/>
              </w:rPr>
            </w:pPr>
          </w:p>
        </w:tc>
      </w:tr>
      <w:tr>
        <w:trPr>
          <w:trHeight w:val="195"/>
        </w:trPr>
        <w:tc>
          <w:tcPr>
            <w:tcW w:w="4700" w:type="dxa"/>
            <w:vAlign w:val="bottom"/>
          </w:tcPr>
          <w:p>
            <w:pPr>
              <w:jc w:val="center"/>
              <w:ind w:left="931"/>
              <w:spacing w:after="0" w:line="195" w:lineRule="exact"/>
              <w:rPr>
                <w:sz w:val="20"/>
                <w:szCs w:val="20"/>
                <w:color w:val="auto"/>
              </w:rPr>
            </w:pPr>
            <w:r>
              <w:rPr>
                <w:rFonts w:ascii="Arial" w:cs="Arial" w:eastAsia="Arial" w:hAnsi="Arial"/>
                <w:sz w:val="18"/>
                <w:szCs w:val="18"/>
                <w:b w:val="1"/>
                <w:bCs w:val="1"/>
                <w:color w:val="auto"/>
                <w:w w:val="92"/>
              </w:rPr>
              <w:t>Richard K. Templeton</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vMerge w:val="restart"/>
          </w:tcPr>
          <w:p>
            <w:pPr>
              <w:jc w:val="center"/>
              <w:ind w:left="911"/>
              <w:spacing w:after="0"/>
              <w:rPr>
                <w:sz w:val="20"/>
                <w:szCs w:val="20"/>
                <w:color w:val="auto"/>
              </w:rPr>
            </w:pPr>
            <w:r>
              <w:rPr>
                <w:rFonts w:ascii="Arial" w:cs="Arial" w:eastAsia="Arial" w:hAnsi="Arial"/>
                <w:sz w:val="18"/>
                <w:szCs w:val="18"/>
                <w:color w:val="auto"/>
                <w:w w:val="92"/>
              </w:rPr>
              <w:t>/s/ Rafael R. Lizardi</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520" w:type="dxa"/>
            <w:vAlign w:val="bottom"/>
            <w:vMerge w:val="restart"/>
          </w:tcPr>
          <w:p>
            <w:pPr>
              <w:jc w:val="center"/>
              <w:spacing w:after="0"/>
              <w:rPr>
                <w:sz w:val="20"/>
                <w:szCs w:val="20"/>
                <w:color w:val="auto"/>
              </w:rPr>
            </w:pPr>
            <w:r>
              <w:rPr>
                <w:rFonts w:ascii="Arial" w:cs="Arial" w:eastAsia="Arial" w:hAnsi="Arial"/>
                <w:sz w:val="18"/>
                <w:szCs w:val="18"/>
                <w:color w:val="auto"/>
                <w:w w:val="91"/>
              </w:rPr>
              <w:t>Senior Vice President, Chief Financial Officer and</w:t>
            </w:r>
          </w:p>
        </w:tc>
        <w:tc>
          <w:tcPr>
            <w:tcW w:w="0" w:type="dxa"/>
            <w:vAlign w:val="bottom"/>
          </w:tcPr>
          <w:p>
            <w:pPr>
              <w:spacing w:after="0"/>
              <w:rPr>
                <w:sz w:val="1"/>
                <w:szCs w:val="1"/>
                <w:color w:val="auto"/>
              </w:rPr>
            </w:pPr>
          </w:p>
        </w:tc>
      </w:tr>
      <w:tr>
        <w:trPr>
          <w:trHeight w:val="195"/>
        </w:trPr>
        <w:tc>
          <w:tcPr>
            <w:tcW w:w="4700" w:type="dxa"/>
            <w:vAlign w:val="bottom"/>
          </w:tcPr>
          <w:p>
            <w:pPr>
              <w:jc w:val="center"/>
              <w:ind w:left="911"/>
              <w:spacing w:after="0" w:line="195" w:lineRule="exact"/>
              <w:rPr>
                <w:sz w:val="20"/>
                <w:szCs w:val="20"/>
                <w:color w:val="auto"/>
              </w:rPr>
            </w:pPr>
            <w:r>
              <w:rPr>
                <w:rFonts w:ascii="Arial" w:cs="Arial" w:eastAsia="Arial" w:hAnsi="Arial"/>
                <w:sz w:val="18"/>
                <w:szCs w:val="18"/>
                <w:b w:val="1"/>
                <w:bCs w:val="1"/>
                <w:color w:val="auto"/>
                <w:w w:val="95"/>
              </w:rPr>
              <w:t>Rafael R. Lizardi</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c>
          <w:tcPr>
            <w:tcW w:w="0" w:type="dxa"/>
            <w:vAlign w:val="bottom"/>
          </w:tcPr>
          <w:p>
            <w:pPr>
              <w:spacing w:after="0"/>
              <w:rPr>
                <w:sz w:val="1"/>
                <w:szCs w:val="1"/>
                <w:color w:val="auto"/>
              </w:rPr>
            </w:pPr>
          </w:p>
        </w:tc>
      </w:tr>
      <w:tr>
        <w:trPr>
          <w:trHeight w:val="221"/>
        </w:trPr>
        <w:tc>
          <w:tcPr>
            <w:tcW w:w="4700" w:type="dxa"/>
            <w:vAlign w:val="bottom"/>
          </w:tcPr>
          <w:p>
            <w:pPr>
              <w:spacing w:after="0"/>
              <w:rPr>
                <w:sz w:val="20"/>
                <w:szCs w:val="20"/>
                <w:color w:val="auto"/>
              </w:rPr>
            </w:pPr>
            <w:r>
              <w:rPr>
                <w:rFonts w:ascii="Arial" w:cs="Arial" w:eastAsia="Arial" w:hAnsi="Arial"/>
                <w:sz w:val="11"/>
                <w:szCs w:val="11"/>
                <w:color w:val="auto"/>
              </w:rPr>
              <w:t>h</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7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5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w w:val="96"/>
              </w:rPr>
              <w:t>Exhibit 12</w:t>
            </w:r>
          </w:p>
        </w:tc>
        <w:tc>
          <w:tcPr>
            <w:tcW w:w="0" w:type="dxa"/>
            <w:vAlign w:val="bottom"/>
          </w:tcPr>
          <w:p>
            <w:pPr>
              <w:spacing w:after="0"/>
              <w:rPr>
                <w:sz w:val="1"/>
                <w:szCs w:val="1"/>
                <w:color w:val="auto"/>
              </w:rPr>
            </w:pPr>
          </w:p>
        </w:tc>
      </w:tr>
      <w:tr>
        <w:trPr>
          <w:trHeight w:val="425"/>
        </w:trPr>
        <w:tc>
          <w:tcPr>
            <w:tcW w:w="8120" w:type="dxa"/>
            <w:vAlign w:val="bottom"/>
            <w:gridSpan w:val="8"/>
          </w:tcPr>
          <w:p>
            <w:pPr>
              <w:jc w:val="center"/>
              <w:ind w:left="3199"/>
              <w:spacing w:after="0"/>
              <w:rPr>
                <w:sz w:val="20"/>
                <w:szCs w:val="20"/>
                <w:color w:val="auto"/>
              </w:rPr>
            </w:pPr>
            <w:r>
              <w:rPr>
                <w:rFonts w:ascii="Arial" w:cs="Arial" w:eastAsia="Arial" w:hAnsi="Arial"/>
                <w:sz w:val="16"/>
                <w:szCs w:val="16"/>
                <w:b w:val="1"/>
                <w:bCs w:val="1"/>
                <w:color w:val="auto"/>
                <w:w w:val="91"/>
              </w:rPr>
              <w:t>Texas Instruments Incorporated and Subsidiaries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20" w:type="dxa"/>
            <w:vAlign w:val="bottom"/>
            <w:gridSpan w:val="8"/>
          </w:tcPr>
          <w:p>
            <w:pPr>
              <w:jc w:val="center"/>
              <w:ind w:left="3199"/>
              <w:spacing w:after="0"/>
              <w:rPr>
                <w:sz w:val="20"/>
                <w:szCs w:val="20"/>
                <w:color w:val="auto"/>
              </w:rPr>
            </w:pPr>
            <w:r>
              <w:rPr>
                <w:rFonts w:ascii="Arial" w:cs="Arial" w:eastAsia="Arial" w:hAnsi="Arial"/>
                <w:sz w:val="16"/>
                <w:szCs w:val="16"/>
                <w:b w:val="1"/>
                <w:bCs w:val="1"/>
                <w:color w:val="auto"/>
                <w:w w:val="91"/>
              </w:rPr>
              <w:t>Computation of Ratio of Earnings to Fixed Charges</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2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(Millions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6"/>
                <w:szCs w:val="16"/>
                <w:b w:val="1"/>
                <w:bCs w:val="1"/>
                <w:color w:val="auto"/>
              </w:rPr>
              <w:t>For Years Ended December 31,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68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6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2015</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2013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FF0FC"/>
          </w:tcPr>
          <w:p>
            <w:pPr>
              <w:ind w:left="60"/>
              <w:spacing w:after="0"/>
              <w:rPr>
                <w:sz w:val="20"/>
                <w:szCs w:val="20"/>
                <w:color w:val="auto"/>
              </w:rPr>
            </w:pPr>
            <w:r>
              <w:rPr>
                <w:rFonts w:ascii="Arial" w:cs="Arial" w:eastAsia="Arial" w:hAnsi="Arial"/>
                <w:sz w:val="16"/>
                <w:szCs w:val="16"/>
                <w:b w:val="1"/>
                <w:bCs w:val="1"/>
                <w:color w:val="auto"/>
              </w:rPr>
              <w:t>Earnings:</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60"/>
              <w:spacing w:after="0"/>
              <w:rPr>
                <w:sz w:val="20"/>
                <w:szCs w:val="20"/>
                <w:color w:val="auto"/>
              </w:rPr>
            </w:pPr>
            <w:r>
              <w:rPr>
                <w:rFonts w:ascii="Arial" w:cs="Arial" w:eastAsia="Arial" w:hAnsi="Arial"/>
                <w:sz w:val="16"/>
                <w:szCs w:val="16"/>
                <w:color w:val="auto"/>
              </w:rPr>
              <w:t>Income before income taxes</w:t>
            </w:r>
          </w:p>
        </w:tc>
        <w:tc>
          <w:tcPr>
            <w:tcW w:w="132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6,080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4,930</w:t>
            </w:r>
          </w:p>
        </w:tc>
        <w:tc>
          <w:tcPr>
            <w:tcW w:w="16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4,216</w:t>
            </w:r>
          </w:p>
        </w:tc>
        <w:tc>
          <w:tcPr>
            <w:tcW w:w="80" w:type="dxa"/>
            <w:vAlign w:val="bottom"/>
          </w:tcPr>
          <w:p>
            <w:pPr>
              <w:spacing w:after="0"/>
              <w:rPr>
                <w:sz w:val="17"/>
                <w:szCs w:val="17"/>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3,874</w:t>
            </w:r>
          </w:p>
        </w:tc>
        <w:tc>
          <w:tcPr>
            <w:tcW w:w="30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Equity method investments (gains) and losses</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60"/>
              <w:spacing w:after="0"/>
              <w:rPr>
                <w:sz w:val="20"/>
                <w:szCs w:val="20"/>
                <w:color w:val="auto"/>
              </w:rPr>
            </w:pPr>
            <w:r>
              <w:rPr>
                <w:rFonts w:ascii="Arial" w:cs="Arial" w:eastAsia="Arial" w:hAnsi="Arial"/>
                <w:sz w:val="16"/>
                <w:szCs w:val="16"/>
                <w:color w:val="auto"/>
              </w:rPr>
              <w:t>Add:</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Fixed charges (from below)</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88</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107</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240"/>
              <w:spacing w:after="0"/>
              <w:rPr>
                <w:sz w:val="20"/>
                <w:szCs w:val="20"/>
                <w:color w:val="auto"/>
              </w:rPr>
            </w:pPr>
            <w:r>
              <w:rPr>
                <w:rFonts w:ascii="Arial" w:cs="Arial" w:eastAsia="Arial" w:hAnsi="Arial"/>
                <w:sz w:val="16"/>
                <w:szCs w:val="16"/>
                <w:color w:val="auto"/>
              </w:rPr>
              <w:t>Amortization of capitalized interest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Distributed income from equity investees</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60"/>
              <w:spacing w:after="0"/>
              <w:rPr>
                <w:sz w:val="20"/>
                <w:szCs w:val="20"/>
                <w:color w:val="auto"/>
              </w:rPr>
            </w:pPr>
            <w:r>
              <w:rPr>
                <w:rFonts w:ascii="Arial" w:cs="Arial" w:eastAsia="Arial" w:hAnsi="Arial"/>
                <w:sz w:val="16"/>
                <w:szCs w:val="16"/>
                <w:color w:val="auto"/>
              </w:rPr>
              <w:t>Subtract: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Capitalized interest</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80" w:type="dxa"/>
            <w:vAlign w:val="bottom"/>
            <w:tcBorders>
              <w:bottom w:val="single" w:sz="8" w:color="CFF0FC"/>
            </w:tcBorders>
          </w:tcPr>
          <w:p>
            <w:pPr>
              <w:ind w:left="60"/>
              <w:spacing w:after="0"/>
              <w:rPr>
                <w:sz w:val="20"/>
                <w:szCs w:val="20"/>
                <w:color w:val="auto"/>
              </w:rPr>
            </w:pPr>
            <w:r>
              <w:rPr>
                <w:rFonts w:ascii="Arial" w:cs="Arial" w:eastAsia="Arial" w:hAnsi="Arial"/>
                <w:sz w:val="16"/>
                <w:szCs w:val="16"/>
                <w:color w:val="auto"/>
              </w:rPr>
              <w:t>Total earnings</w:t>
            </w:r>
          </w:p>
        </w:tc>
        <w:tc>
          <w:tcPr>
            <w:tcW w:w="110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6,169</w:t>
            </w:r>
          </w:p>
        </w:tc>
        <w:tc>
          <w:tcPr>
            <w:tcW w:w="1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5,016</w:t>
            </w:r>
          </w:p>
        </w:tc>
        <w:tc>
          <w:tcPr>
            <w:tcW w:w="1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4,315</w:t>
            </w: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3,981</w:t>
            </w:r>
          </w:p>
        </w:tc>
        <w:tc>
          <w:tcPr>
            <w:tcW w:w="8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60"/>
              <w:spacing w:after="0"/>
              <w:rPr>
                <w:sz w:val="20"/>
                <w:szCs w:val="20"/>
                <w:color w:val="auto"/>
              </w:rPr>
            </w:pPr>
            <w:r>
              <w:rPr>
                <w:rFonts w:ascii="Arial" w:cs="Arial" w:eastAsia="Arial" w:hAnsi="Arial"/>
                <w:sz w:val="16"/>
                <w:szCs w:val="16"/>
                <w:b w:val="1"/>
                <w:bCs w:val="1"/>
                <w:color w:val="auto"/>
              </w:rPr>
              <w:t>Fixed Charges: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Total gross interest on debt (expensed)</w:t>
            </w:r>
          </w:p>
        </w:tc>
        <w:tc>
          <w:tcPr>
            <w:tcW w:w="132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78</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103</w:t>
            </w:r>
          </w:p>
        </w:tc>
        <w:tc>
          <w:tcPr>
            <w:tcW w:w="3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60"/>
              <w:spacing w:after="0"/>
              <w:rPr>
                <w:sz w:val="20"/>
                <w:szCs w:val="20"/>
                <w:color w:val="auto"/>
              </w:rPr>
            </w:pPr>
            <w:r>
              <w:rPr>
                <w:rFonts w:ascii="Arial" w:cs="Arial" w:eastAsia="Arial" w:hAnsi="Arial"/>
                <w:sz w:val="16"/>
                <w:szCs w:val="16"/>
                <w:color w:val="auto"/>
              </w:rPr>
              <w:t>Capitalized interest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60"/>
              <w:spacing w:after="0"/>
              <w:rPr>
                <w:sz w:val="20"/>
                <w:szCs w:val="20"/>
                <w:color w:val="auto"/>
              </w:rPr>
            </w:pPr>
            <w:r>
              <w:rPr>
                <w:rFonts w:ascii="Arial" w:cs="Arial" w:eastAsia="Arial" w:hAnsi="Arial"/>
                <w:sz w:val="16"/>
                <w:szCs w:val="16"/>
                <w:color w:val="auto"/>
                <w:w w:val="97"/>
              </w:rPr>
              <w:t>Amortization of debt discounts, premiums and debt issuance costs</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60"/>
              <w:spacing w:after="0"/>
              <w:rPr>
                <w:sz w:val="20"/>
                <w:szCs w:val="20"/>
                <w:color w:val="auto"/>
              </w:rPr>
            </w:pPr>
            <w:r>
              <w:rPr>
                <w:rFonts w:ascii="Arial" w:cs="Arial" w:eastAsia="Arial" w:hAnsi="Arial"/>
                <w:sz w:val="16"/>
                <w:szCs w:val="16"/>
                <w:color w:val="auto"/>
              </w:rPr>
              <w:t>Estimated interest element of rental and lease expense</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CFF0FC"/>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Total fixed charges</w:t>
            </w:r>
          </w:p>
        </w:tc>
        <w:tc>
          <w:tcPr>
            <w:tcW w:w="110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88</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w:t>
            </w: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60"/>
              <w:spacing w:after="0"/>
              <w:rPr>
                <w:sz w:val="20"/>
                <w:szCs w:val="20"/>
                <w:color w:val="auto"/>
              </w:rPr>
            </w:pPr>
            <w:r>
              <w:rPr>
                <w:rFonts w:ascii="Arial" w:cs="Arial" w:eastAsia="Arial" w:hAnsi="Arial"/>
                <w:sz w:val="16"/>
                <w:szCs w:val="16"/>
                <w:color w:val="auto"/>
              </w:rPr>
              <w:t>Ratio of earnings to fixed charges</w:t>
            </w:r>
          </w:p>
        </w:tc>
        <w:tc>
          <w:tcPr>
            <w:tcW w:w="1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b w:val="1"/>
                <w:bCs w:val="1"/>
                <w:color w:val="auto"/>
              </w:rPr>
              <w:t>70.1</w:t>
            </w: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37.2</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1440" w:gutter="0" w:footer="0" w:header="0"/>
        </w:sectPr>
      </w:pPr>
    </w:p>
    <w:bookmarkStart w:id="67" w:name="page68"/>
    <w:bookmarkEnd w:id="67"/>
    <w:p>
      <w:pPr>
        <w:ind w:left="10660"/>
        <w:spacing w:after="0"/>
        <w:rPr>
          <w:sz w:val="20"/>
          <w:szCs w:val="20"/>
          <w:color w:val="auto"/>
        </w:rPr>
      </w:pPr>
      <w:r>
        <w:rPr>
          <w:rFonts w:ascii="Arial" w:cs="Arial" w:eastAsia="Arial" w:hAnsi="Arial"/>
          <w:sz w:val="17"/>
          <w:szCs w:val="17"/>
          <w:u w:val="single" w:color="auto"/>
          <w:color w:val="auto"/>
        </w:rPr>
        <w:t>Exhibit 21</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TEXAS INSTRUMENTS INCORPORATED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LIST OF SUBSIDIARIES OF THE 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The following are subsidiaries of the Registrant as of December 31, 2017.</w:t>
            </w: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05"/>
        </w:trPr>
        <w:tc>
          <w:tcPr>
            <w:tcW w:w="4080" w:type="dxa"/>
            <w:vAlign w:val="bottom"/>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450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Where Organized</w:t>
            </w:r>
          </w:p>
        </w:tc>
      </w:tr>
      <w:tr>
        <w:trPr>
          <w:trHeight w:val="222"/>
        </w:trPr>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ActSolar, Inc.</w:t>
            </w:r>
          </w:p>
        </w:tc>
        <w:tc>
          <w:tcPr>
            <w:tcW w:w="450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500" w:type="dxa"/>
            <w:vAlign w:val="bottom"/>
          </w:tcPr>
          <w:p>
            <w:pPr>
              <w:spacing w:after="0"/>
              <w:rPr>
                <w:sz w:val="19"/>
                <w:szCs w:val="19"/>
                <w:color w:val="auto"/>
              </w:rPr>
            </w:pP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Hawaii</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(I.C.)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2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8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Hong Kong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Malaysia LLC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National Semiconductor (Pte)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India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86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(U.K.) Pension Trust Company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8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Australia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Benelux B.V.</w:t>
            </w:r>
          </w:p>
        </w:tc>
        <w:tc>
          <w:tcPr>
            <w:tcW w:w="28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Canada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86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860" w:type="dxa"/>
            <w:vAlign w:val="bottom"/>
            <w:gridSpan w:val="2"/>
          </w:tcPr>
          <w:p>
            <w:pPr>
              <w:spacing w:after="0"/>
              <w:rPr>
                <w:sz w:val="20"/>
                <w:szCs w:val="20"/>
                <w:color w:val="auto"/>
              </w:rPr>
            </w:pPr>
            <w:r>
              <w:rPr>
                <w:rFonts w:ascii="Arial" w:cs="Arial" w:eastAsia="Arial" w:hAnsi="Arial"/>
                <w:sz w:val="18"/>
                <w:szCs w:val="18"/>
                <w:color w:val="auto"/>
              </w:rPr>
              <w:t>Czech Republic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860" w:type="dxa"/>
            <w:vAlign w:val="bottom"/>
            <w:gridSpan w:val="2"/>
          </w:tcPr>
          <w:p>
            <w:pPr>
              <w:spacing w:after="0"/>
              <w:rPr>
                <w:sz w:val="20"/>
                <w:szCs w:val="20"/>
                <w:color w:val="auto"/>
              </w:rPr>
            </w:pPr>
            <w:r>
              <w:rPr>
                <w:rFonts w:ascii="Arial" w:cs="Arial" w:eastAsia="Arial" w:hAnsi="Arial"/>
                <w:sz w:val="18"/>
                <w:szCs w:val="18"/>
                <w:color w:val="auto"/>
              </w:rPr>
              <w:t>Mexico</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Denmark A/S</w:t>
            </w:r>
          </w:p>
        </w:tc>
        <w:tc>
          <w:tcPr>
            <w:tcW w:w="2860" w:type="dxa"/>
            <w:vAlign w:val="bottom"/>
            <w:gridSpan w:val="2"/>
          </w:tcPr>
          <w:p>
            <w:pPr>
              <w:spacing w:after="0"/>
              <w:rPr>
                <w:sz w:val="20"/>
                <w:szCs w:val="20"/>
                <w:color w:val="auto"/>
              </w:rPr>
            </w:pPr>
            <w:r>
              <w:rPr>
                <w:rFonts w:ascii="Arial" w:cs="Arial" w:eastAsia="Arial" w:hAnsi="Arial"/>
                <w:sz w:val="18"/>
                <w:szCs w:val="18"/>
                <w:color w:val="auto"/>
              </w:rPr>
              <w:t>Denmark</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86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86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8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860" w:type="dxa"/>
            <w:vAlign w:val="bottom"/>
            <w:gridSpan w:val="2"/>
          </w:tcPr>
          <w:p>
            <w:pPr>
              <w:spacing w:after="0"/>
              <w:rPr>
                <w:sz w:val="20"/>
                <w:szCs w:val="20"/>
                <w:color w:val="auto"/>
              </w:rPr>
            </w:pPr>
            <w:r>
              <w:rPr>
                <w:rFonts w:ascii="Arial" w:cs="Arial" w:eastAsia="Arial" w:hAnsi="Arial"/>
                <w:sz w:val="18"/>
                <w:szCs w:val="18"/>
                <w:color w:val="auto"/>
              </w:rPr>
              <w:t>Finland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France SAS</w:t>
            </w:r>
          </w:p>
        </w:tc>
        <w:tc>
          <w:tcPr>
            <w:tcW w:w="2860" w:type="dxa"/>
            <w:vAlign w:val="bottom"/>
            <w:gridSpan w:val="2"/>
          </w:tcPr>
          <w:p>
            <w:pPr>
              <w:spacing w:after="0"/>
              <w:rPr>
                <w:sz w:val="20"/>
                <w:szCs w:val="20"/>
                <w:color w:val="auto"/>
              </w:rPr>
            </w:pPr>
            <w:r>
              <w:rPr>
                <w:rFonts w:ascii="Arial" w:cs="Arial" w:eastAsia="Arial" w:hAnsi="Arial"/>
                <w:sz w:val="18"/>
                <w:szCs w:val="18"/>
                <w:color w:val="auto"/>
              </w:rPr>
              <w:t>France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286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286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561"/>
        </w:trPr>
        <w:tc>
          <w:tcPr>
            <w:tcW w:w="408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4500" w:type="dxa"/>
            <w:vAlign w:val="bottom"/>
          </w:tcPr>
          <w:p>
            <w:pPr>
              <w:spacing w:after="0"/>
              <w:rPr>
                <w:sz w:val="17"/>
                <w:szCs w:val="17"/>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Where Organized</w:t>
            </w:r>
          </w:p>
        </w:tc>
      </w:tr>
      <w:tr>
        <w:trPr>
          <w:trHeight w:val="222"/>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1360" w:type="dxa"/>
            <w:vAlign w:val="bottom"/>
          </w:tcPr>
          <w:p>
            <w:pPr>
              <w:spacing w:after="0"/>
              <w:rPr>
                <w:sz w:val="20"/>
                <w:szCs w:val="20"/>
                <w:color w:val="auto"/>
              </w:rPr>
            </w:pPr>
            <w:r>
              <w:rPr>
                <w:rFonts w:ascii="Arial" w:cs="Arial" w:eastAsia="Arial" w:hAnsi="Arial"/>
                <w:sz w:val="18"/>
                <w:szCs w:val="18"/>
                <w:color w:val="auto"/>
              </w:rPr>
              <w:t>Hong Kong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1360" w:type="dxa"/>
            <w:vAlign w:val="bottom"/>
          </w:tcPr>
          <w:p>
            <w:pPr>
              <w:spacing w:after="0"/>
              <w:rPr>
                <w:sz w:val="20"/>
                <w:szCs w:val="20"/>
                <w:color w:val="auto"/>
              </w:rPr>
            </w:pPr>
            <w:r>
              <w:rPr>
                <w:rFonts w:ascii="Arial" w:cs="Arial" w:eastAsia="Arial" w:hAnsi="Arial"/>
                <w:sz w:val="18"/>
                <w:szCs w:val="18"/>
                <w:color w:val="auto"/>
              </w:rPr>
              <w:t>Hungary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136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International Management Company B.V.</w:t>
            </w:r>
          </w:p>
        </w:tc>
        <w:tc>
          <w:tcPr>
            <w:tcW w:w="13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136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Ireland Trading Limited</w:t>
            </w:r>
          </w:p>
        </w:tc>
        <w:tc>
          <w:tcPr>
            <w:tcW w:w="1360" w:type="dxa"/>
            <w:vAlign w:val="bottom"/>
          </w:tcPr>
          <w:p>
            <w:pPr>
              <w:spacing w:after="0"/>
              <w:rPr>
                <w:sz w:val="20"/>
                <w:szCs w:val="20"/>
                <w:color w:val="auto"/>
              </w:rPr>
            </w:pPr>
            <w:r>
              <w:rPr>
                <w:rFonts w:ascii="Arial" w:cs="Arial" w:eastAsia="Arial" w:hAnsi="Arial"/>
                <w:sz w:val="18"/>
                <w:szCs w:val="18"/>
                <w:color w:val="auto"/>
              </w:rPr>
              <w:t>Ireland</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1360" w:type="dxa"/>
            <w:vAlign w:val="bottom"/>
          </w:tcPr>
          <w:p>
            <w:pPr>
              <w:spacing w:after="0"/>
              <w:rPr>
                <w:sz w:val="20"/>
                <w:szCs w:val="20"/>
                <w:color w:val="auto"/>
              </w:rPr>
            </w:pPr>
            <w:r>
              <w:rPr>
                <w:rFonts w:ascii="Arial" w:cs="Arial" w:eastAsia="Arial" w:hAnsi="Arial"/>
                <w:sz w:val="18"/>
                <w:szCs w:val="18"/>
                <w:color w:val="auto"/>
              </w:rPr>
              <w:t>Israel</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136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136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1360" w:type="dxa"/>
            <w:vAlign w:val="bottom"/>
          </w:tcPr>
          <w:p>
            <w:pPr>
              <w:spacing w:after="0"/>
              <w:rPr>
                <w:sz w:val="20"/>
                <w:szCs w:val="20"/>
                <w:color w:val="auto"/>
              </w:rPr>
            </w:pPr>
            <w:r>
              <w:rPr>
                <w:rFonts w:ascii="Arial" w:cs="Arial" w:eastAsia="Arial" w:hAnsi="Arial"/>
                <w:sz w:val="18"/>
                <w:szCs w:val="18"/>
                <w:color w:val="auto"/>
              </w:rPr>
              <w:t>Korea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1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136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13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1360" w:type="dxa"/>
            <w:vAlign w:val="bottom"/>
          </w:tcPr>
          <w:p>
            <w:pPr>
              <w:spacing w:after="0"/>
              <w:rPr>
                <w:sz w:val="20"/>
                <w:szCs w:val="20"/>
                <w:color w:val="auto"/>
              </w:rPr>
            </w:pPr>
            <w:r>
              <w:rPr>
                <w:rFonts w:ascii="Arial" w:cs="Arial" w:eastAsia="Arial" w:hAnsi="Arial"/>
                <w:sz w:val="18"/>
                <w:szCs w:val="18"/>
                <w:color w:val="auto"/>
              </w:rPr>
              <w:t>Norway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1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136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13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1360" w:type="dxa"/>
            <w:vAlign w:val="bottom"/>
          </w:tcPr>
          <w:p>
            <w:pPr>
              <w:spacing w:after="0"/>
              <w:rPr>
                <w:sz w:val="20"/>
                <w:szCs w:val="20"/>
                <w:color w:val="auto"/>
              </w:rPr>
            </w:pPr>
            <w:r>
              <w:rPr>
                <w:rFonts w:ascii="Arial" w:cs="Arial" w:eastAsia="Arial" w:hAnsi="Arial"/>
                <w:sz w:val="18"/>
                <w:szCs w:val="18"/>
                <w:color w:val="auto"/>
              </w:rPr>
              <w:t>PRC</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136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Semicondutores e Tecnologias Ltda.</w:t>
            </w:r>
          </w:p>
        </w:tc>
        <w:tc>
          <w:tcPr>
            <w:tcW w:w="136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136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Sweden AB</w:t>
            </w:r>
          </w:p>
        </w:tc>
        <w:tc>
          <w:tcPr>
            <w:tcW w:w="1360" w:type="dxa"/>
            <w:vAlign w:val="bottom"/>
          </w:tcPr>
          <w:p>
            <w:pPr>
              <w:spacing w:after="0"/>
              <w:rPr>
                <w:sz w:val="20"/>
                <w:szCs w:val="20"/>
                <w:color w:val="auto"/>
              </w:rPr>
            </w:pPr>
            <w:r>
              <w:rPr>
                <w:rFonts w:ascii="Arial" w:cs="Arial" w:eastAsia="Arial" w:hAnsi="Arial"/>
                <w:sz w:val="18"/>
                <w:szCs w:val="18"/>
                <w:color w:val="auto"/>
              </w:rPr>
              <w:t>Sweden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1360" w:type="dxa"/>
            <w:vAlign w:val="bottom"/>
          </w:tcPr>
          <w:p>
            <w:pPr>
              <w:spacing w:after="0"/>
              <w:rPr>
                <w:sz w:val="20"/>
                <w:szCs w:val="20"/>
                <w:color w:val="auto"/>
              </w:rPr>
            </w:pPr>
            <w:r>
              <w:rPr>
                <w:rFonts w:ascii="Arial" w:cs="Arial" w:eastAsia="Arial" w:hAnsi="Arial"/>
                <w:sz w:val="18"/>
                <w:szCs w:val="18"/>
                <w:color w:val="auto"/>
              </w:rPr>
              <w:t>Taiwan</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136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136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TI Europe B.V.</w:t>
            </w:r>
          </w:p>
        </w:tc>
        <w:tc>
          <w:tcPr>
            <w:tcW w:w="136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TI Europe Limited</w:t>
            </w:r>
          </w:p>
        </w:tc>
        <w:tc>
          <w:tcPr>
            <w:tcW w:w="136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TI Verwaltungs GmbH</w:t>
            </w:r>
          </w:p>
        </w:tc>
        <w:tc>
          <w:tcPr>
            <w:tcW w:w="136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1360" w:type="dxa"/>
            <w:vAlign w:val="bottom"/>
          </w:tcPr>
          <w:p>
            <w:pPr>
              <w:spacing w:after="0"/>
              <w:rPr>
                <w:sz w:val="20"/>
                <w:szCs w:val="20"/>
                <w:color w:val="auto"/>
              </w:rPr>
            </w:pPr>
            <w:r>
              <w:rPr>
                <w:rFonts w:ascii="Arial" w:cs="Arial" w:eastAsia="Arial" w:hAnsi="Arial"/>
                <w:sz w:val="18"/>
                <w:szCs w:val="18"/>
                <w:color w:val="auto"/>
              </w:rPr>
              <w:t>Maryland</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Unitrode-Maine</w:t>
            </w:r>
          </w:p>
        </w:tc>
        <w:tc>
          <w:tcPr>
            <w:tcW w:w="1360" w:type="dxa"/>
            <w:vAlign w:val="bottom"/>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219"/>
          </w:cols>
          <w:pgMar w:left="240" w:top="338"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consent to the incorporation by reference in the following registration statements of Texas Instruments Incorporated and in the related prospectuses of our reports dated February 22, 2018, with respect to the consolidated financial statements of Texas Instruments Incorporated, and the effectiveness of internal control over financial reporting of Texas Instruments Incorporated, included in this Annual Report on Form 10-K for the year ended December 31, 2017: Registration Statements (Forms S-8) No. 333-158933, No. 333-158934, No. 33-42172, No. 33-54615, No. 33-61154, No. 333-07127 (as amended), No. 333-41913, No. 333-41919, No. 333-31321 (as amended), No. 333-31323, No. 333-48389, No. 333-44662, No. 333-107759, No. 333-107760, No. 333-107761, No. 333-127021, No. 333-177235, No. 333-195692 and No. 333-211111; Registration Statements (Forms S-3) No. 333-165045, No. 333-186803 and No.</w:t>
      </w:r>
    </w:p>
    <w:p>
      <w:pPr>
        <w:spacing w:after="0" w:line="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333-209678; and Registration Statements (Forms S-4) No. 333-89433 (as amended), No. 333-87199, No. 333-80157 (as amended), and No. 333-41030 (as amended).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12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600" w:hanging="592"/>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right="80" w:firstLine="6"/>
        <w:spacing w:after="0" w:line="264" w:lineRule="auto"/>
        <w:tabs>
          <w:tab w:leader="none" w:pos="8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300" w:firstLine="6"/>
        <w:spacing w:after="0" w:line="264" w:lineRule="auto"/>
        <w:tabs>
          <w:tab w:leader="none" w:pos="8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860" w:firstLine="6"/>
        <w:spacing w:after="0" w:line="342" w:lineRule="auto"/>
        <w:tabs>
          <w:tab w:leader="none" w:pos="845"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00" w:right="320" w:firstLine="6"/>
        <w:spacing w:after="0" w:line="264" w:lineRule="auto"/>
        <w:tabs>
          <w:tab w:leader="none" w:pos="8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260" w:firstLine="6"/>
        <w:spacing w:after="0" w:line="277" w:lineRule="auto"/>
        <w:tabs>
          <w:tab w:leader="none" w:pos="84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00" w:right="200" w:firstLine="6"/>
        <w:spacing w:after="0" w:line="277" w:lineRule="auto"/>
        <w:tabs>
          <w:tab w:leader="none" w:pos="85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5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Richard K. Templeton</w:t>
      </w:r>
    </w:p>
    <w:p>
      <w:pPr>
        <w:spacing w:after="0" w:line="27"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Chairman, President and</w:t>
      </w:r>
    </w:p>
    <w:p>
      <w:pPr>
        <w:spacing w:after="0" w:line="23"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00" w:right="340" w:hanging="592"/>
        <w:spacing w:after="0" w:line="264" w:lineRule="auto"/>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00" w:right="80" w:firstLine="6"/>
        <w:spacing w:after="0" w:line="264" w:lineRule="auto"/>
        <w:tabs>
          <w:tab w:leader="none" w:pos="84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600" w:right="300" w:firstLine="6"/>
        <w:spacing w:after="0" w:line="264" w:lineRule="auto"/>
        <w:tabs>
          <w:tab w:leader="none" w:pos="8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600" w:right="860" w:firstLine="6"/>
        <w:spacing w:after="0" w:line="342" w:lineRule="auto"/>
        <w:tabs>
          <w:tab w:leader="none" w:pos="845"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600" w:right="320" w:firstLine="6"/>
        <w:spacing w:after="0" w:line="264" w:lineRule="auto"/>
        <w:tabs>
          <w:tab w:leader="none" w:pos="8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00" w:right="260" w:firstLine="6"/>
        <w:spacing w:after="0" w:line="277" w:lineRule="auto"/>
        <w:tabs>
          <w:tab w:leader="none" w:pos="84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600" w:right="200" w:firstLine="6"/>
        <w:spacing w:after="0" w:line="277" w:lineRule="auto"/>
        <w:tabs>
          <w:tab w:leader="none" w:pos="855"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5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6"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Rafael R. Lizardi</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chairman, president and chief executive officer of Texas Instruments Incorporated (the “Company”), hereby certifies that, to his knowledge:</w:t>
      </w:r>
    </w:p>
    <w:p>
      <w:pPr>
        <w:spacing w:after="0" w:line="124" w:lineRule="exact"/>
        <w:rPr>
          <w:sz w:val="20"/>
          <w:szCs w:val="20"/>
          <w:color w:val="auto"/>
        </w:rPr>
      </w:pPr>
    </w:p>
    <w:p>
      <w:pPr>
        <w:ind w:left="660" w:right="100" w:firstLine="6"/>
        <w:spacing w:after="0" w:line="342" w:lineRule="auto"/>
        <w:tabs>
          <w:tab w:leader="none" w:pos="87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2017,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940" w:hanging="274"/>
        <w:spacing w:after="0"/>
        <w:tabs>
          <w:tab w:leader="none" w:pos="9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 Richard K. Templeton</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Chairman, President and</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5"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47" w:lineRule="exact"/>
        <w:rPr>
          <w:sz w:val="20"/>
          <w:szCs w:val="20"/>
          <w:color w:val="auto"/>
        </w:rPr>
      </w:pPr>
    </w:p>
    <w:p>
      <w:pPr>
        <w:ind w:left="660" w:right="100" w:firstLine="6"/>
        <w:spacing w:after="0" w:line="342" w:lineRule="auto"/>
        <w:tabs>
          <w:tab w:leader="none" w:pos="87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2017,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940" w:hanging="274"/>
        <w:spacing w:after="0"/>
        <w:tabs>
          <w:tab w:leader="none" w:pos="9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2018</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Rafael R. Lizardi</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b w:val="1"/>
          <w:bCs w:val="1"/>
          <w:color w:val="auto"/>
        </w:rPr>
        <w:t>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lowerLetter"/>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lvl w:ilvl="1">
      <w:lvlJc w:val="left"/>
      <w:lvlText w:val="o"/>
      <w:numFmt w:val="bullet"/>
      <w:start w:val="1"/>
    </w:lvl>
  </w:abstractNum>
  <w:abstractNum w:abstractNumId="11">
    <w:nsid w:val="71F32454"/>
    <w:multiLevelType w:val="hybridMultilevel"/>
    <w:lvl w:ilvl="0">
      <w:lvlJc w:val="left"/>
      <w:lvlText w:val="(%1)"/>
      <w:numFmt w:val="lowerLetter"/>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decimal"/>
      <w:start w:val="2"/>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1"/>
    </w:lvl>
  </w:abstractNum>
  <w:abstractNum w:abstractNumId="21">
    <w:nsid w:val="22221A70"/>
    <w:multiLevelType w:val="hybridMultilevel"/>
    <w:lvl w:ilvl="0">
      <w:lvlJc w:val="left"/>
      <w:lvlText w:val="%1."/>
      <w:numFmt w:val="decimal"/>
      <w:start w:val="4"/>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5"/>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7"/>
    </w:lvl>
  </w:abstractNum>
  <w:abstractNum w:abstractNumId="27">
    <w:nsid w:val="440BADFC"/>
    <w:multiLevelType w:val="hybridMultilevel"/>
    <w:lvl w:ilvl="0">
      <w:lvlJc w:val="left"/>
      <w:lvlText w:val="%1."/>
      <w:numFmt w:val="decimal"/>
      <w:start w:val="8"/>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10"/>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decimal"/>
      <w:start w:val="11"/>
    </w:lvl>
  </w:abstractNum>
  <w:abstractNum w:abstractNumId="33">
    <w:nsid w:val="2463B9EA"/>
    <w:multiLevelType w:val="hybridMultilevel"/>
    <w:lvl w:ilvl="0">
      <w:lvlJc w:val="left"/>
      <w:lvlText w:val="%1."/>
      <w:numFmt w:val="decimal"/>
      <w:start w:val="12"/>
    </w:lvl>
  </w:abstractNum>
  <w:abstractNum w:abstractNumId="34">
    <w:nsid w:val="5E884ADC"/>
    <w:multiLevelType w:val="hybridMultilevel"/>
    <w:lvl w:ilvl="0">
      <w:lvlJc w:val="left"/>
      <w:lvlText w:val="%1."/>
      <w:numFmt w:val="decimal"/>
      <w:start w:val="13"/>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4"/>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4" Type="http://schemas.openxmlformats.org/officeDocument/2006/relationships/image" Target="media/image73.png"/><Relationship Id="rId105" Type="http://schemas.openxmlformats.org/officeDocument/2006/relationships/image" Target="media/image74.png"/><Relationship Id="rId106" Type="http://schemas.openxmlformats.org/officeDocument/2006/relationships/image" Target="media/image75.png"/><Relationship Id="rId107"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113" Type="http://schemas.openxmlformats.org/officeDocument/2006/relationships/image" Target="media/image82.png"/><Relationship Id="rId114" Type="http://schemas.openxmlformats.org/officeDocument/2006/relationships/image" Target="media/image83.png"/><Relationship Id="rId78" Type="http://schemas.openxmlformats.org/officeDocument/2006/relationships/hyperlink" Target="http://www.sec.gov/Archives/edgar/data/97476/000009747615000003/txn-12312014xexhibit3a.htm" TargetMode="External"/><Relationship Id="rId79" Type="http://schemas.openxmlformats.org/officeDocument/2006/relationships/hyperlink" Target="http://www.sec.gov/Archives/edgar/data/97476/000156459016030135/txn-ex3_6.htm" TargetMode="External"/><Relationship Id="rId80" Type="http://schemas.openxmlformats.org/officeDocument/2006/relationships/hyperlink" Target="http://www.sec.gov/Archives/edgar/data/97476/000119312511147104/dex42.htm" TargetMode="External"/><Relationship Id="rId81" Type="http://schemas.openxmlformats.org/officeDocument/2006/relationships/hyperlink" Target="http://www.sec.gov/Archives/edgar/data/97476/000119312511147104/dex43.htm" TargetMode="External"/><Relationship Id="rId82" Type="http://schemas.openxmlformats.org/officeDocument/2006/relationships/hyperlink" Target="http://www.sec.gov/Archives/edgar/data/97476/000119312513206195/d533359dex42.htm" TargetMode="External"/><Relationship Id="rId83" Type="http://schemas.openxmlformats.org/officeDocument/2006/relationships/hyperlink" Target="http://www.sec.gov/Archives/edgar/data/97476/000119312514094885/d691140dex42.htm" TargetMode="External"/><Relationship Id="rId84" Type="http://schemas.openxmlformats.org/officeDocument/2006/relationships/hyperlink" Target="http://www.sec.gov/Archives/edgar/data/97476/000119312515173382/d920775dex41.htm" TargetMode="External"/><Relationship Id="rId85" Type="http://schemas.openxmlformats.org/officeDocument/2006/relationships/hyperlink" Target="http://www.sec.gov/Archives/edgar/data/97476/000119312516581435/d194090dex41.htm" TargetMode="External"/><Relationship Id="rId86" Type="http://schemas.openxmlformats.org/officeDocument/2006/relationships/hyperlink" Target="http://www.sec.gov/Archives/edgar/data/97476/000119312517158011/d582525dex41.htm" TargetMode="External"/><Relationship Id="rId87" Type="http://schemas.openxmlformats.org/officeDocument/2006/relationships/hyperlink" Target="http://www.sec.gov/Archives/edgar/data/97476/000119312517332507/d482992dex41.htm" TargetMode="External"/><Relationship Id="rId88" Type="http://schemas.openxmlformats.org/officeDocument/2006/relationships/hyperlink" Target="http://www.sec.gov/Archives/edgar/data/97476/000156459016013126/txn-ex10a_325.htm" TargetMode="External"/><Relationship Id="rId89" Type="http://schemas.openxmlformats.org/officeDocument/2006/relationships/hyperlink" Target="http://www.sec.gov/Archives/edgar/data/97476/000156459016013126/txn-ex10b_263.htm" TargetMode="External"/><Relationship Id="rId90" Type="http://schemas.openxmlformats.org/officeDocument/2006/relationships/hyperlink" Target="http://www.sec.gov/Archives/edgar/data/97476/000156459016013126/txn-ex10c_264.htm" TargetMode="External"/><Relationship Id="rId91" Type="http://schemas.openxmlformats.org/officeDocument/2006/relationships/hyperlink" Target="http://www.sec.gov/Archives/edgar/data/97476/000009747612000010/txn-12312011xexhibit10c.htm" TargetMode="External"/><Relationship Id="rId92" Type="http://schemas.openxmlformats.org/officeDocument/2006/relationships/hyperlink" Target="http://www.sec.gov/Archives/edgar/data/97476/000009747615000003/txn-12312014xexhibit10e.htm" TargetMode="External"/><Relationship Id="rId93" Type="http://schemas.openxmlformats.org/officeDocument/2006/relationships/hyperlink" Target="http://www.sec.gov/Archives/edgar/data/97476/000009747615000003/txn-12312014xexhibit10f.htm" TargetMode="External"/><Relationship Id="rId94" Type="http://schemas.openxmlformats.org/officeDocument/2006/relationships/hyperlink" Target="http://www.sec.gov/Archives/edgar/data/97476/000009747615000003/txn-12312014xexhibit10g.htm" TargetMode="External"/><Relationship Id="rId95" Type="http://schemas.openxmlformats.org/officeDocument/2006/relationships/hyperlink" Target="http://www.sec.gov/Archives/edgar/data/97476/000009747612000010/txn-12312011xexhibit10h.htm" TargetMode="External"/><Relationship Id="rId96" Type="http://schemas.openxmlformats.org/officeDocument/2006/relationships/hyperlink" Target="http://www.sec.gov/Archives/edgar/data/97476/000009747612000010/txn-12312011xexhibit10i.htm" TargetMode="External"/><Relationship Id="rId97" Type="http://schemas.openxmlformats.org/officeDocument/2006/relationships/hyperlink" Target="http://www.sec.gov/Archives/edgar/data/97476/000009747615000003/txn-12312014xexhibit10j.htm" TargetMode="External"/><Relationship Id="rId100" Type="http://schemas.openxmlformats.org/officeDocument/2006/relationships/hyperlink" Target="http://www.sec.gov/Archives/edgar/data/97476/000156459017002142/txn-ex10k_1019.htm" TargetMode="External"/><Relationship Id="rId101" Type="http://schemas.openxmlformats.org/officeDocument/2006/relationships/hyperlink" Target="http://www.sec.gov/Archives/edgar/data/97476/000156459017002142/txn-ex10l_1018.htm" TargetMode="External"/><Relationship Id="rId102" Type="http://schemas.openxmlformats.org/officeDocument/2006/relationships/hyperlink" Target="http://www.sec.gov/Archives/edgar/data/97476/000119312516497866/d117862ddef14a.htm" TargetMode="External"/><Relationship Id="rId103" Type="http://schemas.openxmlformats.org/officeDocument/2006/relationships/hyperlink" Target="http://www.sec.gov/Archives/edgar/data/97476/000156459017002142/txn-ex10n_1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2019-12-29T02:02:18Z</dcterms:created>
  <dcterms:modified xsi:type="dcterms:W3CDTF">2019-12-29T02:02:18Z</dcterms:modified>
</cp:coreProperties>
</file>