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40"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1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176530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ectPr>
          <w:pgSz w:w="11900" w:h="16838" w:orient="portrait"/>
          <w:cols w:equalWidth="0" w:num="1">
            <w:col w:w="10600"/>
          </w:cols>
          <w:pgMar w:left="240" w:top="499" w:right="1059" w:bottom="1440" w:gutter="0" w:footer="0" w:header="0"/>
        </w:sectPr>
      </w:pPr>
    </w:p>
    <w:p>
      <w:pPr>
        <w:spacing w:after="0" w:line="11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75-0289970</w:t>
      </w:r>
    </w:p>
    <w:p>
      <w:pPr>
        <w:spacing w:after="0" w:line="46" w:lineRule="exact"/>
        <w:rPr>
          <w:sz w:val="24"/>
          <w:szCs w:val="24"/>
          <w:color w:val="auto"/>
        </w:rPr>
      </w:pPr>
    </w:p>
    <w:p>
      <w:pPr>
        <w:sectPr>
          <w:pgSz w:w="11900" w:h="16838" w:orient="portrait"/>
          <w:cols w:equalWidth="0" w:num="3">
            <w:col w:w="4740" w:space="720"/>
            <w:col w:w="3000" w:space="720"/>
            <w:col w:w="1420"/>
          </w:cols>
          <w:pgMar w:left="240" w:top="499" w:right="10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45" w:lineRule="exact"/>
        <w:rPr>
          <w:sz w:val="24"/>
          <w:szCs w:val="24"/>
          <w:color w:val="auto"/>
        </w:rPr>
      </w:pPr>
    </w:p>
    <w:p>
      <w:pPr>
        <w:sectPr>
          <w:pgSz w:w="11900" w:h="16838" w:orient="portrait"/>
          <w:cols w:equalWidth="0" w:num="3">
            <w:col w:w="4360" w:space="720"/>
            <w:col w:w="2800" w:space="720"/>
            <w:col w:w="2000"/>
          </w:cols>
          <w:pgMar w:left="240" w:top="499" w:right="1059" w:bottom="1440" w:gutter="0" w:footer="0" w:header="0"/>
          <w:type w:val="continuous"/>
        </w:sect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2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DALLAS, TEXAS 75266-0199</w:t>
      </w:r>
    </w:p>
    <w:p>
      <w:pPr>
        <w:spacing w:after="0" w:line="3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ectPr>
          <w:pgSz w:w="11900" w:h="16838" w:orient="portrait"/>
          <w:cols w:equalWidth="0" w:num="1">
            <w:col w:w="10600"/>
          </w:cols>
          <w:pgMar w:left="240" w:top="499" w:right="1059" w:bottom="1440" w:gutter="0" w:footer="0" w:header="0"/>
          <w:type w:val="continuous"/>
        </w:sectPr>
      </w:pPr>
    </w:p>
    <w:p>
      <w:pPr>
        <w:spacing w:after="0" w:line="14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99" w:right="105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Registrant’s news release dated January 23, 2006, regarding its fourth quarter and 2005 results of operations and financial condition attached hereto as Exhibit 99 is incorporated by reference herein.</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Designation</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9"/>
        </w:trPr>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Exhibit</w:t>
            </w:r>
          </w:p>
        </w:tc>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9"/>
        </w:trPr>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this</w:t>
            </w:r>
          </w:p>
        </w:tc>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78"/>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Report</w:t>
            </w:r>
          </w:p>
        </w:tc>
        <w:tc>
          <w:tcPr>
            <w:tcW w:w="104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95"/>
        </w:trPr>
        <w:tc>
          <w:tcPr>
            <w:tcW w:w="9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r>
      <w:tr>
        <w:trPr>
          <w:trHeight w:val="41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99</w:t>
            </w:r>
          </w:p>
        </w:tc>
        <w:tc>
          <w:tcPr>
            <w:tcW w:w="10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News Release</w:t>
            </w:r>
          </w:p>
        </w:tc>
      </w:tr>
      <w:tr>
        <w:trPr>
          <w:trHeight w:val="228"/>
        </w:trPr>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Dated January 23, 2006 (furnished pursuant to Item 2.02)</w:t>
            </w:r>
          </w:p>
        </w:tc>
      </w:tr>
    </w:tbl>
    <w:p>
      <w:pPr>
        <w:spacing w:after="0" w:line="13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the Company or its management:</w:t>
      </w:r>
    </w:p>
    <w:p>
      <w:pPr>
        <w:spacing w:after="0" w:line="106" w:lineRule="exact"/>
        <w:rPr>
          <w:sz w:val="20"/>
          <w:szCs w:val="20"/>
          <w:color w:val="auto"/>
        </w:rPr>
      </w:pPr>
    </w:p>
    <w:p>
      <w:pPr>
        <w:ind w:firstLine="8"/>
        <w:spacing w:after="0" w:line="275" w:lineRule="auto"/>
        <w:tabs>
          <w:tab w:leader="none" w:pos="1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for analog chips and digital signal processors in key markets such as communications, entertainment electronics and computing;</w:t>
      </w:r>
    </w:p>
    <w:p>
      <w:pPr>
        <w:spacing w:after="0" w:line="106" w:lineRule="exact"/>
        <w:rPr>
          <w:rFonts w:ascii="Times New Roman" w:cs="Times New Roman" w:eastAsia="Times New Roman" w:hAnsi="Times New Roman"/>
          <w:sz w:val="18"/>
          <w:szCs w:val="18"/>
          <w:color w:val="auto"/>
        </w:rPr>
      </w:pPr>
    </w:p>
    <w:p>
      <w:pPr>
        <w:ind w:right="80" w:firstLine="8"/>
        <w:spacing w:after="0" w:line="275" w:lineRule="auto"/>
        <w:tabs>
          <w:tab w:leader="none" w:pos="1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06"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157"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157"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TI’s patent licensees and market conditions reducing royalty payments to TI;</w:t>
      </w:r>
    </w:p>
    <w:p>
      <w:pPr>
        <w:spacing w:after="0" w:line="15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possible disruptions in transportation networks and fluctuations in foreign currency exchange rates;</w:t>
      </w:r>
    </w:p>
    <w:p>
      <w:pPr>
        <w:spacing w:after="0" w:line="158"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suppliers operate;</w:t>
      </w:r>
    </w:p>
    <w:p>
      <w:pPr>
        <w:spacing w:after="0" w:line="157" w:lineRule="exact"/>
        <w:rPr>
          <w:rFonts w:ascii="Times New Roman" w:cs="Times New Roman" w:eastAsia="Times New Roman" w:hAnsi="Times New Roman"/>
          <w:sz w:val="18"/>
          <w:szCs w:val="18"/>
          <w:color w:val="auto"/>
        </w:rPr>
      </w:pPr>
    </w:p>
    <w:p>
      <w:pPr>
        <w:ind w:left="100" w:hanging="87"/>
        <w:spacing w:after="0"/>
        <w:tabs>
          <w:tab w:leader="none" w:pos="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and critical manufacturing equipment;</w:t>
      </w:r>
    </w:p>
    <w:p>
      <w:pPr>
        <w:spacing w:after="0" w:line="157" w:lineRule="exact"/>
        <w:rPr>
          <w:rFonts w:ascii="Times New Roman" w:cs="Times New Roman" w:eastAsia="Times New Roman" w:hAnsi="Times New Roman"/>
          <w:sz w:val="18"/>
          <w:szCs w:val="18"/>
          <w:color w:val="auto"/>
        </w:rPr>
      </w:pPr>
    </w:p>
    <w:p>
      <w:pPr>
        <w:ind w:firstLine="8"/>
        <w:spacing w:after="0" w:line="275" w:lineRule="auto"/>
        <w:tabs>
          <w:tab w:leader="none" w:pos="1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06"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157"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company forecasts;</w:t>
      </w:r>
    </w:p>
    <w:p>
      <w:pPr>
        <w:spacing w:after="0" w:line="157"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inventories to meet demand that differs from projections;</w:t>
      </w:r>
    </w:p>
    <w:p>
      <w:pPr>
        <w:spacing w:after="0" w:line="157"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or recalls by TI customers for a product containing a TI part;</w:t>
      </w:r>
    </w:p>
    <w:p>
      <w:pPr>
        <w:spacing w:after="0" w:line="157" w:lineRule="exact"/>
        <w:rPr>
          <w:rFonts w:ascii="Times New Roman" w:cs="Times New Roman" w:eastAsia="Times New Roman" w:hAnsi="Times New Roman"/>
          <w:sz w:val="18"/>
          <w:szCs w:val="18"/>
          <w:color w:val="auto"/>
        </w:rPr>
      </w:pPr>
    </w:p>
    <w:p>
      <w:pPr>
        <w:ind w:left="120" w:hanging="107"/>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 and</w:t>
      </w:r>
    </w:p>
    <w:p>
      <w:pPr>
        <w:spacing w:after="0" w:line="157" w:lineRule="exact"/>
        <w:rPr>
          <w:rFonts w:ascii="Times New Roman" w:cs="Times New Roman" w:eastAsia="Times New Roman" w:hAnsi="Times New Roman"/>
          <w:sz w:val="18"/>
          <w:szCs w:val="18"/>
          <w:color w:val="auto"/>
        </w:rPr>
      </w:pPr>
    </w:p>
    <w:p>
      <w:pPr>
        <w:ind w:right="180" w:firstLine="8"/>
        <w:spacing w:after="0" w:line="275" w:lineRule="auto"/>
        <w:tabs>
          <w:tab w:leader="none" w:pos="1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installation of manufacturing equipment and the ability to obtain needed third-party foundry and assembly/test subcontract services.</w:t>
      </w:r>
    </w:p>
    <w:p>
      <w:pPr>
        <w:spacing w:after="0" w:line="1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SIGNATURES</w:t>
      </w:r>
    </w:p>
    <w:p>
      <w:pPr>
        <w:spacing w:after="0" w:line="158"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January 23,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3207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Kevin P. March</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 Reports 4Q05 and 2005 Financial Results</w:t>
      </w:r>
    </w:p>
    <w:p>
      <w:pPr>
        <w:spacing w:after="0" w:line="160"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4Q05 EPS Is $0.40, Including $0.03 of Stock-Based Compensation Expense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4Q05 Semiconductor Operating Margin Sets New Record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Achieves Record Revenue and Operating Margin for 2005</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Board Authorizes Additional $5 Billion Stock Repurchase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on TI Web Site at 4:30 p.m. Central Time Today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www.ti.com</w:t>
      </w:r>
    </w:p>
    <w:p>
      <w:pPr>
        <w:spacing w:after="0" w:line="145"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DALLAS (Jan. 23, 2006) – Texas Instruments Incorporated (TI) (NYSE: TXN) today reported revenue for the fourth quarter of 2005 of $3.59 billion, up 14 percent from the year-ago quarter as growth in the Semiconductor segment accelerated. Fourth-quarter revenue was even with the third quarter of 2005 as growth in semiconductors was offset by the expected seasonal decline of graphing calculator sales in the Educational &amp; Productivity Solutions segment. For the year, TI revenue reached a record $13.39 billion, an increase of 6 percent. TI also set a new high for operating margin of 20.8 percent.</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company’s Semiconductor segment reported growth of 3 percent sequentially for revenue of $3.23 billion, a new quarterly record, and expanded its operating margin to a second consecutive quarterly high. Semiconductor revenue grew 15 percent from the year-ago quarter due to demand for TI’s digital signal processors (DSPs) and analog chips used in high-growth communications and entertainment electronics.</w:t>
      </w:r>
    </w:p>
    <w:p>
      <w:pPr>
        <w:spacing w:after="0" w:line="11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Earnings per share were $0.40 in the fourth quarter and were $1.39 for the year. Earnings per share include stock-based compensation expense of $0.03 in the fourth quarter and $0.07 for the year. The company began expensing stock options in the third quarter of 2005 and, therefore, equivalent stock-based compensation expense was not reflected in prior periods.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4" w:name="page5"/>
    <w:bookmarkEnd w:id="4"/>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Separately, the company announced that its Board of Directors has authorized a $5 billion stock repurchase. This authorization is in addition to previously announced stock repurchase authorizations.</w:t>
      </w:r>
    </w:p>
    <w:p>
      <w:pPr>
        <w:spacing w:after="0" w:line="106" w:lineRule="exact"/>
        <w:rPr>
          <w:sz w:val="20"/>
          <w:szCs w:val="20"/>
          <w:color w:val="auto"/>
        </w:rPr>
      </w:pPr>
    </w:p>
    <w:p>
      <w:pPr>
        <w:jc w:val="both"/>
        <w:ind w:right="60" w:firstLine="456"/>
        <w:spacing w:after="0" w:line="237" w:lineRule="auto"/>
        <w:rPr>
          <w:sz w:val="20"/>
          <w:szCs w:val="20"/>
          <w:color w:val="auto"/>
        </w:rPr>
      </w:pPr>
      <w:r>
        <w:rPr>
          <w:rFonts w:ascii="Times New Roman" w:cs="Times New Roman" w:eastAsia="Times New Roman" w:hAnsi="Times New Roman"/>
          <w:sz w:val="18"/>
          <w:szCs w:val="18"/>
          <w:color w:val="auto"/>
        </w:rPr>
        <w:t>“2005 was TI’s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year in operation, and as we crossed that milestone we delivered record annual results for revenue, operating profit, operating margin and operating cash flow,” said Rich Templeton, TI president and chief executive officer. “We also gained market share in our core semiconductor technologies of DSP and analog for the fourth consecutive year.</w:t>
      </w:r>
    </w:p>
    <w:p>
      <w:pPr>
        <w:spacing w:after="0" w:line="138" w:lineRule="exact"/>
        <w:rPr>
          <w:sz w:val="20"/>
          <w:szCs w:val="20"/>
          <w:color w:val="auto"/>
        </w:rPr>
      </w:pPr>
    </w:p>
    <w:p>
      <w:pPr>
        <w:ind w:right="40" w:firstLine="456"/>
        <w:spacing w:after="0" w:line="237" w:lineRule="auto"/>
        <w:rPr>
          <w:sz w:val="20"/>
          <w:szCs w:val="20"/>
          <w:color w:val="auto"/>
        </w:rPr>
      </w:pPr>
      <w:r>
        <w:rPr>
          <w:rFonts w:ascii="Times New Roman" w:cs="Times New Roman" w:eastAsia="Times New Roman" w:hAnsi="Times New Roman"/>
          <w:sz w:val="18"/>
          <w:szCs w:val="18"/>
          <w:color w:val="auto"/>
        </w:rPr>
        <w:t>“Highlights for 2005 include a reinforced leadership position in semiconductors for wireless cell phones. We solidly achieved our goal to exceed $1 billion of semiconductor revenue in the newest cell-phone generation, known as 3G, by doubling our shipments of OMAP</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application processors and almost tripling our shipments of baseband modems. Other highlights include initial shipments of a new family of DSPs for digital video known as DaVinci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our agreement to acquire radio frequency expert Chipcon for high-performance analog, customer sampling of our multi-mode UMTS chipset for wireless cell phones, and strong consumer acceptance of our DLP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technology in 1080p high-definition televisions.</w:t>
      </w:r>
    </w:p>
    <w:p>
      <w:pPr>
        <w:spacing w:after="0" w:line="130"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“TI enters 2006 in excellent health. Customer and channel inventories appear lean, and demand is solid. Overall, the combination of our customers, products and manufacturing abilities will enable us to keep evolving TI into a company that produces superior revenue and earnings growth on a sustained basis.”</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the fourth quarter, TI’s gross profit was $1.73 billion, or 48.3 percent of revenue. Gross profit declined $37 million from the third quarter due to a seasonal decline in the Educational &amp; Productivity Solutions segment, which more than offset gross profit increases in the Semiconductor and Sensors &amp; Controls segments. Gross profit increased $400 million from the year-ago quarter, primarily due to higher gross margin in Semiconductor.</w:t>
      </w:r>
    </w:p>
    <w:p>
      <w:pPr>
        <w:spacing w:after="0" w:line="119"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For the year, gross profit of $6.36 billion, or 47.5 percent of revenue, increased 13 percent, primarily due to higher gross margin in the company’s Semiconductor segment.</w:t>
      </w:r>
    </w:p>
    <w:p>
      <w:pPr>
        <w:spacing w:after="0" w:line="106" w:lineRule="exact"/>
        <w:rPr>
          <w:sz w:val="20"/>
          <w:szCs w:val="20"/>
          <w:color w:val="auto"/>
        </w:rPr>
      </w:pPr>
    </w:p>
    <w:p>
      <w:pPr>
        <w:ind w:right="1440" w:firstLine="456"/>
        <w:spacing w:after="0" w:line="375" w:lineRule="auto"/>
        <w:rPr>
          <w:sz w:val="20"/>
          <w:szCs w:val="20"/>
          <w:color w:val="auto"/>
        </w:rPr>
      </w:pPr>
      <w:r>
        <w:rPr>
          <w:rFonts w:ascii="Times New Roman" w:cs="Times New Roman" w:eastAsia="Times New Roman" w:hAnsi="Times New Roman"/>
          <w:sz w:val="18"/>
          <w:szCs w:val="18"/>
          <w:color w:val="auto"/>
        </w:rPr>
        <w:t xml:space="preserve">Stock-based compensation expense included in cost of revenue was $17 million in the fourth quarter and $33 million for the year 2005. </w:t>
      </w:r>
      <w:r>
        <w:rPr>
          <w:rFonts w:ascii="Times New Roman" w:cs="Times New Roman" w:eastAsia="Times New Roman" w:hAnsi="Times New Roman"/>
          <w:sz w:val="18"/>
          <w:szCs w:val="18"/>
          <w:b w:val="1"/>
          <w:bCs w:val="1"/>
          <w:color w:val="auto"/>
        </w:rPr>
        <w:t>Operating Expenses</w:t>
      </w:r>
    </w:p>
    <w:p>
      <w:pPr>
        <w:spacing w:after="0" w:line="1"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In the fourth quarter, research and development (R&amp;D) expense of $500 million, or 13.9 percent of revenue, decreased $27 million sequentially, primarily due to seasonally lower pay and benefits as employees observed holidays and took vacation time. R&amp;D increased $13 million from the year-ago quarter. For the year, R&amp;D expense of $2.02 billion, or 15.0 percent of revenue, increased $37 million. Stock-based compensation expense included in R&amp;D was $27 million in the fourth quarter and $53 million in 2005.</w:t>
      </w:r>
    </w:p>
    <w:p>
      <w:pPr>
        <w:spacing w:after="0" w:line="12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the fourth quarter, selling, general and administrative (SG&amp;A) expense of $424 million, or 11.8 percent of revenue, decreased $5 million sequentially as seasonally lower pay and benefits offset higher semiconductor marketing expenses. SG&amp;A increased $61 million from a year ago. For the year, SG&amp;A expense of $1.56 billion, or 11.6 percent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6" w:name="page7"/>
    <w:bookmarkEnd w:id="6"/>
    <w:p>
      <w:pPr>
        <w:ind w:right="100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revenue, increased 8 percent. Stock-based compensation expense included in SG&amp;A was $42 million in the fourth quarter and $92 million in 2005. </w:t>
      </w:r>
      <w:r>
        <w:rPr>
          <w:rFonts w:ascii="Times New Roman" w:cs="Times New Roman" w:eastAsia="Times New Roman" w:hAnsi="Times New Roman"/>
          <w:sz w:val="18"/>
          <w:szCs w:val="18"/>
          <w:b w:val="1"/>
          <w:bCs w:val="1"/>
          <w:color w:val="auto"/>
        </w:rPr>
        <w:t>Operating Profit</w:t>
      </w:r>
    </w:p>
    <w:p>
      <w:pPr>
        <w:spacing w:after="0" w:line="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fourth quarter, operating profit of $810 million, or 22.6 percent of revenue, was about even sequentially as the seasonal decline in the Educational &amp; Productivity Solutions segment offset strong contribution from the Semiconductor segment. Operating profit increased $326 million from the year-ago quarter due to higher operating margin in Semiconductor. Semiconductor operating margin was 28.1 percent of revenue, an increase of 11.0 percentage points from the year-ago quarter.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operating profit of $2.79 billion, or 20.8 percent of revenue, increased 26 percent due to higher operating margin in Semiconductor.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Semiconductor operating margin of 23.9 percent of revenue increased 5.2 percentage points from the prior year.</w:t>
      </w:r>
    </w:p>
    <w:p>
      <w:pPr>
        <w:spacing w:after="0" w:line="145" w:lineRule="exact"/>
        <w:rPr>
          <w:sz w:val="20"/>
          <w:szCs w:val="20"/>
          <w:color w:val="auto"/>
        </w:rPr>
      </w:pPr>
    </w:p>
    <w:p>
      <w:pPr>
        <w:ind w:right="1120" w:firstLine="456"/>
        <w:spacing w:after="0" w:line="375" w:lineRule="auto"/>
        <w:rPr>
          <w:sz w:val="20"/>
          <w:szCs w:val="20"/>
          <w:color w:val="auto"/>
        </w:rPr>
      </w:pPr>
      <w:r>
        <w:rPr>
          <w:rFonts w:ascii="Times New Roman" w:cs="Times New Roman" w:eastAsia="Times New Roman" w:hAnsi="Times New Roman"/>
          <w:sz w:val="18"/>
          <w:szCs w:val="18"/>
          <w:color w:val="auto"/>
        </w:rPr>
        <w:t xml:space="preserve">Total stock-based compensation expense of $86 million in the fourth quarter and $178 million in 2005 was included in corporate activities. </w:t>
      </w:r>
      <w:r>
        <w:rPr>
          <w:rFonts w:ascii="Times New Roman" w:cs="Times New Roman" w:eastAsia="Times New Roman" w:hAnsi="Times New Roman"/>
          <w:sz w:val="18"/>
          <w:szCs w:val="18"/>
          <w:b w:val="1"/>
          <w:bCs w:val="1"/>
          <w:color w:val="auto"/>
        </w:rPr>
        <w:t>Other Income (Expense) Net (OI&amp;E)</w:t>
      </w:r>
    </w:p>
    <w:p>
      <w:pPr>
        <w:spacing w:after="0" w:line="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OI&amp;E of $51 million increased $2 million sequentially, and decreased $35 million from a year ago primarily due to favorable resolution of an open sales-tax item in the year-ago quarter.</w:t>
      </w:r>
    </w:p>
    <w:p>
      <w:pPr>
        <w:spacing w:after="0" w:line="10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For the year, OI&amp;E of $206 million decreased by $29 million primarily due to lower income from settlements with the Italian government related to the company’s former memory-chip operations.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the fourth quarter, net income was $655 million or $0.40 per share, including $0.03 of stock-based compensation expense. For the year, net income was $2.32 billion, or $1.39 per share, including $0.07 of stock-based compensation expense. The overall tax rate, which includes discrete tax items, was 24 percent for the fourth quarter and 22 percent for the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 orders of $3.77 billion increased $27 million sequentially and $823 million from the year-ago quarter due to higher demand for Semiconductor products.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TI orders of $13.92 billion increased 12 percent as demand grew for the company’s Semiconductor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Cash flow from operations of $908 million decreased $606 million sequentially and $389 million from the year-ago quarter. For the year, cash flow from operations increased 20 percent to $3.77 billion.</w:t>
      </w:r>
    </w:p>
    <w:p>
      <w:pPr>
        <w:spacing w:after="0" w:line="10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At the end of the fourth quarter, total cash (cash and cash equivalents plus short-term investments) was $5.34 billion, up $84 million from the end of the previous quarter and down $1.02 billion from the end of the year-ago period. During the quarter, the company repurchased $870 million of TI common stock and paid $48 million in dividends. During 2005, the company repurchased $4.15 billion of TI common stock, reducing average diluted shares outstanding by almost 100 million shares, and paid $173 million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2"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dividends. In 2004, the company repurchased $753 million of TI common stock, and paid $154 million in dividends.</w:t>
      </w:r>
    </w:p>
    <w:p>
      <w:pPr>
        <w:spacing w:after="0" w:line="15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2005, to avail the company of tax savings provided for under the American Jobs Creation Act, TI repatriated $1.3 billion of previously undistributed earnings of non-U.S. subsidiaries. During the fourth quarter, TI’s Japan subsidiary borrowed $275 million in order to facilitate this process.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Spending and Depreciation</w:t>
      </w:r>
    </w:p>
    <w:p>
      <w:pPr>
        <w:spacing w:after="0" w:line="79" w:lineRule="exact"/>
        <w:rPr>
          <w:sz w:val="20"/>
          <w:szCs w:val="20"/>
          <w:color w:val="auto"/>
        </w:rPr>
      </w:pPr>
    </w:p>
    <w:p>
      <w:pPr>
        <w:ind w:right="500" w:firstLine="456"/>
        <w:spacing w:after="0" w:line="310" w:lineRule="auto"/>
        <w:rPr>
          <w:sz w:val="20"/>
          <w:szCs w:val="20"/>
          <w:color w:val="auto"/>
        </w:rPr>
      </w:pPr>
      <w:r>
        <w:rPr>
          <w:rFonts w:ascii="Times New Roman" w:cs="Times New Roman" w:eastAsia="Times New Roman" w:hAnsi="Times New Roman"/>
          <w:sz w:val="16"/>
          <w:szCs w:val="16"/>
          <w:color w:val="auto"/>
        </w:rPr>
        <w:t>Capital expenditures of $346 million decreased $104 million sequentially and increased $135 million from the year-ago quarter. For the year, capital expenditures of $1.33 billion increased by $32 million. TI’s capital expenditures in the fourth quarter and the year were primarily for assembly and test equipment, advanced wafer fabrication equipment and construction of the company’s new 300-millimeter manufacturing facility in Richardson, Texas.</w:t>
      </w:r>
    </w:p>
    <w:p>
      <w:pPr>
        <w:spacing w:after="0" w:line="8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Depreciation of $344 million increased $5 million sequentially and decreased $46 million from a year ago. For the year, depreciation was $1.38 billion, a decrease of $104 million.</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2006, TI will change its method of depreciation from an accelerated to a straight-line method on its existing and future property, plant and equipment assets. This change is the result of a study that was conducted regarding the usage pattern of TI’s long-lived depreciable assets. The study indicated a trend toward more consistent utilization of assets as TI has focused its product portfolio on differentiated products and supplemented its internal semiconductor manufacturing with supply from foundries.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Receivable and Inventories</w:t>
      </w:r>
    </w:p>
    <w:p>
      <w:pPr>
        <w:spacing w:after="0" w:line="79" w:lineRule="exact"/>
        <w:rPr>
          <w:sz w:val="20"/>
          <w:szCs w:val="20"/>
          <w:color w:val="auto"/>
        </w:rPr>
      </w:pPr>
    </w:p>
    <w:p>
      <w:pPr>
        <w:ind w:right="300" w:firstLine="456"/>
        <w:spacing w:after="0" w:line="310" w:lineRule="auto"/>
        <w:rPr>
          <w:sz w:val="20"/>
          <w:szCs w:val="20"/>
          <w:color w:val="auto"/>
        </w:rPr>
      </w:pPr>
      <w:r>
        <w:rPr>
          <w:rFonts w:ascii="Times New Roman" w:cs="Times New Roman" w:eastAsia="Times New Roman" w:hAnsi="Times New Roman"/>
          <w:sz w:val="16"/>
          <w:szCs w:val="16"/>
          <w:color w:val="auto"/>
        </w:rPr>
        <w:t>Accounts receivable of $1.81 billion at the end of the fourth quarter decreased $103 million sequentially due to seasonally lower receivables in the company’s Educational &amp; Productivity Solutions segment. Accounts receivable increased $116 million from the year-ago quarter due to higher revenue. Days sales outstanding were 45 at the end of the fourth quarter compared with 48 at the end of the previous quarter and 48 at the end of the year-ago quarter.</w:t>
      </w:r>
    </w:p>
    <w:p>
      <w:pPr>
        <w:spacing w:after="0" w:line="84"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Inventory of $1.27 billion at the end of the fourth quarter increased $115 million sequentially as the company built inventory from the lower-than-desired levels of the third quarter. For the year, inventory increased by $17 million compared with the end of 2004. The increases for both the quarter and the year were primarily in work-in-process, with fourth-quarter finished goods still remaining below desired levels. Days of inventory at the end of the fourth quarter were 62 compared with 57 at the end of the previous quarter and 62 at the end of the year-ago quarter.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7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TI intends to provide a mid-quarter update to its financial outlook on March 6, 2006, by issuing a press release and holding a conference call. Both will be available on the company’s web site.</w:t>
      </w:r>
    </w:p>
    <w:p>
      <w:pPr>
        <w:spacing w:after="0" w:line="103"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previously announced divestiture of the Sensors &amp; Controls operations is expected to close in the first half of 2006. The financial results of this business will be accounted for as a discontinued operation beginning with the first quarter of 2006.</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2" w:right="25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quarter of 2006, TI expects revenue from continuing operations to be in the following ranges:</w:t>
      </w:r>
    </w:p>
    <w:p>
      <w:pPr>
        <w:spacing w:after="0" w:line="77" w:lineRule="exact"/>
        <w:rPr>
          <w:sz w:val="20"/>
          <w:szCs w:val="20"/>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TI, $3.11 billion to $3.38 billion;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$3.05 billion to $3.30 billion;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&amp; Productivity Solutions, $60 million to $80 million.</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TI expects earnings per share from continuing operations to be in the range of $0.29 to $0.33. This estimate includes about $0.04, or about $90 million, for stock-based compensation expense. Earnings per share in the first quarter will be negatively impacted by about $0.03 due to a higher expected tax rate when compared with the fourth quarter of 2005. Earnings per share from discontinued operations are expected to be about $0.03.</w:t>
      </w:r>
    </w:p>
    <w:p>
      <w:pPr>
        <w:spacing w:after="0" w:line="119"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In 2006 for continuing operations, the estimated annual effective tax rate is about 30 percent, which is based on current tax law and does not assume reinstatement of the federal research tax credit, which expired at the end of 2005.</w:t>
      </w:r>
    </w:p>
    <w:p>
      <w:pPr>
        <w:spacing w:after="0" w:line="10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Also in 2006 for continuing operations, TI expects R&amp;D expense of about $2.2 billion and capital expenditures of about $1.3 billion. Depreciation is expected to be about $1.03 billion and reflects the company’s change to a straight-line calculation. Depreciation under the company’s prior accelerated method would have been about $1.21 billion.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274"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85"/>
              </w:rPr>
              <w:t>2005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40" w:type="dxa"/>
            <w:vAlign w:val="bottom"/>
            <w:gridSpan w:val="3"/>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3590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(COR)</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1857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1819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1819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Gross profit % of revenue</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R&amp;D % of revenue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SG&amp;A % of revenue</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from operations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loans</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gridSpan w:val="3"/>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40" w:type="dxa"/>
            <w:vAlign w:val="bottom"/>
            <w:gridSpan w:val="3"/>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40" w:type="dxa"/>
            <w:vAlign w:val="bottom"/>
            <w:gridSpan w:val="3"/>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basic</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1624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 diluted</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1643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1663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1759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240" w:type="dxa"/>
            <w:vAlign w:val="bottom"/>
            <w:gridSpan w:val="3"/>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 included in items above:</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of revenue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of revenue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of revenue</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from operations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of revenue</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140" w:type="dxa"/>
            <w:vAlign w:val="bottom"/>
          </w:tcPr>
          <w:p>
            <w:pPr>
              <w:jc w:val="right"/>
              <w:ind w:right="1257"/>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-3267710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-3267710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-3267710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-3267710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-3267710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-3267710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-3267710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-3267710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-3267710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-3267710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-3267710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-3267710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-3267710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-3267710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-3267710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-2967355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-2967355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-2967355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-2967355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-2967355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-2967355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-2967355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-2967355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-2967355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-2967355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-2967355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-2967355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-2967355</wp:posOffset>
            </wp:positionV>
            <wp:extent cx="37274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-2667000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-2667000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-2667000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-2667000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-2667000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-2667000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-2667000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-2667000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-2667000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-2667000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-2667000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-2667000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-2667000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-2667000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-2667000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20" w:type="dxa"/>
            <w:vAlign w:val="bottom"/>
          </w:tcPr>
          <w:p>
            <w:pPr>
              <w:spacing w:after="0"/>
              <w:rPr>
                <w:sz w:val="13"/>
                <w:szCs w:val="13"/>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receivable, net of allowances for customer adjustments and doubtful accounts of $39 million at December 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2005, $48 million at September 30, 2005, $41 million at December 31, 2004</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(5022)</w:t>
            </w:r>
          </w:p>
        </w:tc>
        <w:tc>
          <w:tcPr>
            <w:tcW w:w="100" w:type="dxa"/>
            <w:vAlign w:val="bottom"/>
          </w:tcPr>
          <w:p>
            <w:pPr>
              <w:spacing w:after="0"/>
              <w:rPr>
                <w:sz w:val="19"/>
                <w:szCs w:val="19"/>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(5324)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and debt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Acquisition-related intangibles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Capitalized software licenses,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15063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9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Loans payable and current portion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profit sharing and retirement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9160" w:type="dxa"/>
            <w:vAlign w:val="bottom"/>
            <w:gridSpan w:val="2"/>
          </w:tcPr>
          <w:p>
            <w:pPr>
              <w:jc w:val="right"/>
              <w:ind w:right="327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-2401570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-2401570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-2401570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-2401570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-2401570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-2401570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-2401570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-2401570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-2401570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 equity:</w:t>
            </w:r>
          </w:p>
        </w:tc>
        <w:tc>
          <w:tcPr>
            <w:tcW w:w="3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$25 par value. Authorized — 10,000,000 shares.</w:t>
            </w: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Participating cumulative preferred. None issued.</w:t>
            </w:r>
          </w:p>
        </w:tc>
        <w:tc>
          <w:tcPr>
            <w:tcW w:w="3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 $1 par value. Authorized — 2,400,000,000 shares.</w:t>
            </w: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880"/>
              <w:spacing w:after="0" w:line="201" w:lineRule="exact"/>
              <w:rPr>
                <w:sz w:val="20"/>
                <w:szCs w:val="20"/>
                <w:color w:val="auto"/>
              </w:rPr>
            </w:pPr>
            <w:r>
              <w:rPr>
                <w:rFonts w:ascii="Times New Roman" w:cs="Times New Roman" w:eastAsia="Times New Roman" w:hAnsi="Times New Roman"/>
                <w:sz w:val="18"/>
                <w:szCs w:val="18"/>
                <w:color w:val="auto"/>
              </w:rPr>
              <w:t>Shares issued: December 31, 2005 — 1,738,780,512;</w:t>
            </w:r>
          </w:p>
        </w:tc>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September 30, 2005 — 1,738,650,318;</w:t>
            </w:r>
          </w:p>
        </w:tc>
        <w:tc>
          <w:tcPr>
            <w:tcW w:w="3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December 31, 2004 — 1,738,156,615</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Paid-in capital</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treasury common stock at cost:</w:t>
            </w: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880"/>
              <w:spacing w:after="0" w:line="201" w:lineRule="exact"/>
              <w:rPr>
                <w:sz w:val="20"/>
                <w:szCs w:val="20"/>
                <w:color w:val="auto"/>
              </w:rPr>
            </w:pPr>
            <w:r>
              <w:rPr>
                <w:rFonts w:ascii="Times New Roman" w:cs="Times New Roman" w:eastAsia="Times New Roman" w:hAnsi="Times New Roman"/>
                <w:sz w:val="18"/>
                <w:szCs w:val="18"/>
                <w:color w:val="auto"/>
              </w:rPr>
              <w:t>Shares: December 31, 2005 — 142,190,707;</w:t>
            </w:r>
          </w:p>
        </w:tc>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September 30, 2005 — 120,597,527;</w:t>
            </w:r>
          </w:p>
        </w:tc>
        <w:tc>
          <w:tcPr>
            <w:tcW w:w="3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December 31, 2004 — 20,041,497</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(3152)</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Unrealized holding gains (losses) on investments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3780" w:type="dxa"/>
            <w:vAlign w:val="bottom"/>
            <w:vMerge w:val="restart"/>
          </w:tcPr>
          <w:p>
            <w:pPr>
              <w:jc w:val="right"/>
              <w:ind w:right="3272"/>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37274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8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20" w:type="dxa"/>
            <w:vAlign w:val="bottom"/>
          </w:tcPr>
          <w:p>
            <w:pPr>
              <w:spacing w:after="0"/>
              <w:rPr>
                <w:sz w:val="20"/>
                <w:szCs w:val="20"/>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Sept. 30</w:t>
            </w:r>
          </w:p>
        </w:tc>
        <w:tc>
          <w:tcPr>
            <w:tcW w:w="20" w:type="dxa"/>
            <w:vAlign w:val="bottom"/>
          </w:tcPr>
          <w:p>
            <w:pPr>
              <w:spacing w:after="0"/>
              <w:rPr>
                <w:sz w:val="20"/>
                <w:szCs w:val="20"/>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1"/>
              </w:rPr>
              <w:t>Dec. 31</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36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3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$ 2324</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acquisition-related costs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(Gains)/losses on sale of investments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(Gains)/losses on sales of assets</w:t>
            </w:r>
          </w:p>
        </w:tc>
        <w:tc>
          <w:tcPr>
            <w:tcW w:w="8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from changes in:</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profit sharing and retirement</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Noncurrent accrued retirement costs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1297</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of assets</w:t>
            </w:r>
          </w:p>
        </w:tc>
        <w:tc>
          <w:tcPr>
            <w:tcW w:w="8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cash investments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(2690)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(2095)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(5851)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and maturities of cash investments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equity investments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of equity and debt investments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(1364)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431"/>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to loans payable and long-term debt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loans payable and long-term debt</w:t>
            </w: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and other common stock transactions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 from stock-option exercises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80" w:type="dxa"/>
            <w:vAlign w:val="bottom"/>
          </w:tcPr>
          <w:p>
            <w:pPr>
              <w:spacing w:after="0"/>
              <w:rPr>
                <w:sz w:val="19"/>
                <w:szCs w:val="19"/>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(370)</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(4151)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1674</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1219</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2668</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$ 1219</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00" w:type="dxa"/>
            <w:vAlign w:val="bottom"/>
            <w:gridSpan w:val="2"/>
            <w:vMerge w:val="restart"/>
          </w:tcPr>
          <w:p>
            <w:pPr>
              <w:jc w:val="right"/>
              <w:ind w:right="151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-325755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For Three Months Ended</w:t>
            </w:r>
          </w:p>
        </w:tc>
        <w:tc>
          <w:tcPr>
            <w:tcW w:w="80" w:type="dxa"/>
            <w:vAlign w:val="bottom"/>
          </w:tcPr>
          <w:p>
            <w:pPr>
              <w:spacing w:after="0"/>
              <w:rPr>
                <w:sz w:val="15"/>
                <w:szCs w:val="15"/>
                <w:color w:val="auto"/>
              </w:rPr>
            </w:pPr>
          </w:p>
        </w:tc>
        <w:tc>
          <w:tcPr>
            <w:tcW w:w="13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Sept. 30</w:t>
            </w: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20" w:type="dxa"/>
            <w:vAlign w:val="bottom"/>
          </w:tcPr>
          <w:p>
            <w:pPr>
              <w:spacing w:after="0"/>
              <w:rPr>
                <w:sz w:val="20"/>
                <w:szCs w:val="20"/>
                <w:color w:val="auto"/>
              </w:rPr>
            </w:pPr>
          </w:p>
        </w:tc>
        <w:tc>
          <w:tcPr>
            <w:tcW w:w="6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Trade</w:t>
            </w:r>
          </w:p>
        </w:tc>
        <w:tc>
          <w:tcPr>
            <w:tcW w:w="4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$ 3134</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$2797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$ 11718</w:t>
            </w:r>
          </w:p>
        </w:tc>
        <w:tc>
          <w:tcPr>
            <w:tcW w:w="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$10938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Intersegment</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Sensors &amp; Controls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Trade</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Intersegment</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Educational &amp; Productivity Solutions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Trade</w:t>
            </w:r>
          </w:p>
        </w:tc>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4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$ 3590</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$13392</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20" w:type="dxa"/>
            <w:vAlign w:val="bottom"/>
            <w:gridSpan w:val="2"/>
          </w:tcPr>
          <w:p>
            <w:pPr>
              <w:jc w:val="center"/>
              <w:ind w:right="532"/>
              <w:spacing w:after="0"/>
              <w:rPr>
                <w:sz w:val="20"/>
                <w:szCs w:val="20"/>
                <w:color w:val="auto"/>
              </w:rPr>
            </w:pPr>
            <w:r>
              <w:rPr>
                <w:rFonts w:ascii="Times New Roman" w:cs="Times New Roman" w:eastAsia="Times New Roman" w:hAnsi="Times New Roman"/>
                <w:sz w:val="18"/>
                <w:szCs w:val="18"/>
                <w:color w:val="auto"/>
                <w:w w:val="97"/>
              </w:rPr>
              <w:t>Business Segment Profit (Loss)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20" w:type="dxa"/>
            <w:vAlign w:val="bottom"/>
            <w:gridSpan w:val="2"/>
          </w:tcPr>
          <w:p>
            <w:pPr>
              <w:jc w:val="center"/>
              <w:ind w:right="512"/>
              <w:spacing w:after="0"/>
              <w:rPr>
                <w:sz w:val="20"/>
                <w:szCs w:val="20"/>
                <w:color w:val="auto"/>
              </w:rPr>
            </w:pPr>
            <w:r>
              <w:rPr>
                <w:rFonts w:ascii="Times New Roman" w:cs="Times New Roman" w:eastAsia="Times New Roman" w:hAnsi="Times New Roman"/>
                <w:sz w:val="18"/>
                <w:szCs w:val="18"/>
                <w:color w:val="auto"/>
                <w:w w:val="97"/>
              </w:rPr>
              <w:t>(In millions of dollars)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For Three Months Ended</w:t>
            </w:r>
          </w:p>
        </w:tc>
        <w:tc>
          <w:tcPr>
            <w:tcW w:w="80" w:type="dxa"/>
            <w:vAlign w:val="bottom"/>
          </w:tcPr>
          <w:p>
            <w:pPr>
              <w:spacing w:after="0"/>
              <w:rPr>
                <w:sz w:val="24"/>
                <w:szCs w:val="24"/>
                <w:color w:val="auto"/>
              </w:rPr>
            </w:pPr>
          </w:p>
        </w:tc>
        <w:tc>
          <w:tcPr>
            <w:tcW w:w="13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gridSpan w:val="3"/>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80" w:type="dxa"/>
            <w:vAlign w:val="bottom"/>
            <w:gridSpan w:val="3"/>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Sept. 30</w:t>
            </w: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20" w:type="dxa"/>
            <w:vAlign w:val="bottom"/>
          </w:tcPr>
          <w:p>
            <w:pPr>
              <w:spacing w:after="0"/>
              <w:rPr>
                <w:sz w:val="20"/>
                <w:szCs w:val="20"/>
                <w:color w:val="auto"/>
              </w:rPr>
            </w:pPr>
          </w:p>
        </w:tc>
        <w:tc>
          <w:tcPr>
            <w:tcW w:w="6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382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Sensors &amp; Controls</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Educational &amp; Productivity Solutions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Charges/gains and acquisition-related amortization</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from operations</w:t>
            </w:r>
          </w:p>
        </w:tc>
        <w:tc>
          <w:tcPr>
            <w:tcW w:w="382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-2342515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-2342515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-2342515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-2342515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-2342515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-2342515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-2342515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-2342515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-2342515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-2342515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-2342515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-2342515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-2342515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-2342515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-2342515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-172720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-172720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-172720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-172720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-172720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-172720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-172720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-172720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firstLine="8"/>
        <w:spacing w:after="0" w:line="275" w:lineRule="auto"/>
        <w:tabs>
          <w:tab w:leader="none" w:pos="1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from operations includes, in millions of dollars, stock-based compensation expense of $86, $82 and $4 for the fourth quarter and third quarter of 2005 and the fourth quarter of 2004, and $178 and $18 for the years ended December 31, 2005 and 2004.</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79" w:lineRule="exact"/>
        <w:rPr>
          <w:sz w:val="20"/>
          <w:szCs w:val="20"/>
          <w:color w:val="auto"/>
        </w:rPr>
      </w:pPr>
    </w:p>
    <w:p>
      <w:pPr>
        <w:ind w:left="500" w:right="20" w:hanging="451"/>
        <w:spacing w:after="0" w:line="25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$3.23 billion in the fourth quarter increased $91 million sequentially, or 3 percent, and increased 15 percent from the year-ago quarter primarily due to demand for the company’s wireless and high-performance analog products. Revenue from wireless products grew 4 percent sequentially and 12 percent from a year ago. Revenue from high-performance analog products grew 8 percent sequentially and 41 percent from a year ago. For the year, Semiconductor revenue of $11.72 billion increased 7 percent primarily due to demand for wireless products, which grew 14 percent, as well as high-performance analog products, which grew 13 percent.</w:t>
      </w:r>
    </w:p>
    <w:p>
      <w:pPr>
        <w:spacing w:after="0" w:line="44" w:lineRule="exact"/>
        <w:rPr>
          <w:rFonts w:ascii="Times New Roman" w:cs="Times New Roman" w:eastAsia="Times New Roman" w:hAnsi="Times New Roman"/>
          <w:sz w:val="18"/>
          <w:szCs w:val="18"/>
          <w:color w:val="auto"/>
        </w:rPr>
      </w:pPr>
    </w:p>
    <w:p>
      <w:pPr>
        <w:ind w:left="500" w:right="180" w:hanging="451"/>
        <w:spacing w:after="0" w:line="258"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was $1.63 billion, or 50.7 percent of revenue. Gross profit increased $40 million sequentially due to manufacturing cost reductions and increased $429 million from the year-ago quarter, primarily due to higher revenue, as well as manufacturing cost reductions and higher utilization of manufacturing assets. For the year, gross profit of $5.73 billion, or 48.9 percent of revenue, increased $767 million, primarily due to manufacturing cost reductions, as well as higher revenue.</w:t>
      </w:r>
    </w:p>
    <w:p>
      <w:pPr>
        <w:spacing w:after="0" w:line="41" w:lineRule="exact"/>
        <w:rPr>
          <w:rFonts w:ascii="Times New Roman" w:cs="Times New Roman" w:eastAsia="Times New Roman" w:hAnsi="Times New Roman"/>
          <w:sz w:val="18"/>
          <w:szCs w:val="18"/>
          <w:color w:val="auto"/>
        </w:rPr>
      </w:pPr>
    </w:p>
    <w:p>
      <w:pPr>
        <w:ind w:left="500" w:right="200" w:hanging="451"/>
        <w:spacing w:after="0" w:line="26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fourth quarter was $907 million, or 28.1 percent of revenue, up $72 million sequentially due to higher gross profit and lower operating expenses. Compared with the year-ago quarter, operating profit increased $429 million due to higher gross profit. For the year, operating profit was $2.80 billion, or 23.9 percent of revenue, up $747 million due to higher gross profit.</w:t>
      </w:r>
    </w:p>
    <w:p>
      <w:pPr>
        <w:spacing w:after="0" w:line="37" w:lineRule="exact"/>
        <w:rPr>
          <w:rFonts w:ascii="Times New Roman" w:cs="Times New Roman" w:eastAsia="Times New Roman" w:hAnsi="Times New Roman"/>
          <w:sz w:val="18"/>
          <w:szCs w:val="18"/>
          <w:color w:val="auto"/>
        </w:rPr>
      </w:pPr>
    </w:p>
    <w:p>
      <w:pPr>
        <w:ind w:left="500" w:hanging="451"/>
        <w:spacing w:after="0" w:line="275"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revenue in the fourth quarter increased 2 percent sequentially and 20 percent from the year-ago quarter due to demand for high-performance analog products, as well as wireless analog products. For the year, analog revenue increased 4 percent primarily due to growth in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2" w:right="239" w:bottom="1440" w:gutter="0" w:footer="0" w:header="0"/>
        </w:sectPr>
      </w:pPr>
    </w:p>
    <w:bookmarkStart w:id="17" w:name="page18"/>
    <w:bookmarkEnd w:id="17"/>
    <w:p>
      <w:pPr>
        <w:ind w:left="460" w:right="200"/>
        <w:spacing w:after="0" w:line="32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demand for high-performance analog products, which more than offset the loss of revenue from the company’s commodity liquid crystal display (LCD) driver product line that was divested in the first quarter of 2005. In 2005, about 40 percent of total Semiconductor revenue came from analog.</w:t>
      </w:r>
    </w:p>
    <w:p>
      <w:pPr>
        <w:spacing w:after="0" w:line="1" w:lineRule="exact"/>
        <w:rPr>
          <w:sz w:val="20"/>
          <w:szCs w:val="20"/>
          <w:color w:val="auto"/>
        </w:rPr>
      </w:pPr>
    </w:p>
    <w:p>
      <w:pPr>
        <w:ind w:left="500" w:right="300" w:hanging="451"/>
        <w:spacing w:after="0" w:line="26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DSP revenue in the fourth quarter increased 2 percent sequentially and 12 percent from the year-ago quarter, primarily due to higher demand from the wireless market. For the year, DSP revenue increased 15 percent primarily due to demand for wireless products. In 2005, about 40 percent of total Semiconductor revenue came from DSP.</w:t>
      </w:r>
    </w:p>
    <w:p>
      <w:pPr>
        <w:spacing w:after="0" w:line="37" w:lineRule="exact"/>
        <w:rPr>
          <w:rFonts w:ascii="Times New Roman" w:cs="Times New Roman" w:eastAsia="Times New Roman" w:hAnsi="Times New Roman"/>
          <w:sz w:val="18"/>
          <w:szCs w:val="18"/>
          <w:color w:val="auto"/>
        </w:rPr>
      </w:pPr>
    </w:p>
    <w:p>
      <w:pPr>
        <w:ind w:left="500" w:hanging="451"/>
        <w:spacing w:after="0" w:line="258"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remaining Semiconductor revenue in the fourth quarter grew 7 percent sequentially and 13 percent from the year-ago quarter. The sequential increase was primarily due to demand for commodity standard logic products, and the increase from a year ago primarily was due to demand for commodity standard logic products, DLP products and microcontrollers. For the year, remaining Semiconductor revenue increased 2 percent primarily due to demand for RISC microprocessors and microcontrollers that offset a decline in DLP products.</w:t>
      </w:r>
    </w:p>
    <w:p>
      <w:pPr>
        <w:spacing w:after="0" w:line="41" w:lineRule="exact"/>
        <w:rPr>
          <w:rFonts w:ascii="Times New Roman" w:cs="Times New Roman" w:eastAsia="Times New Roman" w:hAnsi="Times New Roman"/>
          <w:sz w:val="18"/>
          <w:szCs w:val="18"/>
          <w:color w:val="auto"/>
        </w:rPr>
      </w:pPr>
    </w:p>
    <w:p>
      <w:pPr>
        <w:ind w:left="500" w:right="180" w:hanging="451"/>
        <w:spacing w:after="0" w:line="26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orders of $3.39 billion in the fourth quarter increased 2 percent sequentially, primarily due to demand for high-performance analog products and increased 31 percent from a year ago due to broad-based demand. For the year, orders increased 13 percent to $12.23 billion due to broad-based demand for the company’s DSP and analog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Latest Semiconductor Highlights</w:t>
      </w:r>
    </w:p>
    <w:p>
      <w:pPr>
        <w:spacing w:after="0" w:line="79" w:lineRule="exact"/>
        <w:rPr>
          <w:sz w:val="20"/>
          <w:szCs w:val="20"/>
          <w:color w:val="auto"/>
        </w:rPr>
      </w:pPr>
    </w:p>
    <w:p>
      <w:pPr>
        <w:ind w:left="500" w:right="600" w:hanging="451"/>
        <w:spacing w:after="0" w:line="231"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TI began sampling a multi-mode UMTS chipset developed with NTT DoCoMo based on TI’s high-performance OMAP</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2 architecture to serve the worldwide 3G cell-phone market.</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274" w:right="339" w:bottom="1440" w:gutter="0" w:footer="0" w:header="0"/>
        </w:sectPr>
      </w:pPr>
    </w:p>
    <w:bookmarkStart w:id="18" w:name="page19"/>
    <w:bookmarkEnd w:id="18"/>
    <w:p>
      <w:pPr>
        <w:ind w:left="451" w:right="200" w:hanging="451"/>
        <w:spacing w:after="0" w:line="275"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DaVinci DSP-based solutions became available in the fourth quarter, enabling digital video innovation, saving development time and lowering overall system costs.</w:t>
      </w:r>
    </w:p>
    <w:p>
      <w:pPr>
        <w:spacing w:after="0" w:line="25" w:lineRule="exact"/>
        <w:rPr>
          <w:rFonts w:ascii="Times New Roman" w:cs="Times New Roman" w:eastAsia="Times New Roman" w:hAnsi="Times New Roman"/>
          <w:sz w:val="18"/>
          <w:szCs w:val="18"/>
          <w:color w:val="auto"/>
        </w:rPr>
      </w:pPr>
    </w:p>
    <w:p>
      <w:pPr>
        <w:ind w:left="451" w:right="80" w:hanging="451"/>
        <w:spacing w:after="0" w:line="325" w:lineRule="auto"/>
        <w:tabs>
          <w:tab w:leader="none" w:pos="4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14-bit, 190MSPS (mega samples per second) analog-to-digital converter began sampling in the fourth quarter. With best-in-class dynamic performance and low total power dissipation, it is ideal for wireless communications, video and imaging, test and measurement, and instrumentation applications.</w:t>
      </w:r>
    </w:p>
    <w:p>
      <w:pPr>
        <w:spacing w:after="0" w:line="1" w:lineRule="exact"/>
        <w:rPr>
          <w:rFonts w:ascii="Times New Roman" w:cs="Times New Roman" w:eastAsia="Times New Roman" w:hAnsi="Times New Roman"/>
          <w:sz w:val="16"/>
          <w:szCs w:val="16"/>
          <w:color w:val="auto"/>
        </w:rPr>
      </w:pPr>
    </w:p>
    <w:p>
      <w:pPr>
        <w:ind w:left="451" w:hanging="451"/>
        <w:spacing w:after="0" w:line="275"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Hollywood™ chips, which enable broadcast TV on cell phones, started being delivered to customers this quarter. Initial cell phones that use this 90-nanometer technology are expected to be on the market in late 2006.</w:t>
      </w:r>
    </w:p>
    <w:p>
      <w:pPr>
        <w:spacing w:after="0" w:line="25" w:lineRule="exact"/>
        <w:rPr>
          <w:rFonts w:ascii="Times New Roman" w:cs="Times New Roman" w:eastAsia="Times New Roman" w:hAnsi="Times New Roman"/>
          <w:sz w:val="18"/>
          <w:szCs w:val="18"/>
          <w:color w:val="auto"/>
        </w:rPr>
      </w:pPr>
    </w:p>
    <w:p>
      <w:pPr>
        <w:ind w:left="451" w:right="640" w:hanging="451"/>
        <w:spacing w:after="0" w:line="275"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qualified its advanced 65-nanometer process technology in the fourth quarter and moved to volume manufacturing, providing more processing performance for advanced applications in a smaller space without increasing power consumption.</w:t>
      </w:r>
    </w:p>
    <w:p>
      <w:pPr>
        <w:spacing w:after="0" w:line="25" w:lineRule="exact"/>
        <w:rPr>
          <w:rFonts w:ascii="Times New Roman" w:cs="Times New Roman" w:eastAsia="Times New Roman" w:hAnsi="Times New Roman"/>
          <w:sz w:val="18"/>
          <w:szCs w:val="18"/>
          <w:color w:val="auto"/>
        </w:rPr>
      </w:pPr>
    </w:p>
    <w:p>
      <w:pPr>
        <w:ind w:left="451" w:right="500" w:hanging="451"/>
        <w:spacing w:after="0" w:line="275"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introduced a new DLP HDTV solution that supports light-emitting diode (LED) light sources. Samsung is expected to ship HDTVs based on the technology in 2006.</w:t>
      </w:r>
    </w:p>
    <w:p>
      <w:pPr>
        <w:spacing w:after="0" w:line="27" w:lineRule="exact"/>
        <w:rPr>
          <w:rFonts w:ascii="Times New Roman" w:cs="Times New Roman" w:eastAsia="Times New Roman" w:hAnsi="Times New Roman"/>
          <w:sz w:val="18"/>
          <w:szCs w:val="18"/>
          <w:color w:val="auto"/>
        </w:rPr>
      </w:pPr>
    </w:p>
    <w:p>
      <w:pPr>
        <w:ind w:left="451" w:hanging="451"/>
        <w:spacing w:after="0"/>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Landmark Theatres has chosen DLP Cinema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technology as a preferred digital projection technology for its theater chain.</w:t>
      </w:r>
    </w:p>
    <w:p>
      <w:pPr>
        <w:spacing w:after="0" w:line="101" w:lineRule="exact"/>
        <w:rPr>
          <w:rFonts w:ascii="Times New Roman" w:cs="Times New Roman" w:eastAsia="Times New Roman" w:hAnsi="Times New Roman"/>
          <w:sz w:val="18"/>
          <w:szCs w:val="18"/>
          <w:color w:val="auto"/>
        </w:rPr>
      </w:pPr>
    </w:p>
    <w:p>
      <w:pPr>
        <w:ind w:left="451" w:right="300" w:hanging="451"/>
        <w:spacing w:after="0" w:line="231"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TCL Communication Technology has selected TI’s 2.5G wireless platform, including its DRP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-based, single-chip cell-phone technology, for low-cost handsets.</w:t>
      </w:r>
    </w:p>
    <w:p>
      <w:pPr>
        <w:spacing w:after="0" w:line="56" w:lineRule="exact"/>
        <w:rPr>
          <w:rFonts w:ascii="Times New Roman" w:cs="Times New Roman" w:eastAsia="Times New Roman" w:hAnsi="Times New Roman"/>
          <w:sz w:val="18"/>
          <w:szCs w:val="18"/>
          <w:color w:val="auto"/>
        </w:rPr>
      </w:pPr>
    </w:p>
    <w:p>
      <w:pPr>
        <w:ind w:left="451" w:right="480" w:hanging="451"/>
        <w:spacing w:after="0" w:line="275"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is expanding its high-performance analog portfolio with the announced acquisition of Chipcon, a leading supplier of low-power, radio-frequency transceiver technology.</w:t>
      </w:r>
    </w:p>
    <w:p>
      <w:pPr>
        <w:spacing w:after="0" w:line="10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11"/>
          </w:cols>
          <w:pgMar w:left="289" w:top="274"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Sensors &amp; Controls</w:t>
      </w:r>
    </w:p>
    <w:p>
      <w:pPr>
        <w:spacing w:after="0" w:line="79" w:lineRule="exact"/>
        <w:rPr>
          <w:sz w:val="20"/>
          <w:szCs w:val="20"/>
          <w:color w:val="auto"/>
        </w:rPr>
      </w:pPr>
    </w:p>
    <w:p>
      <w:pPr>
        <w:ind w:left="500" w:hanging="451"/>
        <w:spacing w:after="0" w:line="275"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was $302 million, up $22 million sequentially primarily due to higher shipments of sensor products, and up $25 million from the year-ago quarter due to demand for sensors. For the year, revenue was $1.17 billion, up 4 percent due to higher demand for sensor products.</w:t>
      </w:r>
    </w:p>
    <w:p>
      <w:pPr>
        <w:spacing w:after="0" w:line="25" w:lineRule="exact"/>
        <w:rPr>
          <w:rFonts w:ascii="Times New Roman" w:cs="Times New Roman" w:eastAsia="Times New Roman" w:hAnsi="Times New Roman"/>
          <w:sz w:val="18"/>
          <w:szCs w:val="18"/>
          <w:color w:val="auto"/>
        </w:rPr>
      </w:pPr>
    </w:p>
    <w:p>
      <w:pPr>
        <w:ind w:left="500" w:right="240" w:hanging="451"/>
        <w:spacing w:after="0" w:line="26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was $98 million, or 32.3 percent of revenue, up $5 million sequentially due to higher revenue, and about even with the year-ago quarter. For the year, gross profit was $404 million, or 34.5 percent of revenue, a decrease of $19 million from the prior year primarily due to start-up costs.</w:t>
      </w:r>
    </w:p>
    <w:p>
      <w:pPr>
        <w:spacing w:after="0" w:line="37" w:lineRule="exact"/>
        <w:rPr>
          <w:rFonts w:ascii="Times New Roman" w:cs="Times New Roman" w:eastAsia="Times New Roman" w:hAnsi="Times New Roman"/>
          <w:sz w:val="18"/>
          <w:szCs w:val="18"/>
          <w:color w:val="auto"/>
        </w:rPr>
      </w:pPr>
    </w:p>
    <w:p>
      <w:pPr>
        <w:jc w:val="both"/>
        <w:ind w:left="500" w:right="180" w:hanging="451"/>
        <w:spacing w:after="0" w:line="26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fourth quarter was $66 million, or 21.7 percent of revenue, up $6 million sequentially due to higher gross profit and up $4 million from the year-ago quarter due to lower operating expenses. For the year, operating profit was $266 million, or 22.7 percent of revenue, a decrease of $15 million from the prior year due to lower gross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Educational &amp; Productivity Solutions</w:t>
      </w:r>
    </w:p>
    <w:p>
      <w:pPr>
        <w:spacing w:after="0" w:line="79" w:lineRule="exact"/>
        <w:rPr>
          <w:sz w:val="20"/>
          <w:szCs w:val="20"/>
          <w:color w:val="auto"/>
        </w:rPr>
      </w:pPr>
    </w:p>
    <w:p>
      <w:pPr>
        <w:ind w:left="500" w:right="80" w:hanging="451"/>
        <w:spacing w:after="0" w:line="26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was $67 million, down $110 million sequentially due to the seasonal decline for graphing calculators, and down $13 million from the year-ago quarter primarily due to tighter inventory management at retail customers. For the year, revenue was $506 million, down 2 percent primarily due to tighter inventory management at retail customers.</w:t>
      </w:r>
    </w:p>
    <w:p>
      <w:pPr>
        <w:spacing w:after="0" w:line="37" w:lineRule="exact"/>
        <w:rPr>
          <w:rFonts w:ascii="Times New Roman" w:cs="Times New Roman" w:eastAsia="Times New Roman" w:hAnsi="Times New Roman"/>
          <w:sz w:val="18"/>
          <w:szCs w:val="18"/>
          <w:color w:val="auto"/>
        </w:rPr>
      </w:pPr>
    </w:p>
    <w:p>
      <w:pPr>
        <w:ind w:left="500" w:right="60" w:hanging="451"/>
        <w:spacing w:after="0" w:line="26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was $35 million, or 52.4 percent of revenue, down $75 million sequentially and $7 million from the year-ago quarter due to lower revenue. For the year, gross profit of $300 million, or a record 59.2 percent of revenue, increased $8 million, primarily due to lower manufacturing costs.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2" w:right="259" w:bottom="1440" w:gutter="0" w:footer="0" w:header="0"/>
        </w:sectPr>
      </w:pPr>
    </w:p>
    <w:bookmarkStart w:id="20" w:name="page21"/>
    <w:bookmarkEnd w:id="20"/>
    <w:p>
      <w:pPr>
        <w:ind w:left="500" w:right="100" w:hanging="451"/>
        <w:spacing w:after="0" w:line="26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in the quarter was $10 million, or 15.1 percent of revenue, a decrease of $69 million, and down $6 million from the year-ago quarter due to lower gross profit. For the year, operating profit was a record $188 million, or 37.2 percent of revenue, an increase of $12 million due to higher gross profit.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the Company or its management:</w:t>
      </w:r>
    </w:p>
    <w:p>
      <w:pPr>
        <w:spacing w:after="0" w:line="25" w:lineRule="exact"/>
        <w:rPr>
          <w:sz w:val="20"/>
          <w:szCs w:val="20"/>
          <w:color w:val="auto"/>
        </w:rPr>
      </w:pPr>
    </w:p>
    <w:p>
      <w:pPr>
        <w:ind w:left="500" w:right="360" w:hanging="451"/>
        <w:spacing w:after="0" w:line="275"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for analog chips and digital signal processors in key markets such as communications, entertainment electronics and computing;</w:t>
      </w:r>
    </w:p>
    <w:p>
      <w:pPr>
        <w:spacing w:after="0" w:line="25" w:lineRule="exact"/>
        <w:rPr>
          <w:rFonts w:ascii="Times New Roman" w:cs="Times New Roman" w:eastAsia="Times New Roman" w:hAnsi="Times New Roman"/>
          <w:sz w:val="18"/>
          <w:szCs w:val="18"/>
          <w:color w:val="auto"/>
        </w:rPr>
      </w:pPr>
    </w:p>
    <w:p>
      <w:pPr>
        <w:ind w:left="500" w:right="80" w:hanging="451"/>
        <w:spacing w:after="0" w:line="275"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5" w:lineRule="exact"/>
        <w:rPr>
          <w:rFonts w:ascii="Times New Roman" w:cs="Times New Roman" w:eastAsia="Times New Roman" w:hAnsi="Times New Roman"/>
          <w:sz w:val="18"/>
          <w:szCs w:val="18"/>
          <w:color w:val="auto"/>
        </w:rPr>
      </w:pPr>
    </w:p>
    <w:p>
      <w:pPr>
        <w:ind w:left="500" w:hanging="451"/>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103" w:lineRule="exact"/>
        <w:rPr>
          <w:rFonts w:ascii="Times New Roman" w:cs="Times New Roman" w:eastAsia="Times New Roman" w:hAnsi="Times New Roman"/>
          <w:sz w:val="18"/>
          <w:szCs w:val="18"/>
          <w:color w:val="auto"/>
        </w:rPr>
      </w:pPr>
    </w:p>
    <w:p>
      <w:pPr>
        <w:ind w:left="520" w:hanging="444"/>
        <w:spacing w:after="0"/>
        <w:tabs>
          <w:tab w:leader="none" w:pos="5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103" w:lineRule="exact"/>
        <w:rPr>
          <w:rFonts w:ascii="Times New Roman" w:cs="Times New Roman" w:eastAsia="Times New Roman" w:hAnsi="Times New Roman"/>
          <w:sz w:val="18"/>
          <w:szCs w:val="18"/>
          <w:color w:val="auto"/>
        </w:rPr>
      </w:pPr>
    </w:p>
    <w:p>
      <w:pPr>
        <w:ind w:left="500" w:hanging="451"/>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103" w:lineRule="exact"/>
        <w:rPr>
          <w:rFonts w:ascii="Times New Roman" w:cs="Times New Roman" w:eastAsia="Times New Roman" w:hAnsi="Times New Roman"/>
          <w:sz w:val="18"/>
          <w:szCs w:val="18"/>
          <w:color w:val="auto"/>
        </w:rPr>
      </w:pPr>
    </w:p>
    <w:p>
      <w:pPr>
        <w:ind w:left="500" w:hanging="438"/>
        <w:spacing w:after="0"/>
        <w:tabs>
          <w:tab w:leader="none" w:pos="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TI’s patent licensees and market conditions reducing royalty payments to TI;</w:t>
      </w:r>
    </w:p>
    <w:p>
      <w:pPr>
        <w:spacing w:after="0" w:line="103" w:lineRule="exact"/>
        <w:rPr>
          <w:rFonts w:ascii="Times New Roman" w:cs="Times New Roman" w:eastAsia="Times New Roman" w:hAnsi="Times New Roman"/>
          <w:sz w:val="18"/>
          <w:szCs w:val="18"/>
          <w:color w:val="auto"/>
        </w:rPr>
      </w:pPr>
    </w:p>
    <w:p>
      <w:pPr>
        <w:ind w:left="500" w:right="260" w:hanging="451"/>
        <w:spacing w:after="0" w:line="275"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5" w:lineRule="exact"/>
        <w:rPr>
          <w:rFonts w:ascii="Times New Roman" w:cs="Times New Roman" w:eastAsia="Times New Roman" w:hAnsi="Times New Roman"/>
          <w:sz w:val="18"/>
          <w:szCs w:val="18"/>
          <w:color w:val="auto"/>
        </w:rPr>
      </w:pPr>
    </w:p>
    <w:p>
      <w:pPr>
        <w:ind w:left="500" w:hanging="451"/>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suppliers operate;</w:t>
      </w:r>
    </w:p>
    <w:p>
      <w:pPr>
        <w:spacing w:after="0" w:line="103" w:lineRule="exact"/>
        <w:rPr>
          <w:rFonts w:ascii="Times New Roman" w:cs="Times New Roman" w:eastAsia="Times New Roman" w:hAnsi="Times New Roman"/>
          <w:sz w:val="18"/>
          <w:szCs w:val="18"/>
          <w:color w:val="auto"/>
        </w:rPr>
      </w:pPr>
    </w:p>
    <w:p>
      <w:pPr>
        <w:ind w:left="520" w:hanging="444"/>
        <w:spacing w:after="0"/>
        <w:tabs>
          <w:tab w:leader="none" w:pos="5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and critical manufacturing equipment;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274" w:right="299" w:bottom="1440" w:gutter="0" w:footer="0" w:header="0"/>
        </w:sectPr>
      </w:pPr>
    </w:p>
    <w:bookmarkStart w:id="21" w:name="page22"/>
    <w:bookmarkEnd w:id="21"/>
    <w:p>
      <w:pPr>
        <w:ind w:left="340" w:right="46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the tax rate applicable to TI as the result of changes in tax law, the jurisdictions in which profits are determined to be earned and taxed, the outcome of tax audits and the ability to realize deferred tax assets;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company forecasts;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inventories to meet demand that differs from projections;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or recalls by TI customers for a product containing a TI part;</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 and</w:t>
      </w:r>
    </w:p>
    <w:p>
      <w:pPr>
        <w:spacing w:after="0" w:line="103" w:lineRule="exact"/>
        <w:rPr>
          <w:rFonts w:ascii="Times New Roman" w:cs="Times New Roman" w:eastAsia="Times New Roman" w:hAnsi="Times New Roman"/>
          <w:sz w:val="18"/>
          <w:szCs w:val="18"/>
          <w:color w:val="auto"/>
        </w:rPr>
      </w:pPr>
    </w:p>
    <w:p>
      <w:pPr>
        <w:ind w:left="34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installation of manufacturing equipment and the ability to obtain needed third-party foundry and assembly/test subcontract services.</w:t>
      </w:r>
    </w:p>
    <w:p>
      <w:pPr>
        <w:spacing w:after="0" w:line="10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11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Texas Instruments is traded on the New York Stock Exchange under the symbol TXN. More information is located on the World Wide Web at </w:t>
      </w:r>
      <w:r>
        <w:rPr>
          <w:rFonts w:ascii="Times New Roman" w:cs="Times New Roman" w:eastAsia="Times New Roman" w:hAnsi="Times New Roman"/>
          <w:sz w:val="18"/>
          <w:szCs w:val="18"/>
          <w:u w:val="single" w:color="auto"/>
          <w:color w:val="auto"/>
        </w:rPr>
        <w:t>www.ti.com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 Trademarks:</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OMAP</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DaVinci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DLP</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Hollywood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DLP Cinema</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DRP</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trademarks are the property of their respective owners.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2019-12-13T07:44:43Z</dcterms:created>
  <dcterms:modified xsi:type="dcterms:W3CDTF">2019-12-13T07:44:43Z</dcterms:modified>
</cp:coreProperties>
</file>