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Lovett Melendy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01/31/2012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8"/>
              </w:rPr>
              <w:t>15,000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32.1822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3"/>
              </w:rPr>
              <w:t>75,000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97"/>
              <w:spacing w:after="0" w:line="217" w:lineRule="exact"/>
              <w:rPr>
                <w:sz w:val="20"/>
                <w:szCs w:val="20"/>
                <w:color w:val="auto"/>
              </w:rPr>
            </w:pPr>
            <w:r>
              <w:rPr>
                <w:rFonts w:ascii="Arial" w:cs="Arial" w:eastAsia="Arial" w:hAnsi="Arial"/>
                <w:sz w:val="18"/>
                <w:szCs w:val="18"/>
                <w:color w:val="0000FF"/>
              </w:rPr>
              <w:t>2,833.36</w:t>
            </w:r>
            <w:r>
              <w:rPr>
                <w:rFonts w:ascii="Arial" w:cs="Arial" w:eastAsia="Arial" w:hAnsi="Arial"/>
                <w:sz w:val="22"/>
                <w:szCs w:val="22"/>
                <w:color w:val="008000"/>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Sales effected pursuant to a Rule 10b5-1 trading plan entered into by the reporting person on 2-8-2010. The sales were at prices ranging from $31.9975 to $32.3900. The price in Table I is the weighted average sale price. The issuer undertakes to provide upon request a detailed breakout of the sale prices and the number of shares sold at each price.</w:t>
      </w: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02/01/2012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2019-12-17T00:30:10Z</dcterms:created>
  <dcterms:modified xsi:type="dcterms:W3CDTF">2019-12-17T00:30:10Z</dcterms:modified>
</cp:coreProperties>
</file>